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>
          <w:lang w:val="en-US"/>
        </w:rPr>
        <w:t>{% if title_images %}{% for scan in title_images %}{{ scan }}</w:t>
      </w:r>
      <w:r>
        <w:br w:type="page"/>
      </w:r>
    </w:p>
    <w:p>
      <w:pPr>
        <w:pStyle w:val="Normal"/>
        <w:widowControl w:val="false"/>
        <w:spacing w:before="0" w:after="0"/>
        <w:ind w:hanging="0"/>
        <w:jc w:val="center"/>
        <w:rPr/>
      </w:pPr>
      <w:r>
        <w:rPr>
          <w:lang w:val="en-US"/>
        </w:rPr>
        <w:t>{% endfor %}{% else %}</w:t>
      </w: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jc w:val="center"/>
        <w:rPr/>
      </w:pPr>
      <w:r>
        <w:rPr/>
        <w:t>«СЕВЕРО-ВОСТОЧНЫЙ ФЕДЕРАЛЬНЫЙ УНИВЕРСИТЕТ ИМЕНИ М. К. АММОСОВА»</w:t>
      </w:r>
    </w:p>
    <w:p>
      <w:pPr>
        <w:pStyle w:val="Normal"/>
        <w:widowControl w:val="false"/>
        <w:spacing w:before="0" w:after="2381"/>
        <w:jc w:val="center"/>
        <w:rPr>
          <w:color w:val="000000"/>
        </w:rPr>
      </w:pPr>
      <w:r>
        <w:rPr>
          <w:color w:val="000000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для программы {% if '4' in plan.code %}магистратуры{% else %}бакалавриата</w:t>
      </w:r>
      <w:r>
        <w:rPr>
          <w:color w:val="000000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color w:val="000000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190"/>
        <w:gridCol w:w="3226"/>
        <w:gridCol w:w="322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№_____</w:t>
            </w:r>
          </w:p>
          <w:p>
            <w:pPr>
              <w:pStyle w:val="Normal"/>
              <w:rPr>
                <w:rFonts w:cs="Calibri"/>
                <w:lang w:val="en-US"/>
              </w:rPr>
            </w:pPr>
            <w:r>
              <w:rPr>
                <w:rFonts w:cs="Calibri"/>
              </w:rPr>
              <w:t>от</w:t>
            </w:r>
            <w:r>
              <w:rPr>
                <w:rFonts w:cs="Calibri"/>
                <w:lang w:val="en-US"/>
              </w:rPr>
              <w:t xml:space="preserve"> «___»__________20___ </w:t>
            </w:r>
            <w:r>
              <w:rPr>
                <w:rFonts w:cs="Calibri"/>
              </w:rPr>
              <w:t>г</w:t>
            </w:r>
            <w:r>
              <w:rPr>
                <w:rFonts w:cs="Calibri"/>
                <w:lang w:val="en-US"/>
              </w:rPr>
              <w:t>.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>{% if </w:t>
            </w:r>
            <w:r>
              <w:rPr>
                <w:lang w:val="en-US"/>
              </w:rPr>
              <w:t>'4' in plan.code</w:t>
            </w:r>
            <w:r>
              <w:rPr>
                <w:rFonts w:cs="Calibri"/>
                <w:lang w:val="en-US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cs="Calibri"/>
                <w:color w:val="000000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Председатель УМК 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___________/ 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960" w:after="0"/>
        <w:jc w:val="center"/>
        <w:rPr/>
      </w:pPr>
      <w:r>
        <w:rPr/>
        <w:t>Якутск {{ course.year }}</w:t>
      </w:r>
      <w:r>
        <w:rPr>
          <w:lang w:val="en-US"/>
        </w:rPr>
        <w:t>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Cs/>
        </w:rPr>
        <w:t xml:space="preserve">{{ </w:t>
      </w:r>
      <w:r>
        <w:rPr>
          <w:rFonts w:eastAsia="Times New Roman"/>
          <w:bCs/>
        </w:rPr>
        <w:t>subject</w:t>
      </w:r>
      <w:r>
        <w:rPr>
          <w:bCs/>
        </w:rPr>
        <w:t xml:space="preserve">.code }} {{ </w:t>
      </w:r>
      <w:r>
        <w:rPr>
          <w:rFonts w:eastAsia="Times New Roman"/>
          <w:bCs/>
        </w:rPr>
        <w:t xml:space="preserve">subject.name </w:t>
      </w:r>
      <w:r>
        <w:rPr>
          <w:bCs/>
        </w:rPr>
        <w:t>}}</w:t>
      </w:r>
    </w:p>
    <w:p>
      <w:pPr>
        <w:pStyle w:val="Normal"/>
        <w:jc w:val="center"/>
        <w:rPr>
          <w:lang w:val="en-US"/>
        </w:rPr>
      </w:pPr>
      <w:r>
        <w:rPr/>
        <w:t>Трудоемкость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>{{ subject.get_total_credits() }}</w:t>
      </w:r>
      <w:r>
        <w:rPr>
          <w:lang w:val="en-US"/>
        </w:rPr>
        <w:t xml:space="preserve"> </w:t>
      </w:r>
      <w:r>
        <w:rPr/>
        <w:t>з</w:t>
      </w:r>
      <w:r>
        <w:rPr>
          <w:lang w:val="en-US"/>
        </w:rPr>
        <w:t xml:space="preserve">. </w:t>
      </w:r>
      <w:r>
        <w:rPr/>
        <w:t>е</w:t>
      </w:r>
      <w:r>
        <w:rPr>
          <w:lang w:val="en-US"/>
        </w:rPr>
        <w:t>.</w:t>
      </w:r>
    </w:p>
    <w:p>
      <w:pPr>
        <w:pStyle w:val="18"/>
        <w:jc w:val="left"/>
        <w:rPr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</w:rPr>
        <w:t>Цель</w:t>
      </w:r>
      <w:r>
        <w:rPr>
          <w:bCs/>
          <w:lang w:val="en-US"/>
        </w:rPr>
        <w:t xml:space="preserve"> </w:t>
      </w:r>
      <w:r>
        <w:rPr>
          <w:bCs/>
        </w:rPr>
        <w:t>освоения</w:t>
      </w:r>
      <w:r>
        <w:rPr>
          <w:bCs/>
          <w:lang w:val="en-US"/>
        </w:rPr>
        <w:t>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firstLine="709"/>
        <w:jc w:val="both"/>
        <w:rPr/>
      </w:pPr>
      <w:r>
        <w:rPr/>
        <w:t>Краткое содержание дисциплины: {{ course.content }}</w:t>
      </w:r>
    </w:p>
    <w:p>
      <w:pPr>
        <w:pStyle w:val="18"/>
        <w:jc w:val="left"/>
        <w:rPr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11"/>
        <w:gridCol w:w="2261"/>
        <w:gridCol w:w="2003"/>
        <w:gridCol w:w="2298"/>
        <w:gridCol w:w="1464"/>
      </w:tblGrid>
      <w:tr>
        <w:trPr/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18"/>
        <w:jc w:val="left"/>
        <w:rPr>
          <w:bCs/>
        </w:rPr>
      </w:pPr>
      <w:r>
        <w:rPr/>
        <w:t>1.3. Место дисциплины в структуре ОПОП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71"/>
        <w:gridCol w:w="2149"/>
        <w:gridCol w:w="2043"/>
        <w:gridCol w:w="2030"/>
        <w:gridCol w:w="2144"/>
      </w:tblGrid>
      <w:tr>
        <w:trPr/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2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4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 которые опирается содержание данной дисциплины (модуля)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hanging="0"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cs="Calibri"/>
                <w:color w:val="000000"/>
                <w:sz w:val="24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18"/>
        <w:jc w:val="left"/>
        <w:rPr>
          <w:b w:val="false"/>
        </w:rPr>
      </w:pPr>
      <w:r>
        <w:rPr/>
        <w:t>1.4. Язык преподавания:</w:t>
      </w:r>
      <w:r>
        <w:rPr>
          <w:b w:val="false"/>
        </w:rPr>
        <w:t xml:space="preserve"> Русский.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8"/>
        <w:gridCol w:w="3151"/>
        <w:gridCol w:w="2221"/>
        <w:gridCol w:w="7"/>
      </w:tblGrid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color w:val="000000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get_total_hours()</w:t>
            </w:r>
            <w:r>
              <w:rPr/>
              <w:t xml:space="preserve"> }}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 xml:space="preserve">get_hours_str('lectures') </w:t>
            </w:r>
            <w:r>
              <w:rPr/>
              <w:t>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subject.get_hours_str('lectures_pp')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1.2. Занятия семинарского типа, всего, в т.ч.: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{{ </w:t>
            </w:r>
            <w:r>
              <w:rPr>
                <w:color w:val="000000"/>
              </w:rPr>
              <w:t>subject.get_hours_2()</w:t>
            </w:r>
            <w:r>
              <w:rPr/>
              <w:t xml:space="preserve">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лабораторные работы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get_hours_str('labworks')</w:t>
            </w:r>
            <w:r>
              <w:rPr/>
              <w:t xml:space="preserve">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get_hours_str('labworks_pp')</w:t>
            </w:r>
            <w:r>
              <w:rPr/>
              <w:t xml:space="preserve">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- практические занятия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subject.get_hours_str('practices')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733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get_hours_str('practices_pp')</w:t>
            </w:r>
            <w:r>
              <w:rPr/>
              <w:t xml:space="preserve">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1.3. КСР (контроль самостоятельной работы, консультации)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get_hours_str('controls')</w:t>
            </w:r>
            <w:r>
              <w:rPr/>
              <w:t xml:space="preserve"> }}</w:t>
            </w:r>
          </w:p>
        </w:tc>
        <w:tc>
          <w:tcPr>
            <w:tcW w:w="2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№</w:t>
            </w:r>
            <w:r>
              <w:rPr>
                <w:b/>
                <w:bCs/>
                <w:shd w:fill="auto" w:val="clear"/>
              </w:rPr>
              <w:t>2. Самостоятельная работа обучающихся (СРС) (в часах)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get_hours_str('homeworks')</w:t>
            </w:r>
            <w:r>
              <w:rPr/>
              <w:t xml:space="preserve"> }}</w:t>
            </w:r>
          </w:p>
        </w:tc>
      </w:tr>
      <w:tr>
        <w:trPr>
          <w:trHeight w:val="325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9"/>
              <w:jc w:val="righ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в том числе в форме практической подготовки</w:t>
            </w:r>
          </w:p>
        </w:tc>
        <w:tc>
          <w:tcPr>
            <w:tcW w:w="5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get_hours_str('homeworks_pp')</w:t>
            </w:r>
            <w:r>
              <w:rPr/>
              <w:t xml:space="preserve"> }}</w:t>
            </w:r>
          </w:p>
        </w:tc>
        <w:tc>
          <w:tcPr>
            <w:tcW w:w="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5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color w:val="000000"/>
              </w:rPr>
              <w:t>get_hours_str('exams')</w:t>
            </w:r>
            <w:r>
              <w:rPr/>
              <w:t xml:space="preserve"> }}</w:t>
            </w:r>
          </w:p>
        </w:tc>
      </w:tr>
    </w:tbl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18"/>
        <w:rPr>
          <w:bCs/>
        </w:rPr>
      </w:pPr>
      <w:r>
        <w:rPr/>
        <w:t>3.1. Распределение часов по темам и видам учебных занятий</w:t>
      </w:r>
    </w:p>
    <w:tbl>
      <w:tblPr>
        <w:tblW w:w="485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863"/>
        <w:gridCol w:w="783"/>
        <w:gridCol w:w="709"/>
        <w:gridCol w:w="413"/>
        <w:gridCol w:w="690"/>
        <w:gridCol w:w="413"/>
        <w:gridCol w:w="688"/>
        <w:gridCol w:w="412"/>
        <w:gridCol w:w="416"/>
        <w:gridCol w:w="959"/>
      </w:tblGrid>
      <w:tr>
        <w:trPr/>
        <w:tc>
          <w:tcPr>
            <w:tcW w:w="3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Тема</w:t>
            </w:r>
          </w:p>
        </w:tc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37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38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Лекции{%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подготовки){% endif %}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Лабораторные работы{%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подготовки){% endif %}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 xml:space="preserve">Практические занятия{% if subject.get_practical_hours() %} </w:t>
            </w:r>
            <w:r>
              <w:rPr>
                <w:bCs/>
                <w:sz w:val="22"/>
                <w:szCs w:val="22"/>
              </w:rPr>
              <w:t>(в форме практической подготовки){% endif %}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13"/>
              <w:ind w:left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8"/>
        <w:rPr>
          <w:bCs/>
        </w:rPr>
      </w:pPr>
      <w:r>
        <w:rPr/>
        <w:t>3.2. Содержание тем программы дисциплины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>{% for elem in course.themes %}</w:t>
      </w:r>
      <w:r>
        <w:rPr>
          <w:b/>
          <w:bCs/>
        </w:rPr>
        <w:t>Тема</w:t>
      </w:r>
      <w:r>
        <w:rPr>
          <w:b/>
          <w:bCs/>
          <w:lang w:val="en-US"/>
        </w:rPr>
        <w:t xml:space="preserve"> {{ loop.index }}. </w:t>
      </w:r>
      <w:r>
        <w:rPr>
          <w:b/>
          <w:bCs/>
          <w:color w:val="000000"/>
          <w:lang w:val="en-US"/>
        </w:rPr>
        <w:t>{{ elem['</w:t>
      </w:r>
      <w:r>
        <w:rPr>
          <w:b/>
          <w:bCs/>
          <w:color w:val="000000"/>
        </w:rPr>
        <w:t>тема</w:t>
      </w:r>
      <w:r>
        <w:rPr>
          <w:b/>
          <w:bCs/>
          <w:color w:val="000000"/>
          <w:lang w:val="en-US"/>
        </w:rPr>
        <w:t>'] }}</w:t>
      </w:r>
    </w:p>
    <w:p>
      <w:pPr>
        <w:pStyle w:val="Normal"/>
        <w:jc w:val="both"/>
        <w:rPr>
          <w:lang w:val="en-US"/>
        </w:rPr>
      </w:pPr>
      <w:r>
        <w:rPr>
          <w:bCs/>
          <w:lang w:val="en-US"/>
        </w:rPr>
        <w:t xml:space="preserve">{{r </w:t>
      </w:r>
      <w:r>
        <w:rPr>
          <w:color w:val="000000"/>
          <w:lang w:val="en-US"/>
        </w:rPr>
        <w:t>elem['</w:t>
      </w:r>
      <w:r>
        <w:rPr>
          <w:color w:val="000000"/>
        </w:rPr>
        <w:t>содержание</w:t>
      </w:r>
      <w:r>
        <w:rPr>
          <w:color w:val="000000"/>
          <w:lang w:val="en-US"/>
        </w:rPr>
        <w:t>']</w:t>
      </w:r>
      <w:r>
        <w:rPr>
          <w:b/>
          <w:bCs/>
          <w:color w:val="000000"/>
          <w:lang w:val="en-US"/>
        </w:rPr>
        <w:t xml:space="preserve"> </w:t>
      </w:r>
      <w:r>
        <w:rPr>
          <w:bCs/>
          <w:lang w:val="en-US"/>
        </w:rPr>
        <w:t>}}</w:t>
      </w:r>
    </w:p>
    <w:p>
      <w:pPr>
        <w:pStyle w:val="Normal"/>
        <w:jc w:val="both"/>
        <w:rPr>
          <w:bCs/>
        </w:rPr>
      </w:pPr>
      <w:r>
        <w:rPr>
          <w:bCs/>
        </w:rPr>
        <w:t>{% endfor %}</w:t>
      </w:r>
    </w:p>
    <w:p>
      <w:pPr>
        <w:pStyle w:val="18"/>
        <w:rPr/>
      </w:pPr>
      <w:r>
        <w:rPr>
          <w:bCs/>
        </w:rPr>
        <w:t xml:space="preserve">3.3. </w:t>
      </w:r>
      <w:r>
        <w:rPr>
          <w:bCs/>
          <w:iCs/>
        </w:rPr>
        <w:t>Формы и методы проведения занятий, применяемые учебные технологии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На лекциях используются следующие активные методы формы и методы проведения занятий: проблемная лекция и лекция-визуализация.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>Лабораторное занятие – это вид учебного занятия, проводимый в специально оборудованных учебных лабораториях, направленный на усвоение и углубление изучаемых теоретических основ, и получение практических навыков путем использования различных средств (наблюдения, измерения, контроля, вычислительной техники и пр.). На лабораторном занятии выполняется лабораторная работа, которая выполняется либо в индивидуальном порядке, либо группой студентов. Формы организации лабораторных занятий определяются в соответствии с целями обучения и могут представлять собой: перечень, можно с указанием тем (решение типовых и ситуационных задач; проведение эксперимента; занятия по моделированию реальных задач; игровое проектирование; выездные занятия (на производство, в организации сферы услуг, учреждения и др.); занятия-конкурсы).{% if subject.get_practical_hours() %}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включает в себя выполнение следующих видов работ, связанных с будущей профессиональной деятельностью: </w:t>
      </w:r>
      <w:r>
        <w:rPr>
          <w:bCs/>
          <w:shd w:fill="auto" w:val="clear"/>
        </w:rPr>
        <w:t>работа над проектами по разработке и сопровождению программного обеспечения.</w:t>
      </w:r>
    </w:p>
    <w:p>
      <w:pPr>
        <w:pStyle w:val="13"/>
        <w:ind w:firstLine="709" w:left="0"/>
        <w:jc w:val="both"/>
        <w:rPr>
          <w:bCs/>
        </w:rPr>
      </w:pPr>
      <w:r>
        <w:rPr>
          <w:bCs/>
        </w:rPr>
        <w:t xml:space="preserve">Практическая подготовка будет проходить на базе: </w:t>
      </w:r>
      <w:r>
        <w:rPr>
          <w:bCs/>
          <w:shd w:fill="auto" w:val="clear"/>
        </w:rPr>
        <w:t>ИМИ СВФУ.{% endif %}</w:t>
      </w:r>
    </w:p>
    <w:p>
      <w:pPr>
        <w:pStyle w:val="18"/>
        <w:rPr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18"/>
        <w:rPr>
          <w:bCs/>
        </w:rPr>
      </w:pPr>
      <w:r>
        <w:rPr/>
        <w:t>Содержание СРС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6"/>
        <w:gridCol w:w="2366"/>
        <w:gridCol w:w="3325"/>
        <w:gridCol w:w="1126"/>
        <w:gridCol w:w="2334"/>
      </w:tblGrid>
      <w:tr>
        <w:trPr/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3"/>
              <w:ind w:left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18"/>
        <w:rPr>
          <w:rFonts w:eastAsia="Times New Roman"/>
          <w:bCs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firstLine="709"/>
        <w:jc w:val="both"/>
        <w:rPr/>
      </w:pPr>
      <w:r>
        <w:rPr/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firstLine="709"/>
        <w:jc w:val="both"/>
        <w:rPr/>
      </w:pPr>
      <w:r>
        <w:rPr/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firstLine="709"/>
        <w:jc w:val="both"/>
        <w:rPr/>
      </w:pPr>
      <w:r>
        <w:rPr/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firstLine="709"/>
        <w:jc w:val="both"/>
        <w:rPr/>
      </w:pPr>
      <w:r>
        <w:rPr/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firstLine="709"/>
        <w:jc w:val="both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7"/>
        <w:gridCol w:w="1833"/>
      </w:tblGrid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p>
      <w:pPr>
        <w:pStyle w:val="BodyText"/>
        <w:rPr/>
      </w:pPr>
      <w:r>
        <w:rPr/>
      </w:r>
      <w:bookmarkStart w:id="0" w:name="_GoBack"/>
      <w:bookmarkStart w:id="1" w:name="_GoBack"/>
      <w:bookmarkEnd w:id="1"/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6097"/>
        <w:gridCol w:w="1707"/>
        <w:gridCol w:w="1833"/>
      </w:tblGrid>
      <w:tr>
        <w:trPr/>
        <w:tc>
          <w:tcPr>
            <w:tcW w:w="6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18"/>
        <w:rPr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18"/>
        <w:rPr>
          <w:bCs/>
        </w:rPr>
      </w:pPr>
      <w:r>
        <w:rPr/>
        <w:t>6.1. Показатели, критерии и шкала оценивания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467"/>
        <w:gridCol w:w="1555"/>
        <w:gridCol w:w="1903"/>
        <w:gridCol w:w="1475"/>
        <w:gridCol w:w="1866"/>
        <w:gridCol w:w="1370"/>
      </w:tblGrid>
      <w:tr>
        <w:trPr/>
        <w:tc>
          <w:tcPr>
            <w:tcW w:w="1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Показатель оценивания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(дескрипторы)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18"/>
        <w:rPr>
          <w:bCs/>
        </w:rPr>
      </w:pPr>
      <w:r>
        <w:rPr>
          <w:bCs/>
        </w:rPr>
        <w:t>6.2. Примерные контрольные задания (вопросы) для промежуточной аттестации{% for item in course.controls %}</w:t>
      </w:r>
    </w:p>
    <w:p>
      <w:pPr>
        <w:pStyle w:val="18"/>
        <w:rPr/>
      </w:pPr>
      <w:r>
        <w:rPr/>
        <w:t>{{r item[</w:t>
      </w:r>
      <w:r>
        <w:rPr>
          <w:rFonts w:eastAsia="Times New Roman"/>
        </w:rPr>
        <w:t>'подзаголовок'</w:t>
      </w:r>
      <w:r>
        <w:rPr/>
        <w:t>] }}</w:t>
      </w:r>
    </w:p>
    <w:p>
      <w:pPr>
        <w:pStyle w:val="13"/>
        <w:shd w:val="clear" w:color="auto" w:fill="FFFFFF"/>
        <w:ind w:left="0"/>
        <w:jc w:val="both"/>
        <w:rPr/>
      </w:pPr>
      <w:r>
        <w:rPr>
          <w:bCs/>
        </w:rPr>
        <w:t>{{r item[</w:t>
      </w:r>
      <w:r>
        <w:rPr>
          <w:color w:val="000000"/>
        </w:rPr>
        <w:t>'</w:t>
      </w:r>
      <w:r>
        <w:rPr>
          <w:bCs/>
        </w:rPr>
        <w:t>содержание</w:t>
      </w:r>
      <w:r>
        <w:rPr>
          <w:color w:val="000000"/>
        </w:rPr>
        <w:t>']</w:t>
      </w:r>
      <w:r>
        <w:rPr>
          <w:bCs/>
        </w:rPr>
        <w:t xml:space="preserve"> }}{% endfor %}</w:t>
      </w:r>
    </w:p>
    <w:p>
      <w:pPr>
        <w:pStyle w:val="18"/>
        <w:rPr>
          <w:bCs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Форма итоговой аттестации: {{ subject.get_controls() }}.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>Промежуточное и итоговое тестирование</w:t>
      </w:r>
      <w:r>
        <w:rPr>
          <w:bCs/>
        </w:rPr>
        <w:t xml:space="preserve">. Данные формы контроля направлены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ind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Normal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</w:r>
      <w:r>
        <w:br w:type="page"/>
      </w:r>
    </w:p>
    <w:p>
      <w:pPr>
        <w:pStyle w:val="Heading1"/>
        <w:tabs>
          <w:tab w:val="clear" w:pos="720"/>
          <w:tab w:val="left" w:pos="2861" w:leader="none"/>
          <w:tab w:val="center" w:pos="4960" w:leader="none"/>
        </w:tabs>
        <w:spacing w:before="0" w:after="113"/>
        <w:rPr>
          <w:bCs/>
        </w:rPr>
      </w:pPr>
      <w:r>
        <w:rPr>
          <w:lang w:val="en-US"/>
        </w:rPr>
        <w:t>{% if lit_images %}{% for scan in lit_images %}{{ scan }}</w:t>
      </w:r>
      <w:r>
        <w:br w:type="page"/>
      </w:r>
    </w:p>
    <w:p>
      <w:pPr>
        <w:pStyle w:val="Normal"/>
        <w:tabs>
          <w:tab w:val="clear" w:pos="720"/>
          <w:tab w:val="left" w:pos="2861" w:leader="none"/>
          <w:tab w:val="center" w:pos="4960" w:leader="none"/>
        </w:tabs>
        <w:spacing w:before="0" w:after="0"/>
        <w:ind w:hanging="0"/>
        <w:rPr>
          <w:bCs/>
        </w:rPr>
      </w:pPr>
      <w:r>
        <w:rPr>
          <w:lang w:val="en-US"/>
        </w:rPr>
        <w:t xml:space="preserve">{% endfor %}{% else %}7. </w:t>
      </w:r>
      <w:r>
        <w:rPr/>
        <w:t xml:space="preserve">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3"/>
        <w:gridCol w:w="3772"/>
        <w:gridCol w:w="1360"/>
        <w:gridCol w:w="1898"/>
        <w:gridCol w:w="1934"/>
      </w:tblGrid>
      <w:tr>
        <w:trPr>
          <w:trHeight w:val="1683" w:hRule="atLeast"/>
          <w:cantSplit w:val="true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НБ СВФУ, кафедральная библиотека и кол-во экземпляров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/>
              <w:jc w:val="center"/>
              <w:rPr>
                <w:bCs/>
              </w:rPr>
            </w:pPr>
            <w:r>
              <w:rPr>
                <w:bCs/>
              </w:rPr>
              <w:t>Электронные издания: точка доступа к ресурсу (наименование ЭБС, ЭБ СВФУ)</w:t>
            </w:r>
          </w:p>
        </w:tc>
      </w:tr>
    </w:tbl>
    <w:p>
      <w:pPr>
        <w:pStyle w:val="18"/>
        <w:rPr/>
      </w:pPr>
      <w:r>
        <w:rPr/>
      </w:r>
    </w:p>
    <w:p>
      <w:pPr>
        <w:pStyle w:val="18"/>
        <w:rPr/>
      </w:pPr>
      <w:r>
        <w:rPr/>
        <w:t xml:space="preserve">{% </w:t>
      </w:r>
      <w:r>
        <w:rPr>
          <w:lang w:val="en-US"/>
        </w:rPr>
        <w:t>endif</w:t>
      </w:r>
      <w:r>
        <w:rPr/>
        <w:t xml:space="preserve"> %}</w:t>
      </w:r>
      <w:r>
        <w:br w:type="page"/>
      </w:r>
    </w:p>
    <w:p>
      <w:pPr>
        <w:pStyle w:val="18"/>
        <w:rPr/>
      </w:pPr>
      <w:r>
        <w:rPr/>
        <w:t xml:space="preserve">8. Перечень 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необходим доступ к</w:t>
      </w:r>
      <w:r>
        <w:rPr/>
        <w:t xml:space="preserve"> следующим ресурсам информационно-телекоммуникационной сети «Интернет»:{%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websites</w:t>
      </w:r>
      <w:r>
        <w:rPr/>
        <w:t xml:space="preserve"> %}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</w:t>
      </w:r>
    </w:p>
    <w:p>
      <w:pPr>
        <w:pStyle w:val="18"/>
        <w:rPr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szCs w:val="22"/>
          <w:lang w:eastAsia="en-US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szCs w:val="22"/>
          <w:lang w:eastAsia="en-US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18"/>
        <w:rPr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18"/>
        <w:rPr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ind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выполнение лабораторных работ на виртуальных машинах;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публикация учебных материалов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сдача тестов в системе Moodle;</w:t>
      </w:r>
    </w:p>
    <w:p>
      <w:pPr>
        <w:pStyle w:val="Normal"/>
        <w:numPr>
          <w:ilvl w:val="0"/>
          <w:numId w:val="1"/>
        </w:numPr>
        <w:ind w:hanging="283" w:left="283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18"/>
        <w:rPr/>
      </w:pPr>
      <w:r>
        <w:rPr>
          <w:bCs/>
        </w:rPr>
        <w:t>{% if course.</w:t>
      </w:r>
      <w:r>
        <w:rPr>
          <w:rFonts w:eastAsia="Times New Roman"/>
          <w:bCs/>
        </w:rPr>
        <w:t>software</w:t>
      </w:r>
      <w:r>
        <w:rPr>
          <w:bCs/>
        </w:rPr>
        <w:t xml:space="preserve"> %}10.2. Перечень программного обеспечения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компьютерам со следующим </w:t>
      </w:r>
      <w:r>
        <w:rPr>
          <w:color w:val="000000"/>
        </w:rPr>
        <w:t>программным обеспечением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</w:t>
      </w:r>
      <w:r>
        <w:rPr>
          <w:color w:val="000000"/>
        </w:rPr>
        <w:t>software</w:t>
      </w:r>
      <w:r>
        <w:rPr/>
        <w:t xml:space="preserve">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</w:p>
    <w:p>
      <w:pPr>
        <w:pStyle w:val="18"/>
        <w:rPr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spacing w:before="113" w:after="113"/>
        <w:ind w:firstLine="709"/>
        <w:jc w:val="both"/>
        <w:rPr/>
      </w:pPr>
      <w:r>
        <w:rPr/>
        <w:t xml:space="preserve">При осуществлении образовательного процесса по дисциплине </w:t>
      </w:r>
      <w:r>
        <w:rPr>
          <w:color w:val="000000"/>
        </w:rPr>
        <w:t>требуется обеспечить</w:t>
      </w:r>
      <w:r>
        <w:rPr/>
        <w:t xml:space="preserve"> доступ студентов к следующим информационным </w:t>
      </w:r>
      <w:r>
        <w:rPr>
          <w:color w:val="000000"/>
        </w:rPr>
        <w:t>справочным системам</w:t>
      </w:r>
      <w:r>
        <w:rPr/>
        <w:t xml:space="preserve">:{% for </w:t>
      </w:r>
      <w:r>
        <w:rPr>
          <w:color w:val="000000"/>
        </w:rPr>
        <w:t>item</w:t>
      </w:r>
      <w:r>
        <w:rPr/>
        <w:t xml:space="preserve"> in course.infosystems %}</w:t>
      </w:r>
    </w:p>
    <w:p>
      <w:pPr>
        <w:pStyle w:val="Normal"/>
        <w:numPr>
          <w:ilvl w:val="0"/>
          <w:numId w:val="4"/>
        </w:numPr>
        <w:spacing w:before="113" w:after="113"/>
        <w:ind w:hanging="283" w:left="283"/>
        <w:jc w:val="both"/>
        <w:rPr/>
      </w:pPr>
      <w:r>
        <w:rPr/>
        <w:t xml:space="preserve">{{ </w:t>
      </w:r>
      <w:r>
        <w:rPr>
          <w:color w:val="000000"/>
        </w:rPr>
        <w:t>item</w:t>
      </w:r>
      <w:r>
        <w:rPr/>
        <w:t xml:space="preserve"> }}{% endfor %}{% endif %}</w:t>
      </w:r>
      <w:r>
        <w:br w:type="page"/>
      </w:r>
    </w:p>
    <w:p>
      <w:pPr>
        <w:pStyle w:val="18"/>
        <w:spacing w:before="0" w:after="113"/>
        <w:rPr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97"/>
        <w:gridCol w:w="4141"/>
        <w:gridCol w:w="1833"/>
        <w:gridCol w:w="2565"/>
      </w:tblGrid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 (дата, номер), ФИО зав. кафедрой, подпись</w:t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18"/>
    <w:next w:val="Normal"/>
    <w:link w:val="12"/>
    <w:uiPriority w:val="9"/>
    <w:qFormat/>
    <w:rsid w:val="00b26238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color w:val="000000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  <w:sz w:val="20"/>
      <w:szCs w:val="20"/>
    </w:rPr>
  </w:style>
  <w:style w:type="character" w:styleId="WW8Num12z1" w:customStyle="1">
    <w:name w:val="WW8Num12z1"/>
    <w:qFormat/>
    <w:rPr>
      <w:rFonts w:ascii="Courier New" w:hAnsi="Courier New" w:cs="Courier New"/>
      <w:sz w:val="20"/>
      <w:szCs w:val="20"/>
    </w:rPr>
  </w:style>
  <w:style w:type="character" w:styleId="WW8Num12z2" w:customStyle="1">
    <w:name w:val="WW8Num12z2"/>
    <w:qFormat/>
    <w:rPr>
      <w:rFonts w:ascii="Wingdings" w:hAnsi="Wingdings" w:cs="Wingdings"/>
      <w:sz w:val="20"/>
      <w:szCs w:val="20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2" w:customStyle="1">
    <w:name w:val="WW8Num21z2"/>
    <w:qFormat/>
    <w:rPr>
      <w:rFonts w:ascii="Wingdings" w:hAnsi="Wingdings" w:cs="Wingdings"/>
    </w:rPr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 w:cs="Wingdings"/>
    </w:rPr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>
      <w:rFonts w:ascii="Symbol" w:hAnsi="Symbol" w:cs="Symbol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1" w:customStyle="1">
    <w:name w:val="Основной шрифт абзаца1"/>
    <w:qFormat/>
    <w:rPr/>
  </w:style>
  <w:style w:type="character" w:styleId="Style13" w:customStyle="1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-table" w:customStyle="1">
    <w:name w:val="submenu-table"/>
    <w:basedOn w:val="1"/>
    <w:qFormat/>
    <w:rPr/>
  </w:style>
  <w:style w:type="character" w:styleId="Style14" w:customStyle="1">
    <w:name w:val="Текст сноски Знак"/>
    <w:uiPriority w:val="99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Style15" w:customStyle="1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6" w:customStyle="1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1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11" w:customStyle="1">
    <w:name w:val="Знак примечания1"/>
    <w:qFormat/>
    <w:rPr>
      <w:sz w:val="16"/>
      <w:szCs w:val="16"/>
    </w:rPr>
  </w:style>
  <w:style w:type="character" w:styleId="Style17" w:customStyle="1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18" w:customStyle="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19" w:customStyle="1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12" w:customStyle="1">
    <w:name w:val="Заголовок 1 Знак"/>
    <w:basedOn w:val="DefaultParagraphFont"/>
    <w:link w:val="Heading1"/>
    <w:uiPriority w:val="9"/>
    <w:qFormat/>
    <w:rsid w:val="00b26238"/>
    <w:rPr>
      <w:rFonts w:ascii="Times New Roman" w:hAnsi="Times New Roman" w:eastAsia="Calibri" w:cs="Times New Roman"/>
      <w:b/>
      <w:color w:val="000000"/>
      <w:sz w:val="24"/>
      <w:lang w:bidi="ar-SA"/>
    </w:rPr>
  </w:style>
  <w:style w:type="character" w:styleId="Style20" w:customStyle="1">
    <w:name w:val="Абзац списка Знак"/>
    <w:link w:val="ListParagraph"/>
    <w:uiPriority w:val="34"/>
    <w:qFormat/>
    <w:locked/>
    <w:rsid w:val="00a51bb8"/>
    <w:rPr>
      <w:rFonts w:ascii="Times New Roman" w:hAnsi="Times New Roman" w:eastAsia="Times New Roman" w:cs="Times New Roman"/>
      <w:sz w:val="24"/>
      <w:lang w:bidi="ar-SA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</w:rPr>
  </w:style>
  <w:style w:type="paragraph" w:styleId="21" w:customStyle="1">
    <w:name w:val="Основной текст с отступом 21"/>
    <w:basedOn w:val="Normal"/>
    <w:qFormat/>
    <w:pPr>
      <w:widowControl w:val="false"/>
      <w:spacing w:lineRule="auto" w:line="480" w:before="0" w:after="120"/>
      <w:ind w:firstLine="440" w:left="283"/>
    </w:pPr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13" w:customStyle="1">
    <w:name w:val="Абзац списка1"/>
    <w:basedOn w:val="Normal"/>
    <w:qFormat/>
    <w:pPr>
      <w:ind w:left="720"/>
    </w:pPr>
    <w:rPr/>
  </w:style>
  <w:style w:type="paragraph" w:styleId="14" w:customStyle="1">
    <w:name w:val="Обычный (веб)1"/>
    <w:basedOn w:val="Normal"/>
    <w:qFormat/>
    <w:pPr>
      <w:suppressAutoHyphens w:val="false"/>
      <w:spacing w:before="280" w:after="280"/>
    </w:pPr>
    <w:rPr/>
  </w:style>
  <w:style w:type="paragraph" w:styleId="FootnoteText">
    <w:name w:val="Footnote Text"/>
    <w:basedOn w:val="Normal"/>
    <w:uiPriority w:val="99"/>
    <w:pPr/>
    <w:rPr>
      <w:rFonts w:eastAsia="Calibri"/>
      <w:sz w:val="20"/>
      <w:szCs w:val="20"/>
    </w:rPr>
  </w:style>
  <w:style w:type="paragraph" w:styleId="15" w:customStyle="1">
    <w:name w:val="Текст выноски1"/>
    <w:basedOn w:val="Normal"/>
    <w:qFormat/>
    <w:pPr/>
    <w:rPr>
      <w:rFonts w:eastAsia="Calibri"/>
      <w:sz w:val="2"/>
      <w:szCs w:val="2"/>
    </w:rPr>
  </w:style>
  <w:style w:type="paragraph" w:styleId="Footer">
    <w:name w:val="Footer"/>
    <w:basedOn w:val="Normal"/>
    <w:pPr/>
    <w:rPr>
      <w:rFonts w:eastAsia="Calibri"/>
    </w:rPr>
  </w:style>
  <w:style w:type="paragraph" w:styleId="16" w:customStyle="1">
    <w:name w:val="Текст примечания1"/>
    <w:basedOn w:val="Normal"/>
    <w:qFormat/>
    <w:pPr/>
    <w:rPr>
      <w:rFonts w:eastAsia="Calibri"/>
      <w:sz w:val="20"/>
      <w:szCs w:val="20"/>
    </w:rPr>
  </w:style>
  <w:style w:type="paragraph" w:styleId="17" w:customStyle="1">
    <w:name w:val="Тема примечания1"/>
    <w:basedOn w:val="16"/>
    <w:next w:val="16"/>
    <w:qFormat/>
    <w:pPr/>
    <w:rPr>
      <w:b/>
      <w:bCs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text" w:customStyle="1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 w:customStyle="1">
    <w:name w:val="Table List"/>
    <w:qFormat/>
    <w:pPr>
      <w:widowControl/>
      <w:suppressAutoHyphens w:val="true"/>
      <w:bidi w:val="0"/>
      <w:spacing w:before="0" w:after="0"/>
      <w:ind w:hanging="170" w:left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1" w:customStyle="1">
    <w:name w:val="Table List 81"/>
    <w:basedOn w:val="TableList"/>
    <w:qFormat/>
    <w:pPr/>
    <w:rPr>
      <w:sz w:val="16"/>
    </w:rPr>
  </w:style>
  <w:style w:type="paragraph" w:styleId="ListParagraph">
    <w:name w:val="List Paragraph"/>
    <w:basedOn w:val="Normal"/>
    <w:link w:val="Style20"/>
    <w:uiPriority w:val="34"/>
    <w:qFormat/>
    <w:pPr>
      <w:spacing w:before="0" w:after="0"/>
      <w:ind w:firstLine="709" w:left="720"/>
      <w:contextualSpacing/>
    </w:pPr>
    <w:rPr/>
  </w:style>
  <w:style w:type="paragraph" w:styleId="18" w:customStyle="1">
    <w:name w:val="Подзаголовок1"/>
    <w:basedOn w:val="Default"/>
    <w:qFormat/>
    <w:pPr>
      <w:spacing w:before="113" w:after="113"/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AA3D-ABFC-479A-968F-D23FF08C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Application>LibreOffice/7.6.2.1$Linux_X86_64 LibreOffice_project/60$Build-1</Application>
  <AppVersion>15.0000</AppVersion>
  <Pages>11</Pages>
  <Words>1620</Words>
  <Characters>11703</Characters>
  <CharactersWithSpaces>13089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2023-10-27T15:25:26Z</dcterms:modified>
  <cp:revision>210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