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CA" w:rsidRDefault="00780FCA" w:rsidP="00780FCA">
      <w:pPr>
        <w:pStyle w:val="a4"/>
        <w:widowControl w:val="0"/>
        <w:adjustRightInd w:val="0"/>
        <w:snapToGrid w:val="0"/>
        <w:spacing w:line="360" w:lineRule="auto"/>
        <w:ind w:left="1" w:firstLineChars="0" w:firstLine="0"/>
        <w:jc w:val="both"/>
      </w:pPr>
      <w:r>
        <w:rPr>
          <w:rFonts w:hint="eastAsia"/>
        </w:rPr>
        <w:t>6、已知两类样本，</w:t>
      </w:r>
    </w:p>
    <w:p w:rsidR="00780FCA" w:rsidRDefault="00780FCA" w:rsidP="00780FCA">
      <w:pPr>
        <w:pStyle w:val="a4"/>
        <w:widowControl w:val="0"/>
        <w:adjustRightInd w:val="0"/>
        <w:snapToGrid w:val="0"/>
        <w:spacing w:line="360" w:lineRule="auto"/>
        <w:ind w:left="1" w:firstLineChars="0" w:firstLine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-1,-4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-1,-5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0,-4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(0,-5)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。</w:t>
      </w:r>
    </w:p>
    <w:p w:rsidR="00780FCA" w:rsidRDefault="00780FCA" w:rsidP="00780FCA">
      <w:pPr>
        <w:pStyle w:val="a4"/>
        <w:widowControl w:val="0"/>
        <w:adjustRightInd w:val="0"/>
        <w:snapToGrid w:val="0"/>
        <w:spacing w:line="360" w:lineRule="auto"/>
        <w:ind w:left="1" w:firstLineChars="0" w:firstLine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(1,5)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，试用PCA变化做一维特征提取，给出新的一维特征值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答：</w:t>
      </w:r>
      <w:r>
        <w:rPr>
          <w:rFonts w:asciiTheme="minorEastAsia" w:eastAsiaTheme="minorEastAsia" w:hAnsiTheme="minorEastAsia" w:cs="宋体" w:hint="eastAsia"/>
          <w:position w:val="-10"/>
          <w:sz w:val="24"/>
        </w:rPr>
        <w:object w:dxaOrig="2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9.15pt" o:ole="">
            <v:imagedata r:id="rId5" o:title=""/>
          </v:shape>
          <o:OLEObject Type="Embed" ProgID="Equation.3" ShapeID="_x0000_i1025" DrawAspect="Content" ObjectID="_1649177449" r:id="rId6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position w:val="-66"/>
          <w:sz w:val="24"/>
        </w:rPr>
        <w:object w:dxaOrig="6860" w:dyaOrig="1440">
          <v:shape id="_x0000_i1026" type="#_x0000_t75" style="width:343.15pt;height:1in" o:ole="">
            <v:imagedata r:id="rId7" o:title=""/>
          </v:shape>
          <o:OLEObject Type="Embed" ProgID="Equation.3" ShapeID="_x0000_i1026" DrawAspect="Content" ObjectID="_1649177450" r:id="rId8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求R的特征值、特征矢量：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position w:val="-10"/>
          <w:sz w:val="24"/>
        </w:rPr>
        <w:object w:dxaOrig="6460" w:dyaOrig="360">
          <v:shape id="_x0000_i1027" type="#_x0000_t75" style="width:322.9pt;height:18pt" o:ole="">
            <v:imagedata r:id="rId9" o:title=""/>
          </v:shape>
          <o:OLEObject Type="Embed" ProgID="Equation.3" ShapeID="_x0000_i1027" DrawAspect="Content" ObjectID="_1649177451" r:id="rId10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position w:val="-30"/>
          <w:sz w:val="24"/>
        </w:rPr>
        <w:object w:dxaOrig="4940" w:dyaOrig="720">
          <v:shape id="_x0000_i1028" type="#_x0000_t75" style="width:247.15pt;height:36pt" o:ole="">
            <v:imagedata r:id="rId11" o:title=""/>
          </v:shape>
          <o:OLEObject Type="Embed" ProgID="Equation.3" ShapeID="_x0000_i1028" DrawAspect="Content" ObjectID="_1649177452" r:id="rId12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选择</w:t>
      </w:r>
      <w:r>
        <w:rPr>
          <w:rFonts w:asciiTheme="minorEastAsia" w:eastAsiaTheme="minorEastAsia" w:hAnsiTheme="minorEastAsia" w:cs="宋体" w:hint="eastAsia"/>
          <w:position w:val="-10"/>
          <w:sz w:val="24"/>
        </w:rPr>
        <w:object w:dxaOrig="279" w:dyaOrig="340">
          <v:shape id="_x0000_i1029" type="#_x0000_t75" style="width:13.9pt;height:16.9pt" o:ole="">
            <v:imagedata r:id="rId13" o:title=""/>
          </v:shape>
          <o:OLEObject Type="Embed" ProgID="Equation.3" ShapeID="_x0000_i1029" DrawAspect="Content" ObjectID="_1649177453" r:id="rId14"/>
        </w:object>
      </w:r>
      <w:r>
        <w:rPr>
          <w:rFonts w:asciiTheme="minorEastAsia" w:eastAsiaTheme="minorEastAsia" w:hAnsiTheme="minorEastAsia" w:cs="宋体" w:hint="eastAsia"/>
          <w:sz w:val="24"/>
        </w:rPr>
        <w:t>对应的向量作为变换矩阵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position w:val="-30"/>
          <w:sz w:val="24"/>
        </w:rPr>
      </w:pPr>
      <w:r>
        <w:rPr>
          <w:rFonts w:asciiTheme="minorEastAsia" w:eastAsiaTheme="minorEastAsia" w:hAnsiTheme="minorEastAsia" w:cs="宋体"/>
          <w:position w:val="-30"/>
          <w:sz w:val="24"/>
        </w:rPr>
        <w:object w:dxaOrig="3879" w:dyaOrig="720">
          <v:shape id="_x0000_i1030" type="#_x0000_t75" alt="" style="width:193.9pt;height:36pt" o:ole="">
            <v:imagedata r:id="rId15" o:title=""/>
            <o:lock v:ext="edit" aspectratio="f"/>
          </v:shape>
          <o:OLEObject Type="Embed" ProgID="Equation.DSMT4" ShapeID="_x0000_i1030" DrawAspect="Content" ObjectID="_1649177454" r:id="rId16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position w:val="-30"/>
          <w:sz w:val="24"/>
        </w:rPr>
      </w:pPr>
      <w:r>
        <w:rPr>
          <w:rFonts w:asciiTheme="minorEastAsia" w:eastAsiaTheme="minorEastAsia" w:hAnsiTheme="minorEastAsia" w:cs="宋体" w:hint="eastAsia"/>
          <w:position w:val="-30"/>
          <w:sz w:val="24"/>
        </w:rPr>
        <w:t>以此类推：得到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position w:val="-30"/>
          <w:sz w:val="24"/>
        </w:rPr>
      </w:pPr>
      <w:r>
        <w:rPr>
          <w:rFonts w:asciiTheme="minorEastAsia" w:eastAsiaTheme="minorEastAsia" w:hAnsiTheme="minorEastAsia" w:cs="宋体"/>
          <w:position w:val="-28"/>
          <w:sz w:val="24"/>
        </w:rPr>
        <w:object w:dxaOrig="3140" w:dyaOrig="660">
          <v:shape id="_x0000_i1031" type="#_x0000_t75" style="width:157.15pt;height:33pt" o:ole="">
            <v:imagedata r:id="rId17" o:title=""/>
          </v:shape>
          <o:OLEObject Type="Embed" ProgID="Equation.3" ShapeID="_x0000_i1031" DrawAspect="Content" ObjectID="_1649177455" r:id="rId18"/>
        </w:object>
      </w:r>
      <w:r>
        <w:rPr>
          <w:rFonts w:asciiTheme="minorEastAsia" w:eastAsiaTheme="minorEastAsia" w:hAnsiTheme="minorEastAsia" w:cs="宋体" w:hint="eastAsia"/>
          <w:position w:val="-30"/>
          <w:sz w:val="24"/>
        </w:rPr>
        <w:t xml:space="preserve">    </w:t>
      </w:r>
      <w:r>
        <w:rPr>
          <w:rFonts w:asciiTheme="minorEastAsia" w:eastAsiaTheme="minorEastAsia" w:hAnsiTheme="minorEastAsia" w:cs="宋体" w:hint="eastAsia"/>
          <w:position w:val="-28"/>
          <w:sz w:val="24"/>
        </w:rPr>
        <w:object w:dxaOrig="2720" w:dyaOrig="660">
          <v:shape id="_x0000_i1039" type="#_x0000_t75" alt="" style="width:136.15pt;height:33pt" o:ole="">
            <v:imagedata r:id="rId19" o:title=""/>
          </v:shape>
          <o:OLEObject Type="Embed" ProgID="Equation.DSMT4" ShapeID="_x0000_i1039" DrawAspect="Content" ObjectID="_1649177456" r:id="rId20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position w:val="-30"/>
          <w:sz w:val="24"/>
        </w:rPr>
      </w:pPr>
    </w:p>
    <w:p w:rsidR="00780FCA" w:rsidRDefault="00780FCA" w:rsidP="00780FCA">
      <w:r>
        <w:rPr>
          <w:rFonts w:asciiTheme="minorEastAsia" w:eastAsiaTheme="minorEastAsia" w:hAnsiTheme="minorEastAsia" w:cs="宋体"/>
          <w:sz w:val="24"/>
        </w:rPr>
        <w:t>7</w:t>
      </w:r>
      <w:r>
        <w:rPr>
          <w:rFonts w:asciiTheme="minorEastAsia" w:eastAsiaTheme="minorEastAsia" w:hAnsiTheme="minorEastAsia" w:cs="宋体" w:hint="eastAsia"/>
          <w:sz w:val="24"/>
        </w:rPr>
        <w:t>、</w:t>
      </w:r>
      <w:r>
        <w:rPr>
          <w:rFonts w:ascii="宋体" w:hAnsi="宋体" w:hint="eastAsia"/>
          <w:sz w:val="24"/>
        </w:rPr>
        <w:t>特征选择的判据作用是什么？判据构造的原则是什么？请列举有哪些不同类型的判据，并简单说明至少三种特征选择方法。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答：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作用：特征选择</w:t>
      </w:r>
      <w:r>
        <w:rPr>
          <w:rFonts w:asciiTheme="minorEastAsia" w:eastAsiaTheme="minorEastAsia" w:hAnsiTheme="minorEastAsia" w:cs="宋体" w:hint="eastAsia"/>
          <w:sz w:val="24"/>
        </w:rPr>
        <w:t>的任务是找出一组对分类最好的特征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原则：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1. 与错误率有单调关系，</w:t>
      </w:r>
      <w:r>
        <w:rPr>
          <w:rFonts w:asciiTheme="minorEastAsia" w:eastAsiaTheme="minorEastAsia" w:hAnsiTheme="minorEastAsia" w:cs="宋体" w:hint="eastAsia"/>
          <w:noProof/>
          <w:sz w:val="24"/>
        </w:rPr>
        <w:drawing>
          <wp:inline distT="0" distB="0" distL="114300" distR="114300" wp14:anchorId="40E7A6FC" wp14:editId="11FDE1CC">
            <wp:extent cx="926465" cy="280035"/>
            <wp:effectExtent l="0" t="0" r="0" b="0"/>
            <wp:docPr id="37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宋体" w:hint="eastAsia"/>
          <w:sz w:val="24"/>
        </w:rPr>
        <w:t xml:space="preserve"> 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 xml:space="preserve">2. 判据具有“距离”的某些特性。 </w:t>
      </w:r>
      <w:r>
        <w:rPr>
          <w:noProof/>
        </w:rPr>
        <w:drawing>
          <wp:inline distT="0" distB="0" distL="114300" distR="114300" wp14:anchorId="53CC1731" wp14:editId="57A28299">
            <wp:extent cx="1912620" cy="287655"/>
            <wp:effectExtent l="0" t="0" r="0" b="190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3. 对独立的特征有可加性：</w:t>
      </w:r>
      <w:r>
        <w:rPr>
          <w:rFonts w:asciiTheme="minorEastAsia" w:eastAsiaTheme="minorEastAsia" w:hAnsiTheme="minorEastAsia" w:cs="宋体" w:hint="eastAsia"/>
          <w:sz w:val="24"/>
        </w:rPr>
        <w:object w:dxaOrig="3252" w:dyaOrig="784">
          <v:shape id="_x0000_i1032" type="#_x0000_t75" alt="" style="width:162.75pt;height:39.4pt" o:ole="">
            <v:imagedata r:id="rId23" o:title=""/>
          </v:shape>
          <o:OLEObject Type="Embed" ProgID="Equation.DSMT4" ShapeID="_x0000_i1032" DrawAspect="Content" ObjectID="_1649177457" r:id="rId24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lastRenderedPageBreak/>
        <w:t>4. 增加特征时判据</w:t>
      </w:r>
      <w:proofErr w:type="gramStart"/>
      <w:r>
        <w:rPr>
          <w:rFonts w:asciiTheme="minorEastAsia" w:eastAsiaTheme="minorEastAsia" w:hAnsiTheme="minorEastAsia" w:cs="宋体" w:hint="eastAsia"/>
          <w:sz w:val="24"/>
        </w:rPr>
        <w:t>不</w:t>
      </w:r>
      <w:proofErr w:type="gramEnd"/>
      <w:r>
        <w:rPr>
          <w:rFonts w:asciiTheme="minorEastAsia" w:eastAsiaTheme="minorEastAsia" w:hAnsiTheme="minorEastAsia" w:cs="宋体" w:hint="eastAsia"/>
          <w:sz w:val="24"/>
        </w:rPr>
        <w:t>减小：</w:t>
      </w:r>
      <w:r>
        <w:rPr>
          <w:rFonts w:asciiTheme="minorEastAsia" w:eastAsiaTheme="minorEastAsia" w:hAnsiTheme="minorEastAsia" w:cs="宋体" w:hint="eastAsia"/>
          <w:sz w:val="24"/>
        </w:rPr>
        <w:object w:dxaOrig="4852" w:dyaOrig="476">
          <v:shape id="_x0000_i1033" type="#_x0000_t75" alt="" style="width:242.65pt;height:23.65pt" o:ole="">
            <v:imagedata r:id="rId25" o:title=""/>
          </v:shape>
          <o:OLEObject Type="Embed" ProgID="Equation.3" ShapeID="_x0000_i1033" DrawAspect="Content" ObjectID="_1649177458" r:id="rId26"/>
        </w:objec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方法：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b/>
          <w:bCs/>
          <w:sz w:val="24"/>
        </w:rPr>
      </w:pPr>
      <w:r>
        <w:rPr>
          <w:rFonts w:asciiTheme="minorEastAsia" w:eastAsiaTheme="minorEastAsia" w:hAnsiTheme="minorEastAsia" w:cs="宋体"/>
          <w:b/>
          <w:bCs/>
          <w:sz w:val="24"/>
        </w:rPr>
        <w:t>基于全局寻优的分支定界法</w:t>
      </w:r>
    </w:p>
    <w:p w:rsidR="00780FCA" w:rsidRDefault="00780FCA" w:rsidP="00780FCA">
      <w:pPr>
        <w:spacing w:line="300" w:lineRule="auto"/>
        <w:ind w:firstLine="42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该方法是一种从包含所有候选特征开始，逐步去掉不被选中的特征的自顶向下的方法，具有回溯的过程，能够考虑到所有可能的组合。其基本思想是：设法将所有可能的特征组合构建成一个树状结构，按照特定的规律对树进行搜索，使得搜索过程尽可能早的达到最优解而不必遍历整棵树。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 w:hint="eastAsia"/>
          <w:sz w:val="24"/>
        </w:rPr>
        <w:t>要做到这一点必须要求准则判据对特征具有单调性，且当处理高维数据时，算法复杂度较高，所以很难广泛使用。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b/>
          <w:bCs/>
          <w:sz w:val="24"/>
        </w:rPr>
      </w:pPr>
      <w:r>
        <w:rPr>
          <w:rFonts w:asciiTheme="minorEastAsia" w:eastAsiaTheme="minorEastAsia" w:hAnsiTheme="minorEastAsia" w:cs="宋体"/>
          <w:b/>
          <w:bCs/>
          <w:sz w:val="24"/>
        </w:rPr>
        <w:t>基于启发式搜索的方法</w:t>
      </w:r>
    </w:p>
    <w:p w:rsidR="00780FCA" w:rsidRDefault="00780FCA" w:rsidP="00780FCA">
      <w:pPr>
        <w:spacing w:line="300" w:lineRule="auto"/>
        <w:ind w:firstLine="42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/>
          <w:sz w:val="24"/>
        </w:rPr>
        <w:t>很多情况下，即使采取分支定界法，全局寻优的方法计算量可能仍然很大，因此提出了一些基于启发式搜索的次优选择算法：单独最优特征组合，序列前向选择（SFS）及广义的SFS（GSFS），序列后向选择(SBS)及广义的SBS(GSFS)，增l去r选择及广义的增l去r选择方法，浮动搜索方法及浮动的广义后向选择方法(FGSBS)等。</w:t>
      </w:r>
    </w:p>
    <w:p w:rsidR="00780FCA" w:rsidRDefault="00780FCA" w:rsidP="00780FCA">
      <w:pPr>
        <w:spacing w:line="300" w:lineRule="auto"/>
        <w:ind w:firstLine="420"/>
        <w:rPr>
          <w:rFonts w:asciiTheme="minorEastAsia" w:eastAsiaTheme="minorEastAsia" w:hAnsiTheme="minorEastAsia" w:cs="宋体"/>
          <w:sz w:val="24"/>
        </w:rPr>
      </w:pP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b/>
          <w:bCs/>
          <w:sz w:val="24"/>
        </w:rPr>
      </w:pPr>
      <w:r>
        <w:rPr>
          <w:rFonts w:asciiTheme="minorEastAsia" w:eastAsiaTheme="minorEastAsia" w:hAnsiTheme="minorEastAsia" w:cs="宋体"/>
          <w:b/>
          <w:bCs/>
          <w:sz w:val="24"/>
        </w:rPr>
        <w:t>随机搜索方法</w:t>
      </w:r>
    </w:p>
    <w:p w:rsidR="00780FCA" w:rsidRDefault="00780FCA" w:rsidP="00780FCA">
      <w:pPr>
        <w:spacing w:line="300" w:lineRule="auto"/>
        <w:ind w:firstLine="420"/>
        <w:rPr>
          <w:rFonts w:asciiTheme="minorEastAsia" w:eastAsiaTheme="minorEastAsia" w:hAnsiTheme="minorEastAsia" w:cs="宋体"/>
          <w:sz w:val="24"/>
        </w:rPr>
      </w:pPr>
      <w:r>
        <w:rPr>
          <w:rFonts w:asciiTheme="minorEastAsia" w:eastAsiaTheme="minorEastAsia" w:hAnsiTheme="minorEastAsia" w:cs="宋体"/>
          <w:sz w:val="24"/>
        </w:rPr>
        <w:t>该类方法在计算中将特征选择问题与遗传算法、模拟退火算法、粒子群优化算法，随机森林或一个随机重采样过程结合起来，以概率推理和采样过程作为算法基础，基于分类估计的有效性，在算法运行过程中对每个特征赋予一定的权重，再根据给定的或自适应的阈值对特征的重要性进行评价。例如，Relief及其扩展算法就是一种典型的根据权重选择特征的随机搜索方法，它能有效的去掉无关特征，但不能去除冗余特征，且只能用于两类分类问题。</w:t>
      </w: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</w:p>
    <w:p w:rsidR="00780FCA" w:rsidRDefault="00780FCA" w:rsidP="00780FCA">
      <w:pPr>
        <w:spacing w:line="300" w:lineRule="auto"/>
        <w:rPr>
          <w:rFonts w:asciiTheme="minorEastAsia" w:eastAsiaTheme="minorEastAsia" w:hAnsiTheme="minorEastAsia" w:cs="宋体"/>
          <w:sz w:val="24"/>
        </w:rPr>
      </w:pPr>
    </w:p>
    <w:p w:rsidR="00780FCA" w:rsidRDefault="00780FCA" w:rsidP="00780FCA">
      <w:r>
        <w:rPr>
          <w:rFonts w:hint="eastAsia"/>
        </w:rPr>
        <w:t>8</w:t>
      </w:r>
      <w:r>
        <w:rPr>
          <w:rFonts w:hint="eastAsia"/>
        </w:rPr>
        <w:t>、假设一个抛硬币实验，假设正面向上设为</w:t>
      </w:r>
      <w:r>
        <w:rPr>
          <w:rFonts w:hint="eastAsia"/>
        </w:rPr>
        <w:t>U</w:t>
      </w:r>
      <w:r>
        <w:rPr>
          <w:rFonts w:hint="eastAsia"/>
        </w:rPr>
        <w:t>的概率为ρ，反面向上设为</w:t>
      </w:r>
      <w:r>
        <w:rPr>
          <w:rFonts w:hint="eastAsia"/>
        </w:rPr>
        <w:t>D</w:t>
      </w:r>
      <w:r>
        <w:rPr>
          <w:rFonts w:hint="eastAsia"/>
        </w:rPr>
        <w:t>概率为（</w:t>
      </w:r>
      <w:r>
        <w:t>1−ρ</w:t>
      </w:r>
      <w:r>
        <w:rPr>
          <w:rFonts w:hint="eastAsia"/>
        </w:rPr>
        <w:t>）</w:t>
      </w:r>
      <w:r>
        <w:t xml:space="preserve">. </w:t>
      </w:r>
      <w:r>
        <w:rPr>
          <w:rFonts w:hint="eastAsia"/>
        </w:rPr>
        <w:t>我们进行了</w:t>
      </w:r>
      <w:r>
        <w:t>3</w:t>
      </w:r>
      <w:r>
        <w:rPr>
          <w:rFonts w:hint="eastAsia"/>
        </w:rPr>
        <w:t>次实验，得到两次正面，一次反面，即序列为′</w:t>
      </w:r>
      <w:r>
        <w:rPr>
          <w:rFonts w:hint="eastAsia"/>
        </w:rPr>
        <w:t>UUD</w:t>
      </w:r>
      <w:r>
        <w:rPr>
          <w:rFonts w:hint="eastAsia"/>
        </w:rPr>
        <w:t>′。</w:t>
      </w:r>
    </w:p>
    <w:p w:rsidR="00780FCA" w:rsidRDefault="00780FCA" w:rsidP="00780FCA">
      <w:pPr>
        <w:pStyle w:val="a4"/>
        <w:widowControl w:val="0"/>
        <w:numPr>
          <w:ilvl w:val="0"/>
          <w:numId w:val="1"/>
        </w:numPr>
        <w:ind w:firstLineChars="0"/>
        <w:jc w:val="both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szCs w:val="21"/>
          <w:shd w:val="clear" w:color="auto" w:fill="FFFFFF"/>
        </w:rPr>
        <w:t>最大</w:t>
      </w:r>
      <w:r>
        <w:rPr>
          <w:rFonts w:ascii="Arial" w:hAnsi="Arial" w:cs="Arial"/>
          <w:szCs w:val="21"/>
          <w:shd w:val="clear" w:color="auto" w:fill="FFFFFF"/>
        </w:rPr>
        <w:t>似然估计</w:t>
      </w:r>
      <w:r>
        <w:rPr>
          <w:rFonts w:ascii="Arial" w:hAnsi="Arial" w:cs="Arial" w:hint="eastAsia"/>
          <w:szCs w:val="21"/>
          <w:shd w:val="clear" w:color="auto" w:fill="FFFFFF"/>
        </w:rPr>
        <w:t>求</w:t>
      </w:r>
      <w:r>
        <w:rPr>
          <w:rStyle w:val="mjxassistivemathml"/>
          <w:rFonts w:ascii="Arial" w:hAnsi="Arial" w:cs="Arial"/>
          <w:szCs w:val="21"/>
          <w:shd w:val="clear" w:color="auto" w:fill="FFFFFF"/>
        </w:rPr>
        <w:t>ρ</w:t>
      </w:r>
      <w:r>
        <w:rPr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的</w:t>
      </w:r>
      <w:r>
        <w:rPr>
          <w:rFonts w:ascii="Arial" w:hAnsi="Arial" w:cs="Arial" w:hint="eastAsia"/>
          <w:szCs w:val="21"/>
          <w:shd w:val="clear" w:color="auto" w:fill="FFFFFF"/>
        </w:rPr>
        <w:t>估计</w:t>
      </w:r>
      <w:r>
        <w:rPr>
          <w:rFonts w:ascii="Arial" w:hAnsi="Arial" w:cs="Arial"/>
          <w:szCs w:val="21"/>
          <w:shd w:val="clear" w:color="auto" w:fill="FFFFFF"/>
        </w:rPr>
        <w:t>值</w:t>
      </w:r>
    </w:p>
    <w:p w:rsidR="00780FCA" w:rsidRDefault="00780FCA" w:rsidP="00780FC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）假设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</w:rPr>
        <w:t>ρ</w:t>
      </w:r>
      <w:r>
        <w:rPr>
          <w:rFonts w:ascii="Arial" w:hAnsi="Arial" w:cs="Arial"/>
          <w:color w:val="4F4F4F"/>
        </w:rPr>
        <w:t>的先验概率是服从</w:t>
      </w:r>
      <w:r>
        <w:rPr>
          <w:rFonts w:ascii="Arial" w:hAnsi="Arial" w:cs="Arial"/>
          <w:color w:val="4F4F4F"/>
        </w:rPr>
        <w:t> </w:t>
      </w:r>
      <m:oMath>
        <m:r>
          <m:rPr>
            <m:sty m:val="p"/>
          </m:rPr>
          <w:rPr>
            <w:rFonts w:ascii="Cambria Math" w:hAnsi="Cambria Math" w:cs="Arial"/>
            <w:color w:val="4F4F4F"/>
          </w:rPr>
          <m:t>f</m:t>
        </m:r>
        <m:d>
          <m:dPr>
            <m:ctrlPr>
              <w:rPr>
                <w:rFonts w:ascii="Cambria Math" w:hAnsi="Cambria Math" w:cs="Arial"/>
                <w:color w:val="4F4F4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4F4F4F"/>
              </w:rPr>
              <m:t>ρ</m:t>
            </m:r>
          </m:e>
        </m:d>
        <m:r>
          <m:rPr>
            <m:sty m:val="p"/>
          </m:rPr>
          <w:rPr>
            <w:rFonts w:ascii="Cambria Math" w:hAnsi="Cambria Math" w:cs="Arial"/>
            <w:color w:val="4F4F4F"/>
          </w:rPr>
          <m:t>=6ρ(1-ρ)</m:t>
        </m:r>
      </m:oMath>
      <w:r>
        <w:rPr>
          <w:rFonts w:ascii="Arial" w:hAnsi="Arial" w:cs="Arial" w:hint="eastAsia"/>
          <w:color w:val="4F4F4F"/>
        </w:rPr>
        <w:t>，用最大后验概率估计</w:t>
      </w:r>
      <w:r>
        <w:rPr>
          <w:rStyle w:val="mjxassistivemathml"/>
          <w:rFonts w:ascii="Arial" w:hAnsi="Arial" w:cs="Arial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szCs w:val="21"/>
          <w:shd w:val="clear" w:color="auto" w:fill="FFFFFF"/>
        </w:rPr>
        <w:t> </w:t>
      </w:r>
      <w:r>
        <w:rPr>
          <w:rFonts w:ascii="Arial" w:hAnsi="Arial" w:cs="Arial"/>
          <w:szCs w:val="21"/>
          <w:shd w:val="clear" w:color="auto" w:fill="FFFFFF"/>
        </w:rPr>
        <w:t>的值</w:t>
      </w:r>
      <w:r>
        <w:rPr>
          <w:rFonts w:ascii="Arial" w:hAnsi="Arial" w:cs="Arial"/>
          <w:szCs w:val="21"/>
          <w:shd w:val="clear" w:color="auto" w:fill="FFFFFF"/>
        </w:rPr>
        <w:t>.</w:t>
      </w: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 w:val="25"/>
          <w:szCs w:val="25"/>
        </w:rPr>
        <w:t>（</w:t>
      </w:r>
      <w:r>
        <w:rPr>
          <w:rFonts w:ascii="Arial" w:hAnsi="Arial" w:cs="Arial"/>
          <w:sz w:val="25"/>
          <w:szCs w:val="25"/>
        </w:rPr>
        <w:t>3</w:t>
      </w:r>
      <w:r>
        <w:rPr>
          <w:rFonts w:ascii="Arial" w:hAnsi="Arial" w:cs="Arial"/>
          <w:sz w:val="25"/>
          <w:szCs w:val="25"/>
        </w:rPr>
        <w:t>）</w:t>
      </w:r>
      <w:r>
        <w:rPr>
          <w:rFonts w:ascii="Arial" w:hAnsi="Arial" w:cs="Arial"/>
          <w:color w:val="4F4F4F"/>
        </w:rPr>
        <w:t>假设</w:t>
      </w:r>
      <w:r>
        <w:rPr>
          <w:rStyle w:val="mi"/>
          <w:rFonts w:ascii="MathJax_Math-italic" w:hAnsi="MathJax_Math-italic" w:cs="Arial"/>
          <w:color w:val="4F4F4F"/>
          <w:sz w:val="29"/>
          <w:szCs w:val="29"/>
        </w:rPr>
        <w:t>ρ</w:t>
      </w:r>
      <w:r>
        <w:rPr>
          <w:rFonts w:ascii="Arial" w:hAnsi="Arial" w:cs="Arial"/>
          <w:color w:val="4F4F4F"/>
        </w:rPr>
        <w:t>的先验概率是服从</w:t>
      </w:r>
      <w:r>
        <w:rPr>
          <w:rFonts w:ascii="Arial" w:hAnsi="Arial" w:cs="Arial"/>
          <w:color w:val="4F4F4F"/>
        </w:rPr>
        <w:t> </w:t>
      </w:r>
      <m:oMath>
        <m:r>
          <m:rPr>
            <m:sty m:val="p"/>
          </m:rPr>
          <w:rPr>
            <w:rFonts w:ascii="Cambria Math" w:hAnsi="Cambria Math" w:cs="Arial"/>
            <w:color w:val="4F4F4F"/>
          </w:rPr>
          <m:t>f</m:t>
        </m:r>
        <m:d>
          <m:dPr>
            <m:ctrlPr>
              <w:rPr>
                <w:rFonts w:ascii="Cambria Math" w:hAnsi="Cambria Math" w:cs="Arial"/>
                <w:color w:val="4F4F4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4F4F4F"/>
              </w:rPr>
              <m:t>ρ</m:t>
            </m:r>
          </m:e>
        </m:d>
        <m:r>
          <m:rPr>
            <m:sty m:val="p"/>
          </m:rPr>
          <w:rPr>
            <w:rFonts w:ascii="Cambria Math" w:hAnsi="Cambria Math" w:cs="Arial"/>
            <w:color w:val="4F4F4F"/>
          </w:rPr>
          <m:t>=6ρ(1-ρ)</m:t>
        </m:r>
      </m:oMath>
      <w:r>
        <w:rPr>
          <w:rFonts w:ascii="Arial" w:hAnsi="Arial" w:cs="Arial" w:hint="eastAsia"/>
          <w:color w:val="4F4F4F"/>
        </w:rPr>
        <w:t>，求贝叶斯估计的</w:t>
      </w:r>
      <w:r>
        <w:rPr>
          <w:rStyle w:val="mjxassistivemathml"/>
          <w:rFonts w:ascii="Arial" w:hAnsi="Arial" w:cs="Arial"/>
          <w:szCs w:val="21"/>
          <w:shd w:val="clear" w:color="auto" w:fill="FFFFFF"/>
        </w:rPr>
        <w:t>ρ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的分布。</w:t>
      </w: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答：</w:t>
      </w:r>
    </w:p>
    <w:p w:rsidR="00780FCA" w:rsidRDefault="00780FCA" w:rsidP="00780FCA">
      <w:pPr>
        <w:numPr>
          <w:ilvl w:val="0"/>
          <w:numId w:val="2"/>
        </w:num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object w:dxaOrig="2340" w:dyaOrig="720">
          <v:shape id="_x0000_i1034" type="#_x0000_t75" style="width:117pt;height:36pt" o:ole="">
            <v:imagedata r:id="rId27" o:title=""/>
          </v:shape>
          <o:OLEObject Type="Embed" ProgID="Equation.3" ShapeID="_x0000_i1034" DrawAspect="Content" ObjectID="_1649177459" r:id="rId28"/>
        </w:objec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 xml:space="preserve">      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object w:dxaOrig="3360" w:dyaOrig="680">
          <v:shape id="_x0000_i1035" type="#_x0000_t75" style="width:168pt;height:34.15pt" o:ole="">
            <v:imagedata r:id="rId29" o:title=""/>
          </v:shape>
          <o:OLEObject Type="Embed" ProgID="Equation.3" ShapeID="_x0000_i1035" DrawAspect="Content" ObjectID="_1649177460" r:id="rId30"/>
        </w:object>
      </w: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object w:dxaOrig="6259" w:dyaOrig="620">
          <v:shape id="_x0000_i1036" type="#_x0000_t75" style="width:313.15pt;height:31.15pt" o:ole="">
            <v:imagedata r:id="rId31" o:title=""/>
          </v:shape>
          <o:OLEObject Type="Embed" ProgID="Equation.3" ShapeID="_x0000_i1036" DrawAspect="Content" ObjectID="_1649177461" r:id="rId32"/>
        </w:object>
      </w: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/>
          <w:szCs w:val="21"/>
          <w:shd w:val="clear" w:color="auto" w:fill="FFFFFF"/>
        </w:rPr>
        <w:t>ρ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=0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舍，取</w:t>
      </w:r>
      <w:r>
        <w:rPr>
          <w:rStyle w:val="mjxassistivemathml"/>
          <w:rFonts w:ascii="Arial" w:hAnsi="Arial" w:cs="Arial"/>
          <w:szCs w:val="21"/>
          <w:shd w:val="clear" w:color="auto" w:fill="FFFFFF"/>
        </w:rPr>
        <w:t>ρ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=0.67</w:t>
      </w: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（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2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）</w:t>
      </w:r>
    </w:p>
    <w:p w:rsidR="00780FCA" w:rsidRDefault="00780FCA" w:rsidP="00780FCA">
      <w:pPr>
        <w:rPr>
          <w:rStyle w:val="mjxassistivemathml"/>
          <w:rFonts w:ascii="Cambria Math" w:hAnsi="Cambria Math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 </w:t>
      </w:r>
      <m:oMath>
        <m:r>
          <m:rPr>
            <m:sty m:val="p"/>
          </m:rPr>
          <w:rPr>
            <w:rStyle w:val="mjxassistivemathml"/>
            <w:rFonts w:ascii="Cambria Math" w:hAnsi="Cambria Math" w:cs="Arial" w:hint="eastAsia"/>
            <w:szCs w:val="21"/>
            <w:shd w:val="clear" w:color="auto" w:fill="FFFFFF"/>
          </w:rPr>
          <m:t>f</m:t>
        </m:r>
        <m:d>
          <m:dPr>
            <m:ctrlPr>
              <w:rPr>
                <w:rStyle w:val="mjxassistivemathml"/>
                <w:rFonts w:ascii="Cambria Math" w:hAnsi="Cambria Math" w:cs="Arial" w:hint="eastAsia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mjxassistivemathml"/>
                <w:rFonts w:ascii="Cambria Math" w:hAnsi="Cambria Math" w:cs="Arial" w:hint="eastAsia"/>
                <w:szCs w:val="21"/>
                <w:shd w:val="clear" w:color="auto" w:fill="FFFFFF"/>
              </w:rPr>
              <m:t>ρ</m:t>
            </m:r>
          </m:e>
        </m:d>
        <m:r>
          <m:rPr>
            <m:sty m:val="p"/>
          </m:rPr>
          <w:rPr>
            <w:rStyle w:val="mjxassistivemathml"/>
            <w:rFonts w:ascii="Cambria Math" w:hAnsi="Cambria Math" w:cs="Arial" w:hint="eastAsia"/>
            <w:szCs w:val="21"/>
            <w:shd w:val="clear" w:color="auto" w:fill="FFFFFF"/>
          </w:rPr>
          <m:t>=6</m:t>
        </m:r>
        <m:r>
          <m:rPr>
            <m:sty m:val="p"/>
          </m:rPr>
          <w:rPr>
            <w:rStyle w:val="mjxassistivemathml"/>
            <w:rFonts w:ascii="Cambria Math" w:hAnsi="Cambria Math" w:cs="Arial" w:hint="eastAsia"/>
            <w:szCs w:val="21"/>
            <w:shd w:val="clear" w:color="auto" w:fill="FFFFFF"/>
          </w:rPr>
          <m:t>ρ</m:t>
        </m:r>
        <m:r>
          <m:rPr>
            <m:sty m:val="p"/>
          </m:rPr>
          <w:rPr>
            <w:rStyle w:val="mjxassistivemathml"/>
            <w:rFonts w:ascii="Cambria Math" w:hAnsi="Cambria Math" w:cs="Arial" w:hint="eastAsia"/>
            <w:szCs w:val="21"/>
            <w:shd w:val="clear" w:color="auto" w:fill="FFFFFF"/>
          </w:rPr>
          <m:t>(1</m:t>
        </m:r>
        <m:r>
          <m:rPr>
            <m:sty m:val="p"/>
          </m:rPr>
          <w:rPr>
            <w:rStyle w:val="mjxassistivemathml"/>
            <w:rFonts w:ascii="Cambria Math" w:hAnsi="Cambria Math" w:cs="Arial" w:hint="eastAsia"/>
            <w:szCs w:val="21"/>
            <w:shd w:val="clear" w:color="auto" w:fill="FFFFFF"/>
          </w:rPr>
          <m:t>-ρ</m:t>
        </m:r>
        <m:r>
          <m:rPr>
            <m:sty m:val="p"/>
          </m:rPr>
          <w:rPr>
            <w:rStyle w:val="mjxassistivemathml"/>
            <w:rFonts w:ascii="Cambria Math" w:hAnsi="Cambria Math" w:cs="Arial" w:hint="eastAsia"/>
            <w:szCs w:val="21"/>
            <w:shd w:val="clear" w:color="auto" w:fill="FFFFFF"/>
          </w:rPr>
          <m:t>)</m:t>
        </m:r>
      </m:oMath>
    </w:p>
    <w:p w:rsidR="00780FCA" w:rsidRDefault="00780FCA" w:rsidP="00780FCA">
      <w:pPr>
        <w:rPr>
          <w:rStyle w:val="mjxassistivemathml"/>
          <w:rFonts w:ascii="Cambria Math" w:hAnsi="Cambria Math" w:cs="Arial"/>
          <w:szCs w:val="21"/>
          <w:shd w:val="clear" w:color="auto" w:fill="FFFFFF"/>
        </w:rPr>
      </w:pPr>
      <w:r>
        <w:rPr>
          <w:rStyle w:val="mjxassistivemathml"/>
          <w:rFonts w:ascii="Cambria Math" w:hAnsi="Cambria Math" w:cs="Arial" w:hint="eastAsia"/>
          <w:szCs w:val="21"/>
          <w:shd w:val="clear" w:color="auto" w:fill="FFFFFF"/>
        </w:rPr>
        <w:object w:dxaOrig="4660" w:dyaOrig="680">
          <v:shape id="_x0000_i1037" type="#_x0000_t75" style="width:232.9pt;height:34.15pt" o:ole="">
            <v:imagedata r:id="rId33" o:title=""/>
          </v:shape>
          <o:OLEObject Type="Embed" ProgID="Equation.3" ShapeID="_x0000_i1037" DrawAspect="Content" ObjectID="_1649177462" r:id="rId34"/>
        </w:object>
      </w:r>
    </w:p>
    <w:p w:rsidR="00780FCA" w:rsidRDefault="00780FCA" w:rsidP="00780FCA">
      <w:pPr>
        <w:rPr>
          <w:rStyle w:val="mjxassistivemathml"/>
          <w:rFonts w:ascii="Cambria Math" w:hAnsi="Cambria Math" w:cs="Arial"/>
          <w:szCs w:val="21"/>
          <w:shd w:val="clear" w:color="auto" w:fill="FFFFFF"/>
        </w:rPr>
      </w:pPr>
      <w:r w:rsidRPr="00780FCA">
        <w:rPr>
          <w:rStyle w:val="mjxassistivemathml"/>
          <w:rFonts w:ascii="Cambria Math" w:hAnsi="Cambria Math" w:cs="Arial" w:hint="eastAsia"/>
          <w:position w:val="-14"/>
          <w:szCs w:val="21"/>
          <w:shd w:val="clear" w:color="auto" w:fill="FFFFFF"/>
        </w:rPr>
        <w:object w:dxaOrig="6520" w:dyaOrig="400">
          <v:shape id="_x0000_i1040" type="#_x0000_t75" style="width:325.9pt;height:19.9pt" o:ole="">
            <v:imagedata r:id="rId35" o:title=""/>
          </v:shape>
          <o:OLEObject Type="Embed" ProgID="Equation.DSMT4" ShapeID="_x0000_i1040" DrawAspect="Content" ObjectID="_1649177463" r:id="rId36"/>
        </w:object>
      </w: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（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3</w:t>
      </w: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t>）</w:t>
      </w:r>
    </w:p>
    <w:p w:rsidR="00780FCA" w:rsidRDefault="00780FCA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>
        <w:rPr>
          <w:rStyle w:val="mjxassistivemathml"/>
          <w:rFonts w:ascii="Arial" w:hAnsi="Arial" w:cs="Arial" w:hint="eastAsia"/>
          <w:szCs w:val="21"/>
          <w:shd w:val="clear" w:color="auto" w:fill="FFFFFF"/>
        </w:rPr>
        <w:object w:dxaOrig="4660" w:dyaOrig="680">
          <v:shape id="_x0000_i1038" type="#_x0000_t75" alt="" style="width:232.9pt;height:34.15pt" o:ole="">
            <v:imagedata r:id="rId37" o:title=""/>
          </v:shape>
          <o:OLEObject Type="Embed" ProgID="Equation.3" ShapeID="_x0000_i1038" DrawAspect="Content" ObjectID="_1649177464" r:id="rId38"/>
        </w:object>
      </w:r>
    </w:p>
    <w:p w:rsidR="00780FCA" w:rsidRDefault="001F5454" w:rsidP="00780FCA">
      <w:pPr>
        <w:rPr>
          <w:rStyle w:val="mjxassistivemathml"/>
          <w:rFonts w:ascii="Arial" w:hAnsi="Arial" w:cs="Arial"/>
          <w:szCs w:val="21"/>
          <w:shd w:val="clear" w:color="auto" w:fill="FFFFFF"/>
        </w:rPr>
      </w:pPr>
      <w:r w:rsidRPr="001F5454">
        <w:rPr>
          <w:rStyle w:val="mjxassistivemathml"/>
          <w:rFonts w:ascii="Arial" w:hAnsi="Arial" w:cs="Arial" w:hint="eastAsia"/>
          <w:position w:val="-40"/>
          <w:szCs w:val="21"/>
          <w:shd w:val="clear" w:color="auto" w:fill="FFFFFF"/>
        </w:rPr>
        <w:object w:dxaOrig="7380" w:dyaOrig="820">
          <v:shape id="_x0000_i1041" type="#_x0000_t75" style="width:369pt;height:40.9pt" o:ole="">
            <v:imagedata r:id="rId39" o:title=""/>
          </v:shape>
          <o:OLEObject Type="Embed" ProgID="Equation.DSMT4" ShapeID="_x0000_i1041" DrawAspect="Content" ObjectID="_1649177465" r:id="rId40"/>
        </w:object>
      </w:r>
      <w:bookmarkStart w:id="0" w:name="_GoBack"/>
      <w:bookmarkEnd w:id="0"/>
    </w:p>
    <w:p w:rsidR="00F82158" w:rsidRDefault="00F82158"/>
    <w:sectPr w:rsidR="00F8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1F33"/>
    <w:multiLevelType w:val="multilevel"/>
    <w:tmpl w:val="1AF31F33"/>
    <w:lvl w:ilvl="0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99F83"/>
    <w:multiLevelType w:val="singleLevel"/>
    <w:tmpl w:val="26899F8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CA"/>
    <w:rsid w:val="001F5454"/>
    <w:rsid w:val="00780FCA"/>
    <w:rsid w:val="00D32006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F1D37-92B7-4A87-80FF-B41D4E58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F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F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80FC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mi">
    <w:name w:val="mi"/>
    <w:basedOn w:val="a0"/>
    <w:rsid w:val="00780FCA"/>
  </w:style>
  <w:style w:type="character" w:customStyle="1" w:styleId="mjxassistivemathml">
    <w:name w:val="mjx_assistive_mathml"/>
    <w:basedOn w:val="a0"/>
    <w:qFormat/>
    <w:rsid w:val="0078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by6040130@163.com</dc:creator>
  <cp:keywords/>
  <dc:description/>
  <cp:lastModifiedBy>by6040130@163.com</cp:lastModifiedBy>
  <cp:revision>2</cp:revision>
  <dcterms:created xsi:type="dcterms:W3CDTF">2020-04-23T11:25:00Z</dcterms:created>
  <dcterms:modified xsi:type="dcterms:W3CDTF">2020-04-23T12:00:00Z</dcterms:modified>
</cp:coreProperties>
</file>