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Kinematic penalties are tested on two real rocket telemetry datasets.</w:t>
      </w:r>
    </w:p>
    <w:p>
      <w:pPr>
        <w:pStyle w:val="ListBullet"/>
      </w:pPr>
      <w:r>
        <w:t>Falcon 9 constraint compliance improves without a reliable accuracy gain.</w:t>
      </w:r>
    </w:p>
    <w:p>
      <w:pPr>
        <w:pStyle w:val="ListBullet"/>
      </w:pPr>
      <w:r>
        <w:t>An altitude-rate bound explains the flight-specific Iridium NEXT-5 gain.</w:t>
      </w:r>
    </w:p>
    <w:p>
      <w:pPr>
        <w:pStyle w:val="ListBullet"/>
      </w:pPr>
      <w:r>
        <w:t>The Iridium-family replication improves only two of five held-out flights.</w:t>
      </w:r>
    </w:p>
    <w:p>
      <w:pPr>
        <w:pStyle w:val="ListBullet"/>
      </w:pPr>
      <w:r>
        <w:t>FlightSketch constrained models lose all five paired seed comparisons.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Kağan Yurtkölesi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