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Information</w:t>
      </w:r>
    </w:p>
    <w:p>
      <w:pPr>
        <w:jc w:val="center"/>
      </w:pPr>
      <w:r>
        <w:rPr>
          <w:rFonts w:ascii="Arial" w:hAnsi="Arial"/>
          <w:b/>
          <w:color w:val="17365D"/>
          <w:sz w:val="24"/>
        </w:rPr>
        <w:t>When kinematic constraints conflict with rocket telemetry:</w:t>
        <w:br/>
        <w:t>sparse trajectory reconstruction across two real-flight datasets</w:t>
      </w:r>
    </w:p>
    <w:p>
      <w:pPr>
        <w:jc w:val="center"/>
      </w:pPr>
      <w:r>
        <w:rPr>
          <w:rFonts w:ascii="Arial" w:hAnsi="Arial"/>
          <w:b/>
          <w:sz w:val="21"/>
        </w:rPr>
        <w:t>Kağan Yurtkölesi</w:t>
      </w:r>
    </w:p>
    <w:p>
      <w:pPr>
        <w:jc w:val="center"/>
      </w:pPr>
      <w:r>
        <w:t>Department of Aerospace Engineering, Izmir University of Economics, Izmir, Türkiye</w:t>
        <w:br/>
      </w:r>
      <w:r>
        <w:t>Correspondence: kagan.yurtkolesi@std.iue.edu.tr</w:t>
      </w:r>
    </w:p>
    <w:p>
      <w:pPr>
        <w:pStyle w:val="Heading1"/>
      </w:pPr>
      <w:r>
        <w:t>S1. Overview and relation to the main article</w:t>
      </w:r>
    </w:p>
    <w:p>
      <w:r>
        <w:t>This Supplementary Information (SI) documents data partitions, hyperparameter selection, deterministic sparse-observation masks, flight-level outcomes, targeted Iridium NEXT-5 diagnostics, the independent FlightSketch reconstruction, and integrity checks supporting the main article. It is intended to make the analysis auditable without expanding the claims beyond the evidence. The primary estimand throughout is paired performance under identical observations, model capacity, training protocol, and random seed; the penalty distinguishes the model objectives, while RQ1 final epoch counts were fixed separately by model selection.</w:t>
      </w:r>
    </w:p>
    <w:p>
      <w:r>
        <w:t>The two research questions have different evidential roles. RQ1 is a split-preserving analysis of 40 Falcon 9 flights with an untouched six-flight test set. RQ2 is an independent, public-source reconstruction whose confirmatory v1.1 split was fixed after a source and implementation audit; it is not described as a pristine sealed test because the historical split artifact was unavailable and prior aggregate results had already been observed.</w:t>
      </w:r>
    </w:p>
    <w:p>
      <w:pPr>
        <w:pStyle w:val="Supplementcaption"/>
        <w:keepNext/>
      </w:pPr>
      <w:r>
        <w:t>Table S1. Supplement map.</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5083"/>
        <w:gridCol w:w="5083"/>
      </w:tblGrid>
      <w:tr>
        <w:trPr>
          <w:tblHeader w:val="true"/>
          <w:cantSplit/>
          <w:tblHeader/>
        </w:trPr>
        <w:tc>
          <w:tcPr>
            <w:tcW w:type="dxa" w:w="1008"/>
            <w:vAlign w:val="center"/>
            <w:shd w:fill="17365D"/>
          </w:tcPr>
          <w:p>
            <w:pPr>
              <w:spacing w:after="0"/>
            </w:pPr>
            <w:r/>
            <w:r>
              <w:rPr>
                <w:rFonts w:ascii="Arial" w:hAnsi="Arial" w:eastAsia="Arial"/>
                <w:b/>
                <w:color w:val="FFFFFF"/>
                <w:sz w:val="15"/>
              </w:rPr>
              <w:t>Section</w:t>
            </w:r>
          </w:p>
        </w:tc>
        <w:tc>
          <w:tcPr>
            <w:tcW w:type="dxa" w:w="9360"/>
            <w:vAlign w:val="center"/>
            <w:shd w:fill="17365D"/>
          </w:tcPr>
          <w:p>
            <w:pPr>
              <w:spacing w:after="0"/>
            </w:pPr>
            <w:r/>
            <w:r>
              <w:rPr>
                <w:rFonts w:ascii="Arial" w:hAnsi="Arial" w:eastAsia="Arial"/>
                <w:b/>
                <w:color w:val="FFFFFF"/>
                <w:sz w:val="15"/>
              </w:rPr>
              <w:t>Contents</w:t>
            </w:r>
          </w:p>
        </w:tc>
      </w:tr>
      <w:tr>
        <w:trPr>
          <w:cantSplit/>
        </w:trPr>
        <w:tc>
          <w:tcPr>
            <w:tcW w:type="dxa" w:w="1008"/>
            <w:vAlign w:val="center"/>
          </w:tcPr>
          <w:p>
            <w:pPr>
              <w:spacing w:after="0"/>
            </w:pPr>
            <w:r/>
            <w:r>
              <w:rPr>
                <w:rFonts w:ascii="Arial" w:hAnsi="Arial" w:eastAsia="Arial"/>
                <w:b w:val="0"/>
                <w:sz w:val="15"/>
              </w:rPr>
              <w:t>S2</w:t>
            </w:r>
          </w:p>
        </w:tc>
        <w:tc>
          <w:tcPr>
            <w:tcW w:type="dxa" w:w="9360"/>
            <w:vAlign w:val="center"/>
          </w:tcPr>
          <w:p>
            <w:pPr>
              <w:spacing w:after="0"/>
            </w:pPr>
            <w:r/>
            <w:r>
              <w:rPr>
                <w:rFonts w:ascii="Arial" w:hAnsi="Arial" w:eastAsia="Arial"/>
                <w:b w:val="0"/>
                <w:sz w:val="15"/>
              </w:rPr>
              <w:t>RQ1 source cohort and split roster</w:t>
            </w:r>
          </w:p>
        </w:tc>
      </w:tr>
      <w:tr>
        <w:trPr>
          <w:cantSplit/>
        </w:trPr>
        <w:tc>
          <w:tcPr>
            <w:tcW w:type="dxa" w:w="1008"/>
            <w:vAlign w:val="center"/>
            <w:shd w:fill="EAF0F8"/>
          </w:tcPr>
          <w:p>
            <w:pPr>
              <w:spacing w:after="0"/>
            </w:pPr>
            <w:r/>
            <w:r>
              <w:rPr>
                <w:rFonts w:ascii="Arial" w:hAnsi="Arial" w:eastAsia="Arial"/>
                <w:b w:val="0"/>
                <w:sz w:val="15"/>
              </w:rPr>
              <w:t>S3</w:t>
            </w:r>
          </w:p>
        </w:tc>
        <w:tc>
          <w:tcPr>
            <w:tcW w:type="dxa" w:w="9360"/>
            <w:vAlign w:val="center"/>
            <w:shd w:fill="EAF0F8"/>
          </w:tcPr>
          <w:p>
            <w:pPr>
              <w:spacing w:after="0"/>
            </w:pPr>
            <w:r/>
            <w:r>
              <w:rPr>
                <w:rFonts w:ascii="Arial" w:hAnsi="Arial" w:eastAsia="Arial"/>
                <w:b w:val="0"/>
                <w:sz w:val="15"/>
              </w:rPr>
              <w:t>RQ1 model, loss, selection, and deterministic masking</w:t>
            </w:r>
          </w:p>
        </w:tc>
      </w:tr>
      <w:tr>
        <w:trPr>
          <w:cantSplit/>
        </w:trPr>
        <w:tc>
          <w:tcPr>
            <w:tcW w:type="dxa" w:w="1008"/>
            <w:vAlign w:val="center"/>
          </w:tcPr>
          <w:p>
            <w:pPr>
              <w:spacing w:after="0"/>
            </w:pPr>
            <w:r/>
            <w:r>
              <w:rPr>
                <w:rFonts w:ascii="Arial" w:hAnsi="Arial" w:eastAsia="Arial"/>
                <w:b w:val="0"/>
                <w:sz w:val="15"/>
              </w:rPr>
              <w:t>S4</w:t>
            </w:r>
          </w:p>
        </w:tc>
        <w:tc>
          <w:tcPr>
            <w:tcW w:type="dxa" w:w="9360"/>
            <w:vAlign w:val="center"/>
          </w:tcPr>
          <w:p>
            <w:pPr>
              <w:spacing w:after="0"/>
            </w:pPr>
            <w:r/>
            <w:r>
              <w:rPr>
                <w:rFonts w:ascii="Arial" w:hAnsi="Arial" w:eastAsia="Arial"/>
                <w:b w:val="0"/>
                <w:sz w:val="15"/>
              </w:rPr>
              <w:t>RQ1 detailed outer-validation and held-out results</w:t>
            </w:r>
          </w:p>
        </w:tc>
      </w:tr>
      <w:tr>
        <w:trPr>
          <w:cantSplit/>
        </w:trPr>
        <w:tc>
          <w:tcPr>
            <w:tcW w:type="dxa" w:w="1008"/>
            <w:vAlign w:val="center"/>
            <w:shd w:fill="EAF0F8"/>
          </w:tcPr>
          <w:p>
            <w:pPr>
              <w:spacing w:after="0"/>
            </w:pPr>
            <w:r/>
            <w:r>
              <w:rPr>
                <w:rFonts w:ascii="Arial" w:hAnsi="Arial" w:eastAsia="Arial"/>
                <w:b w:val="0"/>
                <w:sz w:val="15"/>
              </w:rPr>
              <w:t>S5</w:t>
            </w:r>
          </w:p>
        </w:tc>
        <w:tc>
          <w:tcPr>
            <w:tcW w:type="dxa" w:w="9360"/>
            <w:vAlign w:val="center"/>
            <w:shd w:fill="EAF0F8"/>
          </w:tcPr>
          <w:p>
            <w:pPr>
              <w:spacing w:after="0"/>
            </w:pPr>
            <w:r/>
            <w:r>
              <w:rPr>
                <w:rFonts w:ascii="Arial" w:hAnsi="Arial" w:eastAsia="Arial"/>
                <w:b w:val="0"/>
                <w:sz w:val="15"/>
              </w:rPr>
              <w:t>Iridium NEXT-5 diagnostics, ablations, and family transfer</w:t>
            </w:r>
          </w:p>
        </w:tc>
      </w:tr>
      <w:tr>
        <w:trPr>
          <w:cantSplit/>
        </w:trPr>
        <w:tc>
          <w:tcPr>
            <w:tcW w:type="dxa" w:w="1008"/>
            <w:vAlign w:val="center"/>
          </w:tcPr>
          <w:p>
            <w:pPr>
              <w:spacing w:after="0"/>
            </w:pPr>
            <w:r/>
            <w:r>
              <w:rPr>
                <w:rFonts w:ascii="Arial" w:hAnsi="Arial" w:eastAsia="Arial"/>
                <w:b w:val="0"/>
                <w:sz w:val="15"/>
              </w:rPr>
              <w:t>S6</w:t>
            </w:r>
          </w:p>
        </w:tc>
        <w:tc>
          <w:tcPr>
            <w:tcW w:type="dxa" w:w="9360"/>
            <w:vAlign w:val="center"/>
          </w:tcPr>
          <w:p>
            <w:pPr>
              <w:spacing w:after="0"/>
            </w:pPr>
            <w:r/>
            <w:r>
              <w:rPr>
                <w:rFonts w:ascii="Arial" w:hAnsi="Arial" w:eastAsia="Arial"/>
                <w:b w:val="0"/>
                <w:sz w:val="15"/>
              </w:rPr>
              <w:t>RQ2 source audit and curation</w:t>
            </w:r>
          </w:p>
        </w:tc>
      </w:tr>
      <w:tr>
        <w:trPr>
          <w:cantSplit/>
        </w:trPr>
        <w:tc>
          <w:tcPr>
            <w:tcW w:type="dxa" w:w="1008"/>
            <w:vAlign w:val="center"/>
            <w:shd w:fill="EAF0F8"/>
          </w:tcPr>
          <w:p>
            <w:pPr>
              <w:spacing w:after="0"/>
            </w:pPr>
            <w:r/>
            <w:r>
              <w:rPr>
                <w:rFonts w:ascii="Arial" w:hAnsi="Arial" w:eastAsia="Arial"/>
                <w:b w:val="0"/>
                <w:sz w:val="15"/>
              </w:rPr>
              <w:t>S7</w:t>
            </w:r>
          </w:p>
        </w:tc>
        <w:tc>
          <w:tcPr>
            <w:tcW w:type="dxa" w:w="9360"/>
            <w:vAlign w:val="center"/>
            <w:shd w:fill="EAF0F8"/>
          </w:tcPr>
          <w:p>
            <w:pPr>
              <w:spacing w:after="0"/>
            </w:pPr>
            <w:r/>
            <w:r>
              <w:rPr>
                <w:rFonts w:ascii="Arial" w:hAnsi="Arial" w:eastAsia="Arial"/>
                <w:b w:val="0"/>
                <w:sz w:val="15"/>
              </w:rPr>
              <w:t>RQ2 development analysis and confirmatory reconstruction v1.1</w:t>
            </w:r>
          </w:p>
        </w:tc>
      </w:tr>
      <w:tr>
        <w:trPr>
          <w:cantSplit/>
        </w:trPr>
        <w:tc>
          <w:tcPr>
            <w:tcW w:type="dxa" w:w="1008"/>
            <w:vAlign w:val="center"/>
          </w:tcPr>
          <w:p>
            <w:pPr>
              <w:spacing w:after="0"/>
            </w:pPr>
            <w:r/>
            <w:r>
              <w:rPr>
                <w:rFonts w:ascii="Arial" w:hAnsi="Arial" w:eastAsia="Arial"/>
                <w:b w:val="0"/>
                <w:sz w:val="15"/>
              </w:rPr>
              <w:t>S8</w:t>
            </w:r>
          </w:p>
        </w:tc>
        <w:tc>
          <w:tcPr>
            <w:tcW w:type="dxa" w:w="9360"/>
            <w:vAlign w:val="center"/>
          </w:tcPr>
          <w:p>
            <w:pPr>
              <w:spacing w:after="0"/>
            </w:pPr>
            <w:r/>
            <w:r>
              <w:rPr>
                <w:rFonts w:ascii="Arial" w:hAnsi="Arial" w:eastAsia="Arial"/>
                <w:b w:val="0"/>
                <w:sz w:val="15"/>
              </w:rPr>
              <w:t>Measurement-channel consistency audit</w:t>
            </w:r>
          </w:p>
        </w:tc>
      </w:tr>
      <w:tr>
        <w:trPr>
          <w:cantSplit/>
        </w:trPr>
        <w:tc>
          <w:tcPr>
            <w:tcW w:type="dxa" w:w="1008"/>
            <w:vAlign w:val="center"/>
            <w:shd w:fill="EAF0F8"/>
          </w:tcPr>
          <w:p>
            <w:pPr>
              <w:spacing w:after="0"/>
            </w:pPr>
            <w:r/>
            <w:r>
              <w:rPr>
                <w:rFonts w:ascii="Arial" w:hAnsi="Arial" w:eastAsia="Arial"/>
                <w:b w:val="0"/>
                <w:sz w:val="15"/>
              </w:rPr>
              <w:t>S9</w:t>
            </w:r>
          </w:p>
        </w:tc>
        <w:tc>
          <w:tcPr>
            <w:tcW w:type="dxa" w:w="9360"/>
            <w:vAlign w:val="center"/>
            <w:shd w:fill="EAF0F8"/>
          </w:tcPr>
          <w:p>
            <w:pPr>
              <w:spacing w:after="0"/>
            </w:pPr>
            <w:r/>
            <w:r>
              <w:rPr>
                <w:rFonts w:ascii="Arial" w:hAnsi="Arial" w:eastAsia="Arial"/>
                <w:b w:val="0"/>
                <w:sz w:val="15"/>
              </w:rPr>
              <w:t>Reproducibility and integrity records</w:t>
            </w:r>
          </w:p>
        </w:tc>
      </w:tr>
      <w:tr>
        <w:trPr>
          <w:cantSplit/>
        </w:trPr>
        <w:tc>
          <w:tcPr>
            <w:tcW w:type="dxa" w:w="1008"/>
            <w:vAlign w:val="center"/>
          </w:tcPr>
          <w:p>
            <w:pPr>
              <w:spacing w:after="0"/>
            </w:pPr>
            <w:r/>
            <w:r>
              <w:rPr>
                <w:rFonts w:ascii="Arial" w:hAnsi="Arial" w:eastAsia="Arial"/>
                <w:b w:val="0"/>
                <w:sz w:val="15"/>
              </w:rPr>
              <w:t>S10</w:t>
            </w:r>
          </w:p>
        </w:tc>
        <w:tc>
          <w:tcPr>
            <w:tcW w:type="dxa" w:w="9360"/>
            <w:vAlign w:val="center"/>
          </w:tcPr>
          <w:p>
            <w:pPr>
              <w:spacing w:after="0"/>
            </w:pPr>
            <w:r/>
            <w:r>
              <w:rPr>
                <w:rFonts w:ascii="Arial" w:hAnsi="Arial" w:eastAsia="Arial"/>
                <w:b w:val="0"/>
                <w:sz w:val="15"/>
              </w:rPr>
              <w:t>Data, code, permissions, and submission checklist</w:t>
            </w:r>
          </w:p>
        </w:tc>
      </w:tr>
    </w:tbl>
    <w:p>
      <w:pPr>
        <w:pStyle w:val="Heading1"/>
      </w:pPr>
      <w:r>
        <w:t>S2. RQ1 data provenance and cohort definition</w:t>
      </w:r>
    </w:p>
    <w:p>
      <w:r>
        <w:t>RQ1 used 40 real Falcon 9 launch trajectories. Each flight was represented from T+0 through T+120 s on a 1 Hz grid (121 samples). The locked partition comprised 28 training flights, six outer-validation flights, and six held-out test flights. Within the 28-flight training partition, 22 flights were used for inner fitting and six for inner validation during model selection. Payload mass missingness was encoded explicitly rather than imputed silently.</w:t>
      </w:r>
    </w:p>
    <w:p>
      <w:pPr>
        <w:pStyle w:val="Supplementcaption"/>
        <w:keepNext/>
      </w:pPr>
      <w:r>
        <w:t>Table S2. Complete RQ1 flight roster and locked outer split.</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5083"/>
        <w:gridCol w:w="5083"/>
      </w:tblGrid>
      <w:tr>
        <w:trPr>
          <w:tblHeader w:val="true"/>
          <w:cantSplit/>
          <w:tblHeader/>
        </w:trPr>
        <w:tc>
          <w:tcPr>
            <w:tcW w:type="dxa" w:w="5472"/>
            <w:vAlign w:val="center"/>
            <w:shd w:fill="17365D"/>
          </w:tcPr>
          <w:p>
            <w:pPr>
              <w:spacing w:after="0"/>
            </w:pPr>
            <w:r/>
            <w:r>
              <w:rPr>
                <w:rFonts w:ascii="Arial" w:hAnsi="Arial" w:eastAsia="Arial"/>
                <w:b/>
                <w:color w:val="FFFFFF"/>
                <w:sz w:val="15"/>
              </w:rPr>
              <w:t>Flight</w:t>
            </w:r>
          </w:p>
        </w:tc>
        <w:tc>
          <w:tcPr>
            <w:tcW w:type="dxa" w:w="4608"/>
            <w:vAlign w:val="center"/>
            <w:shd w:fill="17365D"/>
          </w:tcPr>
          <w:p>
            <w:pPr>
              <w:spacing w:after="0"/>
            </w:pPr>
            <w:r/>
            <w:r>
              <w:rPr>
                <w:rFonts w:ascii="Arial" w:hAnsi="Arial" w:eastAsia="Arial"/>
                <w:b/>
                <w:color w:val="FFFFFF"/>
                <w:sz w:val="15"/>
              </w:rPr>
              <w:t>Partition</w:t>
            </w:r>
          </w:p>
        </w:tc>
      </w:tr>
      <w:tr>
        <w:trPr>
          <w:cantSplit/>
        </w:trPr>
        <w:tc>
          <w:tcPr>
            <w:tcW w:type="dxa" w:w="5472"/>
            <w:vAlign w:val="center"/>
          </w:tcPr>
          <w:p>
            <w:pPr>
              <w:spacing w:after="0"/>
            </w:pPr>
            <w:r/>
            <w:r>
              <w:rPr>
                <w:rFonts w:ascii="Arial" w:hAnsi="Arial" w:eastAsia="Arial"/>
                <w:b w:val="0"/>
                <w:sz w:val="15"/>
              </w:rPr>
              <w:t>ABS-2A</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Bangabandhu-1</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BulgariaSat-1</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EchoStar 23</w:t>
            </w:r>
          </w:p>
        </w:tc>
        <w:tc>
          <w:tcPr>
            <w:tcW w:type="dxa" w:w="4608"/>
            <w:vAlign w:val="center"/>
            <w:shd w:fill="EAF0F8"/>
          </w:tcPr>
          <w:p>
            <w:pPr>
              <w:spacing w:after="0"/>
            </w:pPr>
            <w:r/>
            <w:r>
              <w:rPr>
                <w:rFonts w:ascii="Arial" w:hAnsi="Arial" w:eastAsia="Arial"/>
                <w:b w:val="0"/>
                <w:sz w:val="15"/>
              </w:rPr>
              <w:t>Outer validation</w:t>
            </w:r>
          </w:p>
        </w:tc>
      </w:tr>
      <w:tr>
        <w:trPr>
          <w:cantSplit/>
        </w:trPr>
        <w:tc>
          <w:tcPr>
            <w:tcW w:type="dxa" w:w="5472"/>
            <w:vAlign w:val="center"/>
          </w:tcPr>
          <w:p>
            <w:pPr>
              <w:spacing w:after="0"/>
            </w:pPr>
            <w:r/>
            <w:r>
              <w:rPr>
                <w:rFonts w:ascii="Arial" w:hAnsi="Arial" w:eastAsia="Arial"/>
                <w:b w:val="0"/>
                <w:sz w:val="15"/>
              </w:rPr>
              <w:t>Formosat-5</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GovSat-1</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GPS III SV01</w:t>
            </w:r>
          </w:p>
        </w:tc>
        <w:tc>
          <w:tcPr>
            <w:tcW w:type="dxa" w:w="4608"/>
            <w:vAlign w:val="center"/>
          </w:tcPr>
          <w:p>
            <w:pPr>
              <w:spacing w:after="0"/>
            </w:pPr>
            <w:r/>
            <w:r>
              <w:rPr>
                <w:rFonts w:ascii="Arial" w:hAnsi="Arial" w:eastAsia="Arial"/>
                <w:b w:val="0"/>
                <w:sz w:val="15"/>
              </w:rPr>
              <w:t>Outer validation</w:t>
            </w:r>
          </w:p>
        </w:tc>
      </w:tr>
      <w:tr>
        <w:trPr>
          <w:cantSplit/>
        </w:trPr>
        <w:tc>
          <w:tcPr>
            <w:tcW w:type="dxa" w:w="5472"/>
            <w:vAlign w:val="center"/>
            <w:shd w:fill="EAF0F8"/>
          </w:tcPr>
          <w:p>
            <w:pPr>
              <w:spacing w:after="0"/>
            </w:pPr>
            <w:r/>
            <w:r>
              <w:rPr>
                <w:rFonts w:ascii="Arial" w:hAnsi="Arial" w:eastAsia="Arial"/>
                <w:b w:val="0"/>
                <w:sz w:val="15"/>
              </w:rPr>
              <w:t>Hispasat 30W-6</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Inmarsat-5 F4</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Iridium NEXT-1</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Iridium NEXT-3</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Iridium NEXT-4</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Iridium NEXT-6</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Iridium NEXT-8</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Jason-3</w:t>
            </w:r>
          </w:p>
        </w:tc>
        <w:tc>
          <w:tcPr>
            <w:tcW w:type="dxa" w:w="4608"/>
            <w:vAlign w:val="center"/>
          </w:tcPr>
          <w:p>
            <w:pPr>
              <w:spacing w:after="0"/>
            </w:pPr>
            <w:r/>
            <w:r>
              <w:rPr>
                <w:rFonts w:ascii="Arial" w:hAnsi="Arial" w:eastAsia="Arial"/>
                <w:b w:val="0"/>
                <w:sz w:val="15"/>
              </w:rPr>
              <w:t>Outer validation</w:t>
            </w:r>
          </w:p>
        </w:tc>
      </w:tr>
      <w:tr>
        <w:trPr>
          <w:cantSplit/>
        </w:trPr>
        <w:tc>
          <w:tcPr>
            <w:tcW w:type="dxa" w:w="5472"/>
            <w:vAlign w:val="center"/>
            <w:shd w:fill="EAF0F8"/>
          </w:tcPr>
          <w:p>
            <w:pPr>
              <w:spacing w:after="0"/>
            </w:pPr>
            <w:r/>
            <w:r>
              <w:rPr>
                <w:rFonts w:ascii="Arial" w:hAnsi="Arial" w:eastAsia="Arial"/>
                <w:b w:val="0"/>
                <w:sz w:val="15"/>
              </w:rPr>
              <w:t>JCSAT-16</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JCSAT-2B</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Koreasat-5A</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NROL-76</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Orbcomm OG2</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PAZ</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SES-10</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SES-11</w:t>
            </w:r>
          </w:p>
        </w:tc>
        <w:tc>
          <w:tcPr>
            <w:tcW w:type="dxa" w:w="4608"/>
            <w:vAlign w:val="center"/>
          </w:tcPr>
          <w:p>
            <w:pPr>
              <w:spacing w:after="0"/>
            </w:pPr>
            <w:r/>
            <w:r>
              <w:rPr>
                <w:rFonts w:ascii="Arial" w:hAnsi="Arial" w:eastAsia="Arial"/>
                <w:b w:val="0"/>
                <w:sz w:val="15"/>
              </w:rPr>
              <w:t>Outer validation</w:t>
            </w:r>
          </w:p>
        </w:tc>
      </w:tr>
      <w:tr>
        <w:trPr>
          <w:cantSplit/>
        </w:trPr>
        <w:tc>
          <w:tcPr>
            <w:tcW w:type="dxa" w:w="5472"/>
            <w:vAlign w:val="center"/>
            <w:shd w:fill="EAF0F8"/>
          </w:tcPr>
          <w:p>
            <w:pPr>
              <w:spacing w:after="0"/>
            </w:pPr>
            <w:r/>
            <w:r>
              <w:rPr>
                <w:rFonts w:ascii="Arial" w:hAnsi="Arial" w:eastAsia="Arial"/>
                <w:b w:val="0"/>
                <w:sz w:val="15"/>
              </w:rPr>
              <w:t>SES-12</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SpaceX CRS-10</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SpaceX CRS-12</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SpaceX CRS-13</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SpaceX CRS-14</w:t>
            </w:r>
          </w:p>
        </w:tc>
        <w:tc>
          <w:tcPr>
            <w:tcW w:type="dxa" w:w="4608"/>
            <w:vAlign w:val="center"/>
            <w:shd w:fill="EAF0F8"/>
          </w:tcPr>
          <w:p>
            <w:pPr>
              <w:spacing w:after="0"/>
            </w:pPr>
            <w:r/>
            <w:r>
              <w:rPr>
                <w:rFonts w:ascii="Arial" w:hAnsi="Arial" w:eastAsia="Arial"/>
                <w:b w:val="0"/>
                <w:sz w:val="15"/>
              </w:rPr>
              <w:t>Outer validation</w:t>
            </w:r>
          </w:p>
        </w:tc>
      </w:tr>
      <w:tr>
        <w:trPr>
          <w:cantSplit/>
        </w:trPr>
        <w:tc>
          <w:tcPr>
            <w:tcW w:type="dxa" w:w="5472"/>
            <w:vAlign w:val="center"/>
          </w:tcPr>
          <w:p>
            <w:pPr>
              <w:spacing w:after="0"/>
            </w:pPr>
            <w:r/>
            <w:r>
              <w:rPr>
                <w:rFonts w:ascii="Arial" w:hAnsi="Arial" w:eastAsia="Arial"/>
                <w:b w:val="0"/>
                <w:sz w:val="15"/>
              </w:rPr>
              <w:t>SpaceX CRS-16</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SpaceX CRS-8</w:t>
            </w:r>
          </w:p>
        </w:tc>
        <w:tc>
          <w:tcPr>
            <w:tcW w:type="dxa" w:w="4608"/>
            <w:vAlign w:val="center"/>
            <w:shd w:fill="EAF0F8"/>
          </w:tcPr>
          <w:p>
            <w:pPr>
              <w:spacing w:after="0"/>
            </w:pPr>
            <w:r/>
            <w:r>
              <w:rPr>
                <w:rFonts w:ascii="Arial" w:hAnsi="Arial" w:eastAsia="Arial"/>
                <w:b w:val="0"/>
                <w:sz w:val="15"/>
              </w:rPr>
              <w:t>Outer validation</w:t>
            </w:r>
          </w:p>
        </w:tc>
      </w:tr>
      <w:tr>
        <w:trPr>
          <w:cantSplit/>
        </w:trPr>
        <w:tc>
          <w:tcPr>
            <w:tcW w:type="dxa" w:w="5472"/>
            <w:vAlign w:val="center"/>
          </w:tcPr>
          <w:p>
            <w:pPr>
              <w:spacing w:after="0"/>
            </w:pPr>
            <w:r/>
            <w:r>
              <w:rPr>
                <w:rFonts w:ascii="Arial" w:hAnsi="Arial" w:eastAsia="Arial"/>
                <w:b w:val="0"/>
                <w:sz w:val="15"/>
              </w:rPr>
              <w:t>SpaceX CRS-9</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TESS</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X-37B OTV-5</w:t>
            </w:r>
          </w:p>
        </w:tc>
        <w:tc>
          <w:tcPr>
            <w:tcW w:type="dxa" w:w="4608"/>
            <w:vAlign w:val="center"/>
          </w:tcPr>
          <w:p>
            <w:pPr>
              <w:spacing w:after="0"/>
            </w:pPr>
            <w:r/>
            <w:r>
              <w:rPr>
                <w:rFonts w:ascii="Arial" w:hAnsi="Arial" w:eastAsia="Arial"/>
                <w:b w:val="0"/>
                <w:sz w:val="15"/>
              </w:rPr>
              <w:t>Training</w:t>
            </w:r>
          </w:p>
        </w:tc>
      </w:tr>
      <w:tr>
        <w:trPr>
          <w:cantSplit/>
        </w:trPr>
        <w:tc>
          <w:tcPr>
            <w:tcW w:type="dxa" w:w="5472"/>
            <w:vAlign w:val="center"/>
            <w:shd w:fill="EAF0F8"/>
          </w:tcPr>
          <w:p>
            <w:pPr>
              <w:spacing w:after="0"/>
            </w:pPr>
            <w:r/>
            <w:r>
              <w:rPr>
                <w:rFonts w:ascii="Arial" w:hAnsi="Arial" w:eastAsia="Arial"/>
                <w:b w:val="0"/>
                <w:sz w:val="15"/>
              </w:rPr>
              <w:t>Zuma</w:t>
            </w:r>
          </w:p>
        </w:tc>
        <w:tc>
          <w:tcPr>
            <w:tcW w:type="dxa" w:w="4608"/>
            <w:vAlign w:val="center"/>
            <w:shd w:fill="EAF0F8"/>
          </w:tcPr>
          <w:p>
            <w:pPr>
              <w:spacing w:after="0"/>
            </w:pPr>
            <w:r/>
            <w:r>
              <w:rPr>
                <w:rFonts w:ascii="Arial" w:hAnsi="Arial" w:eastAsia="Arial"/>
                <w:b w:val="0"/>
                <w:sz w:val="15"/>
              </w:rPr>
              <w:t>Training</w:t>
            </w:r>
          </w:p>
        </w:tc>
      </w:tr>
      <w:tr>
        <w:trPr>
          <w:cantSplit/>
        </w:trPr>
        <w:tc>
          <w:tcPr>
            <w:tcW w:type="dxa" w:w="5472"/>
            <w:vAlign w:val="center"/>
          </w:tcPr>
          <w:p>
            <w:pPr>
              <w:spacing w:after="0"/>
            </w:pPr>
            <w:r/>
            <w:r>
              <w:rPr>
                <w:rFonts w:ascii="Arial" w:hAnsi="Arial" w:eastAsia="Arial"/>
                <w:b w:val="0"/>
                <w:sz w:val="15"/>
              </w:rPr>
              <w:t>Intelsat 35e</w:t>
            </w:r>
          </w:p>
        </w:tc>
        <w:tc>
          <w:tcPr>
            <w:tcW w:type="dxa" w:w="4608"/>
            <w:vAlign w:val="center"/>
          </w:tcPr>
          <w:p>
            <w:pPr>
              <w:spacing w:after="0"/>
            </w:pPr>
            <w:r/>
            <w:r>
              <w:rPr>
                <w:rFonts w:ascii="Arial" w:hAnsi="Arial" w:eastAsia="Arial"/>
                <w:b w:val="0"/>
                <w:sz w:val="15"/>
              </w:rPr>
              <w:t>Held-out test</w:t>
            </w:r>
          </w:p>
        </w:tc>
      </w:tr>
      <w:tr>
        <w:trPr>
          <w:cantSplit/>
        </w:trPr>
        <w:tc>
          <w:tcPr>
            <w:tcW w:type="dxa" w:w="5472"/>
            <w:vAlign w:val="center"/>
            <w:shd w:fill="EAF0F8"/>
          </w:tcPr>
          <w:p>
            <w:pPr>
              <w:spacing w:after="0"/>
            </w:pPr>
            <w:r/>
            <w:r>
              <w:rPr>
                <w:rFonts w:ascii="Arial" w:hAnsi="Arial" w:eastAsia="Arial"/>
                <w:b w:val="0"/>
                <w:sz w:val="15"/>
              </w:rPr>
              <w:t>Iridium NEXT-5</w:t>
            </w:r>
          </w:p>
        </w:tc>
        <w:tc>
          <w:tcPr>
            <w:tcW w:type="dxa" w:w="4608"/>
            <w:vAlign w:val="center"/>
            <w:shd w:fill="EAF0F8"/>
          </w:tcPr>
          <w:p>
            <w:pPr>
              <w:spacing w:after="0"/>
            </w:pPr>
            <w:r/>
            <w:r>
              <w:rPr>
                <w:rFonts w:ascii="Arial" w:hAnsi="Arial" w:eastAsia="Arial"/>
                <w:b w:val="0"/>
                <w:sz w:val="15"/>
              </w:rPr>
              <w:t>Held-out test</w:t>
            </w:r>
          </w:p>
        </w:tc>
      </w:tr>
      <w:tr>
        <w:trPr>
          <w:cantSplit/>
        </w:trPr>
        <w:tc>
          <w:tcPr>
            <w:tcW w:type="dxa" w:w="5472"/>
            <w:vAlign w:val="center"/>
          </w:tcPr>
          <w:p>
            <w:pPr>
              <w:spacing w:after="0"/>
            </w:pPr>
            <w:r/>
            <w:r>
              <w:rPr>
                <w:rFonts w:ascii="Arial" w:hAnsi="Arial" w:eastAsia="Arial"/>
                <w:b w:val="0"/>
                <w:sz w:val="15"/>
              </w:rPr>
              <w:t>SES-9</w:t>
            </w:r>
          </w:p>
        </w:tc>
        <w:tc>
          <w:tcPr>
            <w:tcW w:type="dxa" w:w="4608"/>
            <w:vAlign w:val="center"/>
          </w:tcPr>
          <w:p>
            <w:pPr>
              <w:spacing w:after="0"/>
            </w:pPr>
            <w:r/>
            <w:r>
              <w:rPr>
                <w:rFonts w:ascii="Arial" w:hAnsi="Arial" w:eastAsia="Arial"/>
                <w:b w:val="0"/>
                <w:sz w:val="15"/>
              </w:rPr>
              <w:t>Held-out test</w:t>
            </w:r>
          </w:p>
        </w:tc>
      </w:tr>
      <w:tr>
        <w:trPr>
          <w:cantSplit/>
        </w:trPr>
        <w:tc>
          <w:tcPr>
            <w:tcW w:type="dxa" w:w="5472"/>
            <w:vAlign w:val="center"/>
            <w:shd w:fill="EAF0F8"/>
          </w:tcPr>
          <w:p>
            <w:pPr>
              <w:spacing w:after="0"/>
            </w:pPr>
            <w:r/>
            <w:r>
              <w:rPr>
                <w:rFonts w:ascii="Arial" w:hAnsi="Arial" w:eastAsia="Arial"/>
                <w:b w:val="0"/>
                <w:sz w:val="15"/>
              </w:rPr>
              <w:t>SpaceX CRS-11</w:t>
            </w:r>
          </w:p>
        </w:tc>
        <w:tc>
          <w:tcPr>
            <w:tcW w:type="dxa" w:w="4608"/>
            <w:vAlign w:val="center"/>
            <w:shd w:fill="EAF0F8"/>
          </w:tcPr>
          <w:p>
            <w:pPr>
              <w:spacing w:after="0"/>
            </w:pPr>
            <w:r/>
            <w:r>
              <w:rPr>
                <w:rFonts w:ascii="Arial" w:hAnsi="Arial" w:eastAsia="Arial"/>
                <w:b w:val="0"/>
                <w:sz w:val="15"/>
              </w:rPr>
              <w:t>Held-out test</w:t>
            </w:r>
          </w:p>
        </w:tc>
      </w:tr>
      <w:tr>
        <w:trPr>
          <w:cantSplit/>
        </w:trPr>
        <w:tc>
          <w:tcPr>
            <w:tcW w:type="dxa" w:w="5472"/>
            <w:vAlign w:val="center"/>
          </w:tcPr>
          <w:p>
            <w:pPr>
              <w:spacing w:after="0"/>
            </w:pPr>
            <w:r/>
            <w:r>
              <w:rPr>
                <w:rFonts w:ascii="Arial" w:hAnsi="Arial" w:eastAsia="Arial"/>
                <w:b w:val="0"/>
                <w:sz w:val="15"/>
              </w:rPr>
              <w:t>SSO-A</w:t>
            </w:r>
          </w:p>
        </w:tc>
        <w:tc>
          <w:tcPr>
            <w:tcW w:type="dxa" w:w="4608"/>
            <w:vAlign w:val="center"/>
          </w:tcPr>
          <w:p>
            <w:pPr>
              <w:spacing w:after="0"/>
            </w:pPr>
            <w:r/>
            <w:r>
              <w:rPr>
                <w:rFonts w:ascii="Arial" w:hAnsi="Arial" w:eastAsia="Arial"/>
                <w:b w:val="0"/>
                <w:sz w:val="15"/>
              </w:rPr>
              <w:t>Held-out test</w:t>
            </w:r>
          </w:p>
        </w:tc>
      </w:tr>
      <w:tr>
        <w:trPr>
          <w:cantSplit/>
        </w:trPr>
        <w:tc>
          <w:tcPr>
            <w:tcW w:type="dxa" w:w="5472"/>
            <w:vAlign w:val="center"/>
            <w:shd w:fill="EAF0F8"/>
          </w:tcPr>
          <w:p>
            <w:pPr>
              <w:spacing w:after="0"/>
            </w:pPr>
            <w:r/>
            <w:r>
              <w:rPr>
                <w:rFonts w:ascii="Arial" w:hAnsi="Arial" w:eastAsia="Arial"/>
                <w:b w:val="0"/>
                <w:sz w:val="15"/>
              </w:rPr>
              <w:t>Thaicom-8</w:t>
            </w:r>
          </w:p>
        </w:tc>
        <w:tc>
          <w:tcPr>
            <w:tcW w:type="dxa" w:w="4608"/>
            <w:vAlign w:val="center"/>
            <w:shd w:fill="EAF0F8"/>
          </w:tcPr>
          <w:p>
            <w:pPr>
              <w:spacing w:after="0"/>
            </w:pPr>
            <w:r/>
            <w:r>
              <w:rPr>
                <w:rFonts w:ascii="Arial" w:hAnsi="Arial" w:eastAsia="Arial"/>
                <w:b w:val="0"/>
                <w:sz w:val="15"/>
              </w:rPr>
              <w:t>Held-out test</w:t>
            </w:r>
          </w:p>
        </w:tc>
      </w:tr>
    </w:tbl>
    <w:p>
      <w:pPr>
        <w:pStyle w:val="Supplementnote"/>
      </w:pPr>
      <w:r>
        <w:t>The exact 22/6 inner-fit/inner-validation assignment is retained in the machine-readable workflow record; no held-out test flight entered tuning or model selection.</w:t>
      </w:r>
    </w:p>
    <w:p>
      <w:pPr>
        <w:pStyle w:val="Heading1"/>
      </w:pPr>
      <w:r>
        <w:t>S3. RQ1 model, selection, losses, and masks</w:t>
      </w:r>
    </w:p>
    <w:p>
      <w:pPr>
        <w:pStyle w:val="Heading2"/>
      </w:pPr>
      <w:r>
        <w:t>S3.1 Input representation and architecture</w:t>
      </w:r>
    </w:p>
    <w:p>
      <w:r>
        <w:t>Both models received eight inputs: normalized time, standardized payload mass, a payload-missing indicator, and a five-level Block 1–5 one-hot representation. The shared multilayer perceptron contained two hidden layers of 32 tanh units. Outputs were standardized altitude and speed. Training used Adam; data scaling was estimated from fitting data only.</w:t>
      </w:r>
    </w:p>
    <w:p>
      <w:pPr>
        <w:pStyle w:val="Supplementcaption"/>
        <w:keepNext/>
      </w:pPr>
      <w:r>
        <w:t>Table S3. RQ1 hyperparameter search and locked configuration.</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3389"/>
        <w:gridCol w:w="3389"/>
        <w:gridCol w:w="3389"/>
      </w:tblGrid>
      <w:tr>
        <w:trPr>
          <w:tblHeader w:val="true"/>
          <w:cantSplit/>
          <w:tblHeader/>
        </w:trPr>
        <w:tc>
          <w:tcPr>
            <w:tcW w:type="dxa" w:w="2304"/>
            <w:vAlign w:val="center"/>
            <w:shd w:fill="17365D"/>
          </w:tcPr>
          <w:p>
            <w:pPr>
              <w:spacing w:after="0"/>
            </w:pPr>
            <w:r/>
            <w:r>
              <w:rPr>
                <w:rFonts w:ascii="Arial" w:hAnsi="Arial" w:eastAsia="Arial"/>
                <w:b/>
                <w:color w:val="FFFFFF"/>
                <w:sz w:val="15"/>
              </w:rPr>
              <w:t>Element</w:t>
            </w:r>
          </w:p>
        </w:tc>
        <w:tc>
          <w:tcPr>
            <w:tcW w:type="dxa" w:w="5184"/>
            <w:vAlign w:val="center"/>
            <w:shd w:fill="17365D"/>
          </w:tcPr>
          <w:p>
            <w:pPr>
              <w:spacing w:after="0"/>
            </w:pPr>
            <w:r/>
            <w:r>
              <w:rPr>
                <w:rFonts w:ascii="Arial" w:hAnsi="Arial" w:eastAsia="Arial"/>
                <w:b/>
                <w:color w:val="FFFFFF"/>
                <w:sz w:val="15"/>
              </w:rPr>
              <w:t>Candidates / rule</w:t>
            </w:r>
          </w:p>
        </w:tc>
        <w:tc>
          <w:tcPr>
            <w:tcW w:type="dxa" w:w="2880"/>
            <w:vAlign w:val="center"/>
            <w:shd w:fill="17365D"/>
          </w:tcPr>
          <w:p>
            <w:pPr>
              <w:spacing w:after="0"/>
            </w:pPr>
            <w:r/>
            <w:r>
              <w:rPr>
                <w:rFonts w:ascii="Arial" w:hAnsi="Arial" w:eastAsia="Arial"/>
                <w:b/>
                <w:color w:val="FFFFFF"/>
                <w:sz w:val="15"/>
              </w:rPr>
              <w:t>Selected</w:t>
            </w:r>
          </w:p>
        </w:tc>
      </w:tr>
      <w:tr>
        <w:trPr>
          <w:cantSplit/>
        </w:trPr>
        <w:tc>
          <w:tcPr>
            <w:tcW w:type="dxa" w:w="2304"/>
            <w:vAlign w:val="center"/>
          </w:tcPr>
          <w:p>
            <w:pPr>
              <w:spacing w:after="0"/>
            </w:pPr>
            <w:r/>
            <w:r>
              <w:rPr>
                <w:rFonts w:ascii="Arial" w:hAnsi="Arial" w:eastAsia="Arial"/>
                <w:b w:val="0"/>
                <w:sz w:val="15"/>
              </w:rPr>
              <w:t>Learning rate</w:t>
            </w:r>
          </w:p>
        </w:tc>
        <w:tc>
          <w:tcPr>
            <w:tcW w:type="dxa" w:w="5184"/>
            <w:vAlign w:val="center"/>
          </w:tcPr>
          <w:p>
            <w:pPr>
              <w:spacing w:after="0"/>
            </w:pPr>
            <w:r/>
            <w:r>
              <w:rPr>
                <w:rFonts w:ascii="Arial" w:hAnsi="Arial" w:eastAsia="Arial"/>
                <w:b w:val="0"/>
                <w:sz w:val="15"/>
              </w:rPr>
              <w:t>0.0003, 0.001</w:t>
            </w:r>
          </w:p>
        </w:tc>
        <w:tc>
          <w:tcPr>
            <w:tcW w:type="dxa" w:w="2880"/>
            <w:vAlign w:val="center"/>
          </w:tcPr>
          <w:p>
            <w:pPr>
              <w:spacing w:after="0"/>
            </w:pPr>
            <w:r/>
            <w:r>
              <w:rPr>
                <w:rFonts w:ascii="Arial" w:hAnsi="Arial" w:eastAsia="Arial"/>
                <w:b w:val="0"/>
                <w:sz w:val="15"/>
              </w:rPr>
              <w:t>0.001</w:t>
            </w:r>
          </w:p>
        </w:tc>
      </w:tr>
      <w:tr>
        <w:trPr>
          <w:cantSplit/>
        </w:trPr>
        <w:tc>
          <w:tcPr>
            <w:tcW w:type="dxa" w:w="2304"/>
            <w:vAlign w:val="center"/>
            <w:shd w:fill="EAF0F8"/>
          </w:tcPr>
          <w:p>
            <w:pPr>
              <w:spacing w:after="0"/>
            </w:pPr>
            <w:r/>
            <w:r>
              <w:rPr>
                <w:rFonts w:ascii="Arial" w:hAnsi="Arial" w:eastAsia="Arial"/>
                <w:b w:val="0"/>
                <w:sz w:val="15"/>
              </w:rPr>
              <w:t>Coupled L2 weight decay</w:t>
            </w:r>
          </w:p>
        </w:tc>
        <w:tc>
          <w:tcPr>
            <w:tcW w:type="dxa" w:w="5184"/>
            <w:vAlign w:val="center"/>
            <w:shd w:fill="EAF0F8"/>
          </w:tcPr>
          <w:p>
            <w:pPr>
              <w:spacing w:after="0"/>
            </w:pPr>
            <w:r/>
            <w:r>
              <w:rPr>
                <w:rFonts w:ascii="Arial" w:hAnsi="Arial" w:eastAsia="Arial"/>
                <w:b w:val="0"/>
                <w:sz w:val="15"/>
              </w:rPr>
              <w:t>0, 1e-6, 1e-5, 1e-4</w:t>
            </w:r>
          </w:p>
        </w:tc>
        <w:tc>
          <w:tcPr>
            <w:tcW w:type="dxa" w:w="2880"/>
            <w:vAlign w:val="center"/>
            <w:shd w:fill="EAF0F8"/>
          </w:tcPr>
          <w:p>
            <w:pPr>
              <w:spacing w:after="0"/>
            </w:pPr>
            <w:r/>
            <w:r>
              <w:rPr>
                <w:rFonts w:ascii="Arial" w:hAnsi="Arial" w:eastAsia="Arial"/>
                <w:b w:val="0"/>
                <w:sz w:val="15"/>
              </w:rPr>
              <w:t>1e-4</w:t>
            </w:r>
          </w:p>
        </w:tc>
      </w:tr>
      <w:tr>
        <w:trPr>
          <w:cantSplit/>
        </w:trPr>
        <w:tc>
          <w:tcPr>
            <w:tcW w:type="dxa" w:w="2304"/>
            <w:vAlign w:val="center"/>
          </w:tcPr>
          <w:p>
            <w:pPr>
              <w:spacing w:after="0"/>
            </w:pPr>
            <w:r/>
            <w:r>
              <w:rPr>
                <w:rFonts w:ascii="Arial" w:hAnsi="Arial" w:eastAsia="Arial"/>
                <w:b w:val="0"/>
                <w:sz w:val="15"/>
              </w:rPr>
              <w:t>Selection seeds</w:t>
            </w:r>
          </w:p>
        </w:tc>
        <w:tc>
          <w:tcPr>
            <w:tcW w:type="dxa" w:w="5184"/>
            <w:vAlign w:val="center"/>
          </w:tcPr>
          <w:p>
            <w:pPr>
              <w:spacing w:after="0"/>
            </w:pPr>
            <w:r/>
            <w:r>
              <w:rPr>
                <w:rFonts w:ascii="Arial" w:hAnsi="Arial" w:eastAsia="Arial"/>
                <w:b w:val="0"/>
                <w:sz w:val="15"/>
              </w:rPr>
              <w:t>11, 29, 47</w:t>
            </w:r>
          </w:p>
        </w:tc>
        <w:tc>
          <w:tcPr>
            <w:tcW w:type="dxa" w:w="2880"/>
            <w:vAlign w:val="center"/>
          </w:tcPr>
          <w:p>
            <w:pPr>
              <w:spacing w:after="0"/>
            </w:pPr>
            <w:r/>
            <w:r>
              <w:rPr>
                <w:rFonts w:ascii="Arial" w:hAnsi="Arial" w:eastAsia="Arial"/>
                <w:b w:val="0"/>
                <w:sz w:val="15"/>
              </w:rPr>
              <w:t>Same for paired models</w:t>
            </w:r>
          </w:p>
        </w:tc>
      </w:tr>
      <w:tr>
        <w:trPr>
          <w:cantSplit/>
        </w:trPr>
        <w:tc>
          <w:tcPr>
            <w:tcW w:type="dxa" w:w="2304"/>
            <w:vAlign w:val="center"/>
            <w:shd w:fill="EAF0F8"/>
          </w:tcPr>
          <w:p>
            <w:pPr>
              <w:spacing w:after="0"/>
            </w:pPr>
            <w:r/>
            <w:r>
              <w:rPr>
                <w:rFonts w:ascii="Arial" w:hAnsi="Arial" w:eastAsia="Arial"/>
                <w:b w:val="0"/>
                <w:sz w:val="15"/>
              </w:rPr>
              <w:t>Final evaluation seeds</w:t>
            </w:r>
          </w:p>
        </w:tc>
        <w:tc>
          <w:tcPr>
            <w:tcW w:type="dxa" w:w="5184"/>
            <w:vAlign w:val="center"/>
            <w:shd w:fill="EAF0F8"/>
          </w:tcPr>
          <w:p>
            <w:pPr>
              <w:spacing w:after="0"/>
            </w:pPr>
            <w:r/>
            <w:r>
              <w:rPr>
                <w:rFonts w:ascii="Arial" w:hAnsi="Arial" w:eastAsia="Arial"/>
                <w:b w:val="0"/>
                <w:sz w:val="15"/>
              </w:rPr>
              <w:t>11, 29, 47, 71, 97</w:t>
            </w:r>
          </w:p>
        </w:tc>
        <w:tc>
          <w:tcPr>
            <w:tcW w:type="dxa" w:w="2880"/>
            <w:vAlign w:val="center"/>
            <w:shd w:fill="EAF0F8"/>
          </w:tcPr>
          <w:p>
            <w:pPr>
              <w:spacing w:after="0"/>
            </w:pPr>
            <w:r/>
            <w:r>
              <w:rPr>
                <w:rFonts w:ascii="Arial" w:hAnsi="Arial" w:eastAsia="Arial"/>
                <w:b w:val="0"/>
                <w:sz w:val="15"/>
              </w:rPr>
              <w:t>Five paired seeds</w:t>
            </w:r>
          </w:p>
        </w:tc>
      </w:tr>
      <w:tr>
        <w:trPr>
          <w:cantSplit/>
        </w:trPr>
        <w:tc>
          <w:tcPr>
            <w:tcW w:type="dxa" w:w="2304"/>
            <w:vAlign w:val="center"/>
          </w:tcPr>
          <w:p>
            <w:pPr>
              <w:spacing w:after="0"/>
            </w:pPr>
            <w:r/>
            <w:r>
              <w:rPr>
                <w:rFonts w:ascii="Arial" w:hAnsi="Arial" w:eastAsia="Arial"/>
                <w:b w:val="0"/>
                <w:sz w:val="15"/>
              </w:rPr>
              <w:t>Final training epochs</w:t>
            </w:r>
          </w:p>
        </w:tc>
        <w:tc>
          <w:tcPr>
            <w:tcW w:type="dxa" w:w="5184"/>
            <w:vAlign w:val="center"/>
          </w:tcPr>
          <w:p>
            <w:pPr>
              <w:spacing w:after="0"/>
            </w:pPr>
            <w:r/>
            <w:r>
              <w:rPr>
                <w:rFonts w:ascii="Arial" w:hAnsi="Arial" w:eastAsia="Arial"/>
                <w:b w:val="0"/>
                <w:sz w:val="15"/>
              </w:rPr>
              <w:t>Selected without test access</w:t>
            </w:r>
          </w:p>
        </w:tc>
        <w:tc>
          <w:tcPr>
            <w:tcW w:type="dxa" w:w="2880"/>
            <w:vAlign w:val="center"/>
          </w:tcPr>
          <w:p>
            <w:pPr>
              <w:spacing w:after="0"/>
            </w:pPr>
            <w:r/>
            <w:r>
              <w:rPr>
                <w:rFonts w:ascii="Arial" w:hAnsi="Arial" w:eastAsia="Arial"/>
                <w:b w:val="0"/>
                <w:sz w:val="15"/>
              </w:rPr>
              <w:t>NN: 560; KC-NN: 400</w:t>
            </w:r>
          </w:p>
        </w:tc>
      </w:tr>
      <w:tr>
        <w:trPr>
          <w:cantSplit/>
        </w:trPr>
        <w:tc>
          <w:tcPr>
            <w:tcW w:type="dxa" w:w="2304"/>
            <w:vAlign w:val="center"/>
            <w:shd w:fill="EAF0F8"/>
          </w:tcPr>
          <w:p>
            <w:pPr>
              <w:spacing w:after="0"/>
            </w:pPr>
            <w:r/>
            <w:r>
              <w:rPr>
                <w:rFonts w:ascii="Arial" w:hAnsi="Arial" w:eastAsia="Arial"/>
                <w:b w:val="0"/>
                <w:sz w:val="15"/>
              </w:rPr>
              <w:t>Primary observation rate</w:t>
            </w:r>
          </w:p>
        </w:tc>
        <w:tc>
          <w:tcPr>
            <w:tcW w:type="dxa" w:w="5184"/>
            <w:vAlign w:val="center"/>
            <w:shd w:fill="EAF0F8"/>
          </w:tcPr>
          <w:p>
            <w:pPr>
              <w:spacing w:after="0"/>
            </w:pPr>
            <w:r/>
            <w:r>
              <w:rPr>
                <w:rFonts w:ascii="Arial" w:hAnsi="Arial" w:eastAsia="Arial"/>
                <w:b w:val="0"/>
                <w:sz w:val="15"/>
              </w:rPr>
              <w:t>Fixed before held-out evaluation</w:t>
            </w:r>
          </w:p>
        </w:tc>
        <w:tc>
          <w:tcPr>
            <w:tcW w:type="dxa" w:w="2880"/>
            <w:vAlign w:val="center"/>
            <w:shd w:fill="EAF0F8"/>
          </w:tcPr>
          <w:p>
            <w:pPr>
              <w:spacing w:after="0"/>
            </w:pPr>
            <w:r/>
            <w:r>
              <w:rPr>
                <w:rFonts w:ascii="Arial" w:hAnsi="Arial" w:eastAsia="Arial"/>
                <w:b w:val="0"/>
                <w:sz w:val="15"/>
              </w:rPr>
              <w:t>5%</w:t>
            </w:r>
          </w:p>
        </w:tc>
      </w:tr>
    </w:tbl>
    <w:p>
      <w:pPr>
        <w:pStyle w:val="Heading2"/>
      </w:pPr>
      <w:r>
        <w:t>S3.2 Objective and physics-weight calibration</w:t>
      </w:r>
    </w:p>
    <w:p>
      <w:r>
        <w:t>The data objective was the equal-weight mean of standardized altitude and speed mean-squared errors. Automatic differentiation supplied q = dĥ/dt. The one-sided kinematic penalty averaged three squared hinge terms: negative climb rate, climb rate exceeding predicted speed, and negative predicted speed. All velocity-like terms were normalized by the training speed scale. The fixed penalty multiplier λkin = 33.68225796 was obtained from the inverse median initial gradient-norm ratio (median ratio 0.02968922099) using training information only.</w:t>
      </w:r>
    </w:p>
    <w:p>
      <w:r>
        <w:t>These inequalities encode consistency, not a complete flight-dynamics model. In particular, speed is not necessarily vertical velocity; the upper-bound term dĥ/dt ≤ v̂ is therefore the most directly defensible relation when v̂ represents speed magnitude. A penalty can regularize sparse interpolation while also degrading telemetry-channel fit when the measured channels, preprocessing, or model class do not satisfy the assumed relation exactly.</w:t>
      </w:r>
    </w:p>
    <w:p>
      <w:pPr>
        <w:pStyle w:val="Heading2"/>
      </w:pPr>
      <w:r>
        <w:t>S3.3 Sparse-observation protocol</w:t>
      </w:r>
    </w:p>
    <w:p>
      <w:r>
        <w:t>For each flight and observation fraction, NN and KC-NN received exactly the same deterministic mask. Endpoints were retained. Interior samples were selected from a fixed hash-derived ordering until the requested count was reached, with at least two observations per trajectory. Primary inference used 5% observations; 10%, 25%, 50%, and 100% were sensitivity analyses. Scores were computed on the complete trajectory, not only on observed points. This section describes RQ1 training-target masking. RQ2 v1.1 applies sparsity to reconstruction inputs but trains against complete fitting trajectories, as clarified in S7.</w:t>
      </w:r>
    </w:p>
    <w:p>
      <w:pPr>
        <w:pStyle w:val="Heading1"/>
      </w:pPr>
      <w:r>
        <w:t>S4. RQ1 detailed results</w:t>
      </w:r>
    </w:p>
    <w:p>
      <w:pPr>
        <w:pStyle w:val="Heading2"/>
      </w:pPr>
      <w:r>
        <w:t>S4.1 Primary held-out test at 5% observation</w:t>
      </w:r>
    </w:p>
    <w:p>
      <w:pPr>
        <w:pStyle w:val="Supplementcaption"/>
        <w:keepNext/>
      </w:pPr>
      <w:r>
        <w:t>Table S4. RQ1 held-out test results at 5% observation.</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2541"/>
        <w:gridCol w:w="2541"/>
        <w:gridCol w:w="2541"/>
        <w:gridCol w:w="2541"/>
      </w:tblGrid>
      <w:tr>
        <w:trPr>
          <w:tblHeader w:val="true"/>
          <w:cantSplit/>
          <w:tblHeader/>
        </w:trPr>
        <w:tc>
          <w:tcPr>
            <w:tcW w:type="dxa" w:w="3168"/>
            <w:vAlign w:val="center"/>
            <w:shd w:fill="17365D"/>
          </w:tcPr>
          <w:p>
            <w:pPr>
              <w:spacing w:after="0"/>
            </w:pPr>
            <w:r/>
            <w:r>
              <w:rPr>
                <w:rFonts w:ascii="Arial" w:hAnsi="Arial" w:eastAsia="Arial"/>
                <w:b/>
                <w:color w:val="FFFFFF"/>
                <w:sz w:val="15"/>
              </w:rPr>
              <w:t>Metric</w:t>
            </w:r>
          </w:p>
        </w:tc>
        <w:tc>
          <w:tcPr>
            <w:tcW w:type="dxa" w:w="1584"/>
            <w:vAlign w:val="center"/>
            <w:shd w:fill="17365D"/>
          </w:tcPr>
          <w:p>
            <w:pPr>
              <w:spacing w:after="0"/>
            </w:pPr>
            <w:r/>
            <w:r>
              <w:rPr>
                <w:rFonts w:ascii="Arial" w:hAnsi="Arial" w:eastAsia="Arial"/>
                <w:b/>
                <w:color w:val="FFFFFF"/>
                <w:sz w:val="15"/>
              </w:rPr>
              <w:t>NN</w:t>
            </w:r>
          </w:p>
        </w:tc>
        <w:tc>
          <w:tcPr>
            <w:tcW w:type="dxa" w:w="1584"/>
            <w:vAlign w:val="center"/>
            <w:shd w:fill="17365D"/>
          </w:tcPr>
          <w:p>
            <w:pPr>
              <w:spacing w:after="0"/>
            </w:pPr>
            <w:r/>
            <w:r>
              <w:rPr>
                <w:rFonts w:ascii="Arial" w:hAnsi="Arial" w:eastAsia="Arial"/>
                <w:b/>
                <w:color w:val="FFFFFF"/>
                <w:sz w:val="15"/>
              </w:rPr>
              <w:t>KC-NN</w:t>
            </w:r>
          </w:p>
        </w:tc>
        <w:tc>
          <w:tcPr>
            <w:tcW w:type="dxa" w:w="4032"/>
            <w:vAlign w:val="center"/>
            <w:shd w:fill="17365D"/>
          </w:tcPr>
          <w:p>
            <w:pPr>
              <w:spacing w:after="0"/>
            </w:pPr>
            <w:r/>
            <w:r>
              <w:rPr>
                <w:rFonts w:ascii="Arial" w:hAnsi="Arial" w:eastAsia="Arial"/>
                <w:b/>
                <w:color w:val="FFFFFF"/>
                <w:sz w:val="15"/>
              </w:rPr>
              <w:t>Paired interpretation</w:t>
            </w:r>
          </w:p>
        </w:tc>
      </w:tr>
      <w:tr>
        <w:trPr>
          <w:cantSplit/>
        </w:trPr>
        <w:tc>
          <w:tcPr>
            <w:tcW w:type="dxa" w:w="3168"/>
            <w:vAlign w:val="center"/>
          </w:tcPr>
          <w:p>
            <w:pPr>
              <w:spacing w:after="0"/>
            </w:pPr>
            <w:r/>
            <w:r>
              <w:rPr>
                <w:rFonts w:ascii="Arial" w:hAnsi="Arial" w:eastAsia="Arial"/>
                <w:b w:val="0"/>
                <w:sz w:val="15"/>
              </w:rPr>
              <w:t>Altitude RMSE (m)</w:t>
            </w:r>
          </w:p>
        </w:tc>
        <w:tc>
          <w:tcPr>
            <w:tcW w:type="dxa" w:w="1584"/>
            <w:vAlign w:val="center"/>
          </w:tcPr>
          <w:p>
            <w:pPr>
              <w:spacing w:after="0"/>
            </w:pPr>
            <w:r/>
            <w:r>
              <w:rPr>
                <w:rFonts w:ascii="Arial" w:hAnsi="Arial" w:eastAsia="Arial"/>
                <w:b w:val="0"/>
                <w:sz w:val="15"/>
              </w:rPr>
              <w:t>2304.55</w:t>
            </w:r>
          </w:p>
        </w:tc>
        <w:tc>
          <w:tcPr>
            <w:tcW w:type="dxa" w:w="1584"/>
            <w:vAlign w:val="center"/>
          </w:tcPr>
          <w:p>
            <w:pPr>
              <w:spacing w:after="0"/>
            </w:pPr>
            <w:r/>
            <w:r>
              <w:rPr>
                <w:rFonts w:ascii="Arial" w:hAnsi="Arial" w:eastAsia="Arial"/>
                <w:b w:val="0"/>
                <w:sz w:val="15"/>
              </w:rPr>
              <w:t>1920.30</w:t>
            </w:r>
          </w:p>
        </w:tc>
        <w:tc>
          <w:tcPr>
            <w:tcW w:type="dxa" w:w="4032"/>
            <w:vAlign w:val="center"/>
          </w:tcPr>
          <w:p>
            <w:pPr>
              <w:spacing w:after="0"/>
            </w:pPr>
            <w:r/>
            <w:r>
              <w:rPr>
                <w:rFonts w:ascii="Arial" w:hAnsi="Arial" w:eastAsia="Arial"/>
                <w:b w:val="0"/>
                <w:sz w:val="15"/>
              </w:rPr>
              <w:t>Lower for KC-NN</w:t>
            </w:r>
          </w:p>
        </w:tc>
      </w:tr>
      <w:tr>
        <w:trPr>
          <w:cantSplit/>
        </w:trPr>
        <w:tc>
          <w:tcPr>
            <w:tcW w:type="dxa" w:w="3168"/>
            <w:vAlign w:val="center"/>
            <w:shd w:fill="EAF0F8"/>
          </w:tcPr>
          <w:p>
            <w:pPr>
              <w:spacing w:after="0"/>
            </w:pPr>
            <w:r/>
            <w:r>
              <w:rPr>
                <w:rFonts w:ascii="Arial" w:hAnsi="Arial" w:eastAsia="Arial"/>
                <w:b w:val="0"/>
                <w:sz w:val="15"/>
              </w:rPr>
              <w:t>Speed RMSE (m/s)</w:t>
            </w:r>
          </w:p>
        </w:tc>
        <w:tc>
          <w:tcPr>
            <w:tcW w:type="dxa" w:w="1584"/>
            <w:vAlign w:val="center"/>
            <w:shd w:fill="EAF0F8"/>
          </w:tcPr>
          <w:p>
            <w:pPr>
              <w:spacing w:after="0"/>
            </w:pPr>
            <w:r/>
            <w:r>
              <w:rPr>
                <w:rFonts w:ascii="Arial" w:hAnsi="Arial" w:eastAsia="Arial"/>
                <w:b w:val="0"/>
                <w:sz w:val="15"/>
              </w:rPr>
              <w:t>46.77</w:t>
            </w:r>
          </w:p>
        </w:tc>
        <w:tc>
          <w:tcPr>
            <w:tcW w:type="dxa" w:w="1584"/>
            <w:vAlign w:val="center"/>
            <w:shd w:fill="EAF0F8"/>
          </w:tcPr>
          <w:p>
            <w:pPr>
              <w:spacing w:after="0"/>
            </w:pPr>
            <w:r/>
            <w:r>
              <w:rPr>
                <w:rFonts w:ascii="Arial" w:hAnsi="Arial" w:eastAsia="Arial"/>
                <w:b w:val="0"/>
                <w:sz w:val="15"/>
              </w:rPr>
              <w:t>69.87</w:t>
            </w:r>
          </w:p>
        </w:tc>
        <w:tc>
          <w:tcPr>
            <w:tcW w:type="dxa" w:w="4032"/>
            <w:vAlign w:val="center"/>
            <w:shd w:fill="EAF0F8"/>
          </w:tcPr>
          <w:p>
            <w:pPr>
              <w:spacing w:after="0"/>
            </w:pPr>
            <w:r/>
            <w:r>
              <w:rPr>
                <w:rFonts w:ascii="Arial" w:hAnsi="Arial" w:eastAsia="Arial"/>
                <w:b w:val="0"/>
                <w:sz w:val="15"/>
              </w:rPr>
              <w:t>Lower for NN</w:t>
            </w:r>
          </w:p>
        </w:tc>
      </w:tr>
      <w:tr>
        <w:trPr>
          <w:cantSplit/>
        </w:trPr>
        <w:tc>
          <w:tcPr>
            <w:tcW w:type="dxa" w:w="3168"/>
            <w:vAlign w:val="center"/>
          </w:tcPr>
          <w:p>
            <w:pPr>
              <w:spacing w:after="0"/>
            </w:pPr>
            <w:r/>
            <w:r>
              <w:rPr>
                <w:rFonts w:ascii="Arial" w:hAnsi="Arial" w:eastAsia="Arial"/>
                <w:b w:val="0"/>
                <w:sz w:val="15"/>
              </w:rPr>
              <w:t>Kinematic violation fraction</w:t>
            </w:r>
          </w:p>
        </w:tc>
        <w:tc>
          <w:tcPr>
            <w:tcW w:type="dxa" w:w="1584"/>
            <w:vAlign w:val="center"/>
          </w:tcPr>
          <w:p>
            <w:pPr>
              <w:spacing w:after="0"/>
            </w:pPr>
            <w:r/>
            <w:r>
              <w:rPr>
                <w:rFonts w:ascii="Arial" w:hAnsi="Arial" w:eastAsia="Arial"/>
                <w:b w:val="0"/>
                <w:sz w:val="15"/>
              </w:rPr>
              <w:t>0.4262</w:t>
            </w:r>
          </w:p>
        </w:tc>
        <w:tc>
          <w:tcPr>
            <w:tcW w:type="dxa" w:w="1584"/>
            <w:vAlign w:val="center"/>
          </w:tcPr>
          <w:p>
            <w:pPr>
              <w:spacing w:after="0"/>
            </w:pPr>
            <w:r/>
            <w:r>
              <w:rPr>
                <w:rFonts w:ascii="Arial" w:hAnsi="Arial" w:eastAsia="Arial"/>
                <w:b w:val="0"/>
                <w:sz w:val="15"/>
              </w:rPr>
              <w:t>0.0612</w:t>
            </w:r>
          </w:p>
        </w:tc>
        <w:tc>
          <w:tcPr>
            <w:tcW w:type="dxa" w:w="4032"/>
            <w:vAlign w:val="center"/>
          </w:tcPr>
          <w:p>
            <w:pPr>
              <w:spacing w:after="0"/>
            </w:pPr>
            <w:r/>
            <w:r>
              <w:rPr>
                <w:rFonts w:ascii="Arial" w:hAnsi="Arial" w:eastAsia="Arial"/>
                <w:b w:val="0"/>
                <w:sz w:val="15"/>
              </w:rPr>
              <w:t>Lower for KC-NN</w:t>
            </w:r>
          </w:p>
        </w:tc>
      </w:tr>
      <w:tr>
        <w:trPr>
          <w:cantSplit/>
        </w:trPr>
        <w:tc>
          <w:tcPr>
            <w:tcW w:type="dxa" w:w="3168"/>
            <w:vAlign w:val="center"/>
            <w:shd w:fill="EAF0F8"/>
          </w:tcPr>
          <w:p>
            <w:pPr>
              <w:spacing w:after="0"/>
            </w:pPr>
            <w:r/>
            <w:r>
              <w:rPr>
                <w:rFonts w:ascii="Arial" w:hAnsi="Arial" w:eastAsia="Arial"/>
                <w:b w:val="0"/>
                <w:sz w:val="15"/>
              </w:rPr>
              <w:t>Standardized composite difference</w:t>
            </w:r>
          </w:p>
        </w:tc>
        <w:tc>
          <w:tcPr>
            <w:tcW w:type="dxa" w:w="1584"/>
            <w:vAlign w:val="center"/>
            <w:shd w:fill="EAF0F8"/>
          </w:tcPr>
          <w:p>
            <w:pPr>
              <w:spacing w:after="0"/>
            </w:pPr>
            <w:r/>
            <w:r>
              <w:rPr>
                <w:rFonts w:ascii="Arial" w:hAnsi="Arial" w:eastAsia="Arial"/>
                <w:b w:val="0"/>
                <w:sz w:val="15"/>
              </w:rPr>
              <w:t>—</w:t>
            </w:r>
          </w:p>
        </w:tc>
        <w:tc>
          <w:tcPr>
            <w:tcW w:type="dxa" w:w="1584"/>
            <w:vAlign w:val="center"/>
            <w:shd w:fill="EAF0F8"/>
          </w:tcPr>
          <w:p>
            <w:pPr>
              <w:spacing w:after="0"/>
            </w:pPr>
            <w:r/>
            <w:r>
              <w:rPr>
                <w:rFonts w:ascii="Arial" w:hAnsi="Arial" w:eastAsia="Arial"/>
                <w:b w:val="0"/>
                <w:sz w:val="15"/>
              </w:rPr>
              <w:t>+0.018634</w:t>
            </w:r>
          </w:p>
        </w:tc>
        <w:tc>
          <w:tcPr>
            <w:tcW w:type="dxa" w:w="4032"/>
            <w:vAlign w:val="center"/>
            <w:shd w:fill="EAF0F8"/>
          </w:tcPr>
          <w:p>
            <w:pPr>
              <w:spacing w:after="0"/>
            </w:pPr>
            <w:r/>
            <w:r>
              <w:rPr>
                <w:rFonts w:ascii="Arial" w:hAnsi="Arial" w:eastAsia="Arial"/>
                <w:b w:val="0"/>
                <w:sz w:val="15"/>
              </w:rPr>
              <w:t>Positive = KC-NN worse</w:t>
            </w:r>
          </w:p>
        </w:tc>
      </w:tr>
      <w:tr>
        <w:trPr>
          <w:cantSplit/>
        </w:trPr>
        <w:tc>
          <w:tcPr>
            <w:tcW w:type="dxa" w:w="3168"/>
            <w:vAlign w:val="center"/>
          </w:tcPr>
          <w:p>
            <w:pPr>
              <w:spacing w:after="0"/>
            </w:pPr>
            <w:r/>
            <w:r>
              <w:rPr>
                <w:rFonts w:ascii="Arial" w:hAnsi="Arial" w:eastAsia="Arial"/>
                <w:b w:val="0"/>
                <w:sz w:val="15"/>
              </w:rPr>
              <w:t>Flight-level wins</w:t>
            </w:r>
          </w:p>
        </w:tc>
        <w:tc>
          <w:tcPr>
            <w:tcW w:type="dxa" w:w="1584"/>
            <w:vAlign w:val="center"/>
          </w:tcPr>
          <w:p>
            <w:pPr>
              <w:spacing w:after="0"/>
            </w:pPr>
            <w:r/>
            <w:r>
              <w:rPr>
                <w:rFonts w:ascii="Arial" w:hAnsi="Arial" w:eastAsia="Arial"/>
                <w:b w:val="0"/>
                <w:sz w:val="15"/>
              </w:rPr>
              <w:t>—</w:t>
            </w:r>
          </w:p>
        </w:tc>
        <w:tc>
          <w:tcPr>
            <w:tcW w:type="dxa" w:w="1584"/>
            <w:vAlign w:val="center"/>
          </w:tcPr>
          <w:p>
            <w:pPr>
              <w:spacing w:after="0"/>
            </w:pPr>
            <w:r/>
            <w:r>
              <w:rPr>
                <w:rFonts w:ascii="Arial" w:hAnsi="Arial" w:eastAsia="Arial"/>
                <w:b w:val="0"/>
                <w:sz w:val="15"/>
              </w:rPr>
              <w:t>1 of 6</w:t>
            </w:r>
          </w:p>
        </w:tc>
        <w:tc>
          <w:tcPr>
            <w:tcW w:type="dxa" w:w="4032"/>
            <w:vAlign w:val="center"/>
          </w:tcPr>
          <w:p>
            <w:pPr>
              <w:spacing w:after="0"/>
            </w:pPr>
            <w:r/>
            <w:r>
              <w:rPr>
                <w:rFonts w:ascii="Arial" w:hAnsi="Arial" w:eastAsia="Arial"/>
                <w:b w:val="0"/>
                <w:sz w:val="15"/>
              </w:rPr>
              <w:t>KC-NN</w:t>
            </w:r>
          </w:p>
        </w:tc>
      </w:tr>
      <w:tr>
        <w:trPr>
          <w:cantSplit/>
        </w:trPr>
        <w:tc>
          <w:tcPr>
            <w:tcW w:type="dxa" w:w="3168"/>
            <w:vAlign w:val="center"/>
            <w:shd w:fill="EAF0F8"/>
          </w:tcPr>
          <w:p>
            <w:pPr>
              <w:spacing w:after="0"/>
            </w:pPr>
            <w:r/>
            <w:r>
              <w:rPr>
                <w:rFonts w:ascii="Arial" w:hAnsi="Arial" w:eastAsia="Arial"/>
                <w:b w:val="0"/>
                <w:sz w:val="15"/>
              </w:rPr>
              <w:t>Flight bootstrap 95% interval</w:t>
            </w:r>
          </w:p>
        </w:tc>
        <w:tc>
          <w:tcPr>
            <w:tcW w:type="dxa" w:w="1584"/>
            <w:vAlign w:val="center"/>
            <w:shd w:fill="EAF0F8"/>
          </w:tcPr>
          <w:p>
            <w:pPr>
              <w:spacing w:after="0"/>
            </w:pPr>
            <w:r/>
            <w:r>
              <w:rPr>
                <w:rFonts w:ascii="Arial" w:hAnsi="Arial" w:eastAsia="Arial"/>
                <w:b w:val="0"/>
                <w:sz w:val="15"/>
              </w:rPr>
              <w:t>—</w:t>
            </w:r>
          </w:p>
        </w:tc>
        <w:tc>
          <w:tcPr>
            <w:tcW w:type="dxa" w:w="1584"/>
            <w:vAlign w:val="center"/>
            <w:shd w:fill="EAF0F8"/>
          </w:tcPr>
          <w:p>
            <w:pPr>
              <w:spacing w:after="0"/>
            </w:pPr>
            <w:r/>
            <w:r>
              <w:rPr>
                <w:rFonts w:ascii="Arial" w:hAnsi="Arial" w:eastAsia="Arial"/>
                <w:b w:val="0"/>
                <w:sz w:val="15"/>
              </w:rPr>
              <w:t>[-0.020757, +0.045011]</w:t>
            </w:r>
          </w:p>
        </w:tc>
        <w:tc>
          <w:tcPr>
            <w:tcW w:type="dxa" w:w="4032"/>
            <w:vAlign w:val="center"/>
            <w:shd w:fill="EAF0F8"/>
          </w:tcPr>
          <w:p>
            <w:pPr>
              <w:spacing w:after="0"/>
            </w:pPr>
            <w:r/>
            <w:r>
              <w:rPr>
                <w:rFonts w:ascii="Arial" w:hAnsi="Arial" w:eastAsia="Arial"/>
                <w:b w:val="0"/>
                <w:sz w:val="15"/>
              </w:rPr>
              <w:t>Includes zero</w:t>
            </w:r>
          </w:p>
        </w:tc>
      </w:tr>
    </w:tbl>
    <w:p>
      <w:r>
        <w:t>The constraint greatly reduced inequality violations and improved altitude reconstruction on average, but the speed penalty outweighed that benefit in the prespecified composite. The bootstrap interval and one-of-six flight win rate do not support a general held-out advantage.</w:t>
      </w:r>
    </w:p>
    <w:p>
      <w:pPr>
        <w:pStyle w:val="Supplementcaption"/>
        <w:keepNext/>
      </w:pPr>
      <w:r>
        <w:t>Table S5. RQ1 held-out test flight-level composite scores at 5%.</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2033"/>
        <w:gridCol w:w="2033"/>
        <w:gridCol w:w="2033"/>
        <w:gridCol w:w="2033"/>
        <w:gridCol w:w="2033"/>
      </w:tblGrid>
      <w:tr>
        <w:trPr>
          <w:tblHeader w:val="true"/>
          <w:cantSplit/>
          <w:tblHeader/>
        </w:trPr>
        <w:tc>
          <w:tcPr>
            <w:tcW w:type="dxa" w:w="3312"/>
            <w:vAlign w:val="center"/>
            <w:shd w:fill="17365D"/>
          </w:tcPr>
          <w:p>
            <w:pPr>
              <w:spacing w:after="0"/>
            </w:pPr>
            <w:r/>
            <w:r>
              <w:rPr>
                <w:rFonts w:ascii="Arial" w:hAnsi="Arial" w:eastAsia="Arial"/>
                <w:b/>
                <w:color w:val="FFFFFF"/>
                <w:sz w:val="15"/>
              </w:rPr>
              <w:t>Flight</w:t>
            </w:r>
          </w:p>
        </w:tc>
        <w:tc>
          <w:tcPr>
            <w:tcW w:type="dxa" w:w="1440"/>
            <w:vAlign w:val="center"/>
            <w:shd w:fill="17365D"/>
          </w:tcPr>
          <w:p>
            <w:pPr>
              <w:spacing w:after="0"/>
            </w:pPr>
            <w:r/>
            <w:r>
              <w:rPr>
                <w:rFonts w:ascii="Arial" w:hAnsi="Arial" w:eastAsia="Arial"/>
                <w:b/>
                <w:color w:val="FFFFFF"/>
                <w:sz w:val="15"/>
              </w:rPr>
              <w:t>NN</w:t>
            </w:r>
          </w:p>
        </w:tc>
        <w:tc>
          <w:tcPr>
            <w:tcW w:type="dxa" w:w="1440"/>
            <w:vAlign w:val="center"/>
            <w:shd w:fill="17365D"/>
          </w:tcPr>
          <w:p>
            <w:pPr>
              <w:spacing w:after="0"/>
            </w:pPr>
            <w:r/>
            <w:r>
              <w:rPr>
                <w:rFonts w:ascii="Arial" w:hAnsi="Arial" w:eastAsia="Arial"/>
                <w:b/>
                <w:color w:val="FFFFFF"/>
                <w:sz w:val="15"/>
              </w:rPr>
              <w:t>KC-NN</w:t>
            </w:r>
          </w:p>
        </w:tc>
        <w:tc>
          <w:tcPr>
            <w:tcW w:type="dxa" w:w="1872"/>
            <w:vAlign w:val="center"/>
            <w:shd w:fill="17365D"/>
          </w:tcPr>
          <w:p>
            <w:pPr>
              <w:spacing w:after="0"/>
            </w:pPr>
            <w:r/>
            <w:r>
              <w:rPr>
                <w:rFonts w:ascii="Arial" w:hAnsi="Arial" w:eastAsia="Arial"/>
                <w:b/>
                <w:color w:val="FFFFFF"/>
                <w:sz w:val="15"/>
              </w:rPr>
              <w:t>KC-NN − NN</w:t>
            </w:r>
          </w:p>
        </w:tc>
        <w:tc>
          <w:tcPr>
            <w:tcW w:type="dxa" w:w="1440"/>
            <w:vAlign w:val="center"/>
            <w:shd w:fill="17365D"/>
          </w:tcPr>
          <w:p>
            <w:pPr>
              <w:spacing w:after="0"/>
            </w:pPr>
            <w:r/>
            <w:r>
              <w:rPr>
                <w:rFonts w:ascii="Arial" w:hAnsi="Arial" w:eastAsia="Arial"/>
                <w:b/>
                <w:color w:val="FFFFFF"/>
                <w:sz w:val="15"/>
              </w:rPr>
              <w:t>Winner</w:t>
            </w:r>
          </w:p>
        </w:tc>
      </w:tr>
      <w:tr>
        <w:trPr>
          <w:cantSplit/>
        </w:trPr>
        <w:tc>
          <w:tcPr>
            <w:tcW w:type="dxa" w:w="3312"/>
            <w:vAlign w:val="center"/>
          </w:tcPr>
          <w:p>
            <w:pPr>
              <w:spacing w:after="0"/>
            </w:pPr>
            <w:r/>
            <w:r>
              <w:rPr>
                <w:rFonts w:ascii="Arial" w:hAnsi="Arial" w:eastAsia="Arial"/>
                <w:b w:val="0"/>
                <w:sz w:val="15"/>
              </w:rPr>
              <w:t>Intelsat 35e</w:t>
            </w:r>
          </w:p>
        </w:tc>
        <w:tc>
          <w:tcPr>
            <w:tcW w:type="dxa" w:w="1440"/>
            <w:vAlign w:val="center"/>
          </w:tcPr>
          <w:p>
            <w:pPr>
              <w:spacing w:after="0"/>
            </w:pPr>
            <w:r/>
            <w:r>
              <w:rPr>
                <w:rFonts w:ascii="Arial" w:hAnsi="Arial" w:eastAsia="Arial"/>
                <w:b w:val="0"/>
                <w:sz w:val="15"/>
              </w:rPr>
              <w:t>0.113894</w:t>
            </w:r>
          </w:p>
        </w:tc>
        <w:tc>
          <w:tcPr>
            <w:tcW w:type="dxa" w:w="1440"/>
            <w:vAlign w:val="center"/>
          </w:tcPr>
          <w:p>
            <w:pPr>
              <w:spacing w:after="0"/>
            </w:pPr>
            <w:r/>
            <w:r>
              <w:rPr>
                <w:rFonts w:ascii="Arial" w:hAnsi="Arial" w:eastAsia="Arial"/>
                <w:b w:val="0"/>
                <w:sz w:val="15"/>
              </w:rPr>
              <w:t>0.161973</w:t>
            </w:r>
          </w:p>
        </w:tc>
        <w:tc>
          <w:tcPr>
            <w:tcW w:type="dxa" w:w="1872"/>
            <w:vAlign w:val="center"/>
          </w:tcPr>
          <w:p>
            <w:pPr>
              <w:spacing w:after="0"/>
            </w:pPr>
            <w:r/>
            <w:r>
              <w:rPr>
                <w:rFonts w:ascii="Arial" w:hAnsi="Arial" w:eastAsia="Arial"/>
                <w:b w:val="0"/>
                <w:sz w:val="15"/>
              </w:rPr>
              <w:t>+0.048078</w:t>
            </w:r>
          </w:p>
        </w:tc>
        <w:tc>
          <w:tcPr>
            <w:tcW w:type="dxa" w:w="1440"/>
            <w:vAlign w:val="center"/>
          </w:tcPr>
          <w:p>
            <w:pPr>
              <w:spacing w:after="0"/>
            </w:pPr>
            <w:r/>
            <w:r>
              <w:rPr>
                <w:rFonts w:ascii="Arial" w:hAnsi="Arial" w:eastAsia="Arial"/>
                <w:b w:val="0"/>
                <w:sz w:val="15"/>
              </w:rPr>
              <w:t>NN</w:t>
            </w:r>
          </w:p>
        </w:tc>
      </w:tr>
      <w:tr>
        <w:trPr>
          <w:cantSplit/>
        </w:trPr>
        <w:tc>
          <w:tcPr>
            <w:tcW w:type="dxa" w:w="3312"/>
            <w:vAlign w:val="center"/>
            <w:shd w:fill="EAF0F8"/>
          </w:tcPr>
          <w:p>
            <w:pPr>
              <w:spacing w:after="0"/>
            </w:pPr>
            <w:r/>
            <w:r>
              <w:rPr>
                <w:rFonts w:ascii="Arial" w:hAnsi="Arial" w:eastAsia="Arial"/>
                <w:b w:val="0"/>
                <w:sz w:val="15"/>
              </w:rPr>
              <w:t>Iridium NEXT-5</w:t>
            </w:r>
          </w:p>
        </w:tc>
        <w:tc>
          <w:tcPr>
            <w:tcW w:type="dxa" w:w="1440"/>
            <w:vAlign w:val="center"/>
            <w:shd w:fill="EAF0F8"/>
          </w:tcPr>
          <w:p>
            <w:pPr>
              <w:spacing w:after="0"/>
            </w:pPr>
            <w:r/>
            <w:r>
              <w:rPr>
                <w:rFonts w:ascii="Arial" w:hAnsi="Arial" w:eastAsia="Arial"/>
                <w:b w:val="0"/>
                <w:sz w:val="15"/>
              </w:rPr>
              <w:t>0.224670</w:t>
            </w:r>
          </w:p>
        </w:tc>
        <w:tc>
          <w:tcPr>
            <w:tcW w:type="dxa" w:w="1440"/>
            <w:vAlign w:val="center"/>
            <w:shd w:fill="EAF0F8"/>
          </w:tcPr>
          <w:p>
            <w:pPr>
              <w:spacing w:after="0"/>
            </w:pPr>
            <w:r/>
            <w:r>
              <w:rPr>
                <w:rFonts w:ascii="Arial" w:hAnsi="Arial" w:eastAsia="Arial"/>
                <w:b w:val="0"/>
                <w:sz w:val="15"/>
              </w:rPr>
              <w:t>0.149446</w:t>
            </w:r>
          </w:p>
        </w:tc>
        <w:tc>
          <w:tcPr>
            <w:tcW w:type="dxa" w:w="1872"/>
            <w:vAlign w:val="center"/>
            <w:shd w:fill="EAF0F8"/>
          </w:tcPr>
          <w:p>
            <w:pPr>
              <w:spacing w:after="0"/>
            </w:pPr>
            <w:r/>
            <w:r>
              <w:rPr>
                <w:rFonts w:ascii="Arial" w:hAnsi="Arial" w:eastAsia="Arial"/>
                <w:b w:val="0"/>
                <w:sz w:val="15"/>
              </w:rPr>
              <w:t>-0.075225</w:t>
            </w:r>
          </w:p>
        </w:tc>
        <w:tc>
          <w:tcPr>
            <w:tcW w:type="dxa" w:w="1440"/>
            <w:vAlign w:val="center"/>
            <w:shd w:fill="EAF0F8"/>
          </w:tcPr>
          <w:p>
            <w:pPr>
              <w:spacing w:after="0"/>
            </w:pPr>
            <w:r/>
            <w:r>
              <w:rPr>
                <w:rFonts w:ascii="Arial" w:hAnsi="Arial" w:eastAsia="Arial"/>
                <w:b w:val="0"/>
                <w:sz w:val="15"/>
              </w:rPr>
              <w:t>KC-NN</w:t>
            </w:r>
          </w:p>
        </w:tc>
      </w:tr>
      <w:tr>
        <w:trPr>
          <w:cantSplit/>
        </w:trPr>
        <w:tc>
          <w:tcPr>
            <w:tcW w:type="dxa" w:w="3312"/>
            <w:vAlign w:val="center"/>
          </w:tcPr>
          <w:p>
            <w:pPr>
              <w:spacing w:after="0"/>
            </w:pPr>
            <w:r/>
            <w:r>
              <w:rPr>
                <w:rFonts w:ascii="Arial" w:hAnsi="Arial" w:eastAsia="Arial"/>
                <w:b w:val="0"/>
                <w:sz w:val="15"/>
              </w:rPr>
              <w:t>SES-9</w:t>
            </w:r>
          </w:p>
        </w:tc>
        <w:tc>
          <w:tcPr>
            <w:tcW w:type="dxa" w:w="1440"/>
            <w:vAlign w:val="center"/>
          </w:tcPr>
          <w:p>
            <w:pPr>
              <w:spacing w:after="0"/>
            </w:pPr>
            <w:r/>
            <w:r>
              <w:rPr>
                <w:rFonts w:ascii="Arial" w:hAnsi="Arial" w:eastAsia="Arial"/>
                <w:b w:val="0"/>
                <w:sz w:val="15"/>
              </w:rPr>
              <w:t>0.338075</w:t>
            </w:r>
          </w:p>
        </w:tc>
        <w:tc>
          <w:tcPr>
            <w:tcW w:type="dxa" w:w="1440"/>
            <w:vAlign w:val="center"/>
          </w:tcPr>
          <w:p>
            <w:pPr>
              <w:spacing w:after="0"/>
            </w:pPr>
            <w:r/>
            <w:r>
              <w:rPr>
                <w:rFonts w:ascii="Arial" w:hAnsi="Arial" w:eastAsia="Arial"/>
                <w:b w:val="0"/>
                <w:sz w:val="15"/>
              </w:rPr>
              <w:t>0.393535</w:t>
            </w:r>
          </w:p>
        </w:tc>
        <w:tc>
          <w:tcPr>
            <w:tcW w:type="dxa" w:w="1872"/>
            <w:vAlign w:val="center"/>
          </w:tcPr>
          <w:p>
            <w:pPr>
              <w:spacing w:after="0"/>
            </w:pPr>
            <w:r/>
            <w:r>
              <w:rPr>
                <w:rFonts w:ascii="Arial" w:hAnsi="Arial" w:eastAsia="Arial"/>
                <w:b w:val="0"/>
                <w:sz w:val="15"/>
              </w:rPr>
              <w:t>+0.055460</w:t>
            </w:r>
          </w:p>
        </w:tc>
        <w:tc>
          <w:tcPr>
            <w:tcW w:type="dxa" w:w="1440"/>
            <w:vAlign w:val="center"/>
          </w:tcPr>
          <w:p>
            <w:pPr>
              <w:spacing w:after="0"/>
            </w:pPr>
            <w:r/>
            <w:r>
              <w:rPr>
                <w:rFonts w:ascii="Arial" w:hAnsi="Arial" w:eastAsia="Arial"/>
                <w:b w:val="0"/>
                <w:sz w:val="15"/>
              </w:rPr>
              <w:t>NN</w:t>
            </w:r>
          </w:p>
        </w:tc>
      </w:tr>
      <w:tr>
        <w:trPr>
          <w:cantSplit/>
        </w:trPr>
        <w:tc>
          <w:tcPr>
            <w:tcW w:type="dxa" w:w="3312"/>
            <w:vAlign w:val="center"/>
            <w:shd w:fill="EAF0F8"/>
          </w:tcPr>
          <w:p>
            <w:pPr>
              <w:spacing w:after="0"/>
            </w:pPr>
            <w:r/>
            <w:r>
              <w:rPr>
                <w:rFonts w:ascii="Arial" w:hAnsi="Arial" w:eastAsia="Arial"/>
                <w:b w:val="0"/>
                <w:sz w:val="15"/>
              </w:rPr>
              <w:t>SpaceX CRS-11</w:t>
            </w:r>
          </w:p>
        </w:tc>
        <w:tc>
          <w:tcPr>
            <w:tcW w:type="dxa" w:w="1440"/>
            <w:vAlign w:val="center"/>
            <w:shd w:fill="EAF0F8"/>
          </w:tcPr>
          <w:p>
            <w:pPr>
              <w:spacing w:after="0"/>
            </w:pPr>
            <w:r/>
            <w:r>
              <w:rPr>
                <w:rFonts w:ascii="Arial" w:hAnsi="Arial" w:eastAsia="Arial"/>
                <w:b w:val="0"/>
                <w:sz w:val="15"/>
              </w:rPr>
              <w:t>0.150736</w:t>
            </w:r>
          </w:p>
        </w:tc>
        <w:tc>
          <w:tcPr>
            <w:tcW w:type="dxa" w:w="1440"/>
            <w:vAlign w:val="center"/>
            <w:shd w:fill="EAF0F8"/>
          </w:tcPr>
          <w:p>
            <w:pPr>
              <w:spacing w:after="0"/>
            </w:pPr>
            <w:r/>
            <w:r>
              <w:rPr>
                <w:rFonts w:ascii="Arial" w:hAnsi="Arial" w:eastAsia="Arial"/>
                <w:b w:val="0"/>
                <w:sz w:val="15"/>
              </w:rPr>
              <w:t>0.171240</w:t>
            </w:r>
          </w:p>
        </w:tc>
        <w:tc>
          <w:tcPr>
            <w:tcW w:type="dxa" w:w="1872"/>
            <w:vAlign w:val="center"/>
            <w:shd w:fill="EAF0F8"/>
          </w:tcPr>
          <w:p>
            <w:pPr>
              <w:spacing w:after="0"/>
            </w:pPr>
            <w:r/>
            <w:r>
              <w:rPr>
                <w:rFonts w:ascii="Arial" w:hAnsi="Arial" w:eastAsia="Arial"/>
                <w:b w:val="0"/>
                <w:sz w:val="15"/>
              </w:rPr>
              <w:t>+0.020504</w:t>
            </w:r>
          </w:p>
        </w:tc>
        <w:tc>
          <w:tcPr>
            <w:tcW w:type="dxa" w:w="1440"/>
            <w:vAlign w:val="center"/>
            <w:shd w:fill="EAF0F8"/>
          </w:tcPr>
          <w:p>
            <w:pPr>
              <w:spacing w:after="0"/>
            </w:pPr>
            <w:r/>
            <w:r>
              <w:rPr>
                <w:rFonts w:ascii="Arial" w:hAnsi="Arial" w:eastAsia="Arial"/>
                <w:b w:val="0"/>
                <w:sz w:val="15"/>
              </w:rPr>
              <w:t>NN</w:t>
            </w:r>
          </w:p>
        </w:tc>
      </w:tr>
      <w:tr>
        <w:trPr>
          <w:cantSplit/>
        </w:trPr>
        <w:tc>
          <w:tcPr>
            <w:tcW w:type="dxa" w:w="3312"/>
            <w:vAlign w:val="center"/>
          </w:tcPr>
          <w:p>
            <w:pPr>
              <w:spacing w:after="0"/>
            </w:pPr>
            <w:r/>
            <w:r>
              <w:rPr>
                <w:rFonts w:ascii="Arial" w:hAnsi="Arial" w:eastAsia="Arial"/>
                <w:b w:val="0"/>
                <w:sz w:val="15"/>
              </w:rPr>
              <w:t>SSO-A</w:t>
            </w:r>
          </w:p>
        </w:tc>
        <w:tc>
          <w:tcPr>
            <w:tcW w:type="dxa" w:w="1440"/>
            <w:vAlign w:val="center"/>
          </w:tcPr>
          <w:p>
            <w:pPr>
              <w:spacing w:after="0"/>
            </w:pPr>
            <w:r/>
            <w:r>
              <w:rPr>
                <w:rFonts w:ascii="Arial" w:hAnsi="Arial" w:eastAsia="Arial"/>
                <w:b w:val="0"/>
                <w:sz w:val="15"/>
              </w:rPr>
              <w:t>0.155988</w:t>
            </w:r>
          </w:p>
        </w:tc>
        <w:tc>
          <w:tcPr>
            <w:tcW w:type="dxa" w:w="1440"/>
            <w:vAlign w:val="center"/>
          </w:tcPr>
          <w:p>
            <w:pPr>
              <w:spacing w:after="0"/>
            </w:pPr>
            <w:r/>
            <w:r>
              <w:rPr>
                <w:rFonts w:ascii="Arial" w:hAnsi="Arial" w:eastAsia="Arial"/>
                <w:b w:val="0"/>
                <w:sz w:val="15"/>
              </w:rPr>
              <w:t>0.188540</w:t>
            </w:r>
          </w:p>
        </w:tc>
        <w:tc>
          <w:tcPr>
            <w:tcW w:type="dxa" w:w="1872"/>
            <w:vAlign w:val="center"/>
          </w:tcPr>
          <w:p>
            <w:pPr>
              <w:spacing w:after="0"/>
            </w:pPr>
            <w:r/>
            <w:r>
              <w:rPr>
                <w:rFonts w:ascii="Arial" w:hAnsi="Arial" w:eastAsia="Arial"/>
                <w:b w:val="0"/>
                <w:sz w:val="15"/>
              </w:rPr>
              <w:t>+0.032552</w:t>
            </w:r>
          </w:p>
        </w:tc>
        <w:tc>
          <w:tcPr>
            <w:tcW w:type="dxa" w:w="1440"/>
            <w:vAlign w:val="center"/>
          </w:tcPr>
          <w:p>
            <w:pPr>
              <w:spacing w:after="0"/>
            </w:pPr>
            <w:r/>
            <w:r>
              <w:rPr>
                <w:rFonts w:ascii="Arial" w:hAnsi="Arial" w:eastAsia="Arial"/>
                <w:b w:val="0"/>
                <w:sz w:val="15"/>
              </w:rPr>
              <w:t>NN</w:t>
            </w:r>
          </w:p>
        </w:tc>
      </w:tr>
      <w:tr>
        <w:trPr>
          <w:cantSplit/>
        </w:trPr>
        <w:tc>
          <w:tcPr>
            <w:tcW w:type="dxa" w:w="3312"/>
            <w:vAlign w:val="center"/>
            <w:shd w:fill="EAF0F8"/>
          </w:tcPr>
          <w:p>
            <w:pPr>
              <w:spacing w:after="0"/>
            </w:pPr>
            <w:r/>
            <w:r>
              <w:rPr>
                <w:rFonts w:ascii="Arial" w:hAnsi="Arial" w:eastAsia="Arial"/>
                <w:b w:val="0"/>
                <w:sz w:val="15"/>
              </w:rPr>
              <w:t>Thaicom-8</w:t>
            </w:r>
          </w:p>
        </w:tc>
        <w:tc>
          <w:tcPr>
            <w:tcW w:type="dxa" w:w="1440"/>
            <w:vAlign w:val="center"/>
            <w:shd w:fill="EAF0F8"/>
          </w:tcPr>
          <w:p>
            <w:pPr>
              <w:spacing w:after="0"/>
            </w:pPr>
            <w:r/>
            <w:r>
              <w:rPr>
                <w:rFonts w:ascii="Arial" w:hAnsi="Arial" w:eastAsia="Arial"/>
                <w:b w:val="0"/>
                <w:sz w:val="15"/>
              </w:rPr>
              <w:t>0.076771</w:t>
            </w:r>
          </w:p>
        </w:tc>
        <w:tc>
          <w:tcPr>
            <w:tcW w:type="dxa" w:w="1440"/>
            <w:vAlign w:val="center"/>
            <w:shd w:fill="EAF0F8"/>
          </w:tcPr>
          <w:p>
            <w:pPr>
              <w:spacing w:after="0"/>
            </w:pPr>
            <w:r/>
            <w:r>
              <w:rPr>
                <w:rFonts w:ascii="Arial" w:hAnsi="Arial" w:eastAsia="Arial"/>
                <w:b w:val="0"/>
                <w:sz w:val="15"/>
              </w:rPr>
              <w:t>0.107207</w:t>
            </w:r>
          </w:p>
        </w:tc>
        <w:tc>
          <w:tcPr>
            <w:tcW w:type="dxa" w:w="1872"/>
            <w:vAlign w:val="center"/>
            <w:shd w:fill="EAF0F8"/>
          </w:tcPr>
          <w:p>
            <w:pPr>
              <w:spacing w:after="0"/>
            </w:pPr>
            <w:r/>
            <w:r>
              <w:rPr>
                <w:rFonts w:ascii="Arial" w:hAnsi="Arial" w:eastAsia="Arial"/>
                <w:b w:val="0"/>
                <w:sz w:val="15"/>
              </w:rPr>
              <w:t>+0.030437</w:t>
            </w:r>
          </w:p>
        </w:tc>
        <w:tc>
          <w:tcPr>
            <w:tcW w:type="dxa" w:w="1440"/>
            <w:vAlign w:val="center"/>
            <w:shd w:fill="EAF0F8"/>
          </w:tcPr>
          <w:p>
            <w:pPr>
              <w:spacing w:after="0"/>
            </w:pPr>
            <w:r/>
            <w:r>
              <w:rPr>
                <w:rFonts w:ascii="Arial" w:hAnsi="Arial" w:eastAsia="Arial"/>
                <w:b w:val="0"/>
                <w:sz w:val="15"/>
              </w:rPr>
              <w:t>NN</w:t>
            </w:r>
          </w:p>
        </w:tc>
      </w:tr>
    </w:tbl>
    <w:p>
      <w:pPr>
        <w:pStyle w:val="Supplementnote"/>
      </w:pPr>
      <w:r>
        <w:t>Lower is better. Small rounding differences can occur when recomputing displayed differences from rounded component scores.</w:t>
      </w:r>
    </w:p>
    <w:p>
      <w:pPr>
        <w:pStyle w:val="Supplementcaption"/>
        <w:keepNext/>
      </w:pPr>
      <w:r>
        <w:t>Table S6. RQ1 outer-validation flight-level composite scores at 5%.</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2541"/>
        <w:gridCol w:w="2541"/>
        <w:gridCol w:w="2541"/>
        <w:gridCol w:w="2541"/>
      </w:tblGrid>
      <w:tr>
        <w:trPr>
          <w:tblHeader w:val="true"/>
          <w:cantSplit/>
          <w:tblHeader/>
        </w:trPr>
        <w:tc>
          <w:tcPr>
            <w:tcW w:type="dxa" w:w="3600"/>
            <w:vAlign w:val="center"/>
            <w:shd w:fill="17365D"/>
          </w:tcPr>
          <w:p>
            <w:pPr>
              <w:spacing w:after="0"/>
            </w:pPr>
            <w:r/>
            <w:r>
              <w:rPr>
                <w:rFonts w:ascii="Arial" w:hAnsi="Arial" w:eastAsia="Arial"/>
                <w:b/>
                <w:color w:val="FFFFFF"/>
                <w:sz w:val="15"/>
              </w:rPr>
              <w:t>Flight</w:t>
            </w:r>
          </w:p>
        </w:tc>
        <w:tc>
          <w:tcPr>
            <w:tcW w:type="dxa" w:w="1728"/>
            <w:vAlign w:val="center"/>
            <w:shd w:fill="17365D"/>
          </w:tcPr>
          <w:p>
            <w:pPr>
              <w:spacing w:after="0"/>
            </w:pPr>
            <w:r/>
            <w:r>
              <w:rPr>
                <w:rFonts w:ascii="Arial" w:hAnsi="Arial" w:eastAsia="Arial"/>
                <w:b/>
                <w:color w:val="FFFFFF"/>
                <w:sz w:val="15"/>
              </w:rPr>
              <w:t>NN</w:t>
            </w:r>
          </w:p>
        </w:tc>
        <w:tc>
          <w:tcPr>
            <w:tcW w:type="dxa" w:w="1728"/>
            <w:vAlign w:val="center"/>
            <w:shd w:fill="17365D"/>
          </w:tcPr>
          <w:p>
            <w:pPr>
              <w:spacing w:after="0"/>
            </w:pPr>
            <w:r/>
            <w:r>
              <w:rPr>
                <w:rFonts w:ascii="Arial" w:hAnsi="Arial" w:eastAsia="Arial"/>
                <w:b/>
                <w:color w:val="FFFFFF"/>
                <w:sz w:val="15"/>
              </w:rPr>
              <w:t>KC-NN</w:t>
            </w:r>
          </w:p>
        </w:tc>
        <w:tc>
          <w:tcPr>
            <w:tcW w:type="dxa" w:w="2160"/>
            <w:vAlign w:val="center"/>
            <w:shd w:fill="17365D"/>
          </w:tcPr>
          <w:p>
            <w:pPr>
              <w:spacing w:after="0"/>
            </w:pPr>
            <w:r/>
            <w:r>
              <w:rPr>
                <w:rFonts w:ascii="Arial" w:hAnsi="Arial" w:eastAsia="Arial"/>
                <w:b/>
                <w:color w:val="FFFFFF"/>
                <w:sz w:val="15"/>
              </w:rPr>
              <w:t>KC-NN − NN</w:t>
            </w:r>
          </w:p>
        </w:tc>
      </w:tr>
      <w:tr>
        <w:trPr>
          <w:cantSplit/>
        </w:trPr>
        <w:tc>
          <w:tcPr>
            <w:tcW w:type="dxa" w:w="3600"/>
            <w:vAlign w:val="center"/>
          </w:tcPr>
          <w:p>
            <w:pPr>
              <w:spacing w:after="0"/>
            </w:pPr>
            <w:r/>
            <w:r>
              <w:rPr>
                <w:rFonts w:ascii="Arial" w:hAnsi="Arial" w:eastAsia="Arial"/>
                <w:b w:val="0"/>
                <w:sz w:val="15"/>
              </w:rPr>
              <w:t>EchoStar 23</w:t>
            </w:r>
          </w:p>
        </w:tc>
        <w:tc>
          <w:tcPr>
            <w:tcW w:type="dxa" w:w="1728"/>
            <w:vAlign w:val="center"/>
          </w:tcPr>
          <w:p>
            <w:pPr>
              <w:spacing w:after="0"/>
            </w:pPr>
            <w:r/>
            <w:r>
              <w:rPr>
                <w:rFonts w:ascii="Arial" w:hAnsi="Arial" w:eastAsia="Arial"/>
                <w:b w:val="0"/>
                <w:sz w:val="15"/>
              </w:rPr>
              <w:t>0.111567</w:t>
            </w:r>
          </w:p>
        </w:tc>
        <w:tc>
          <w:tcPr>
            <w:tcW w:type="dxa" w:w="1728"/>
            <w:vAlign w:val="center"/>
          </w:tcPr>
          <w:p>
            <w:pPr>
              <w:spacing w:after="0"/>
            </w:pPr>
            <w:r/>
            <w:r>
              <w:rPr>
                <w:rFonts w:ascii="Arial" w:hAnsi="Arial" w:eastAsia="Arial"/>
                <w:b w:val="0"/>
                <w:sz w:val="15"/>
              </w:rPr>
              <w:t>0.138696</w:t>
            </w:r>
          </w:p>
        </w:tc>
        <w:tc>
          <w:tcPr>
            <w:tcW w:type="dxa" w:w="2160"/>
            <w:vAlign w:val="center"/>
          </w:tcPr>
          <w:p>
            <w:pPr>
              <w:spacing w:after="0"/>
            </w:pPr>
            <w:r/>
            <w:r>
              <w:rPr>
                <w:rFonts w:ascii="Arial" w:hAnsi="Arial" w:eastAsia="Arial"/>
                <w:b w:val="0"/>
                <w:sz w:val="15"/>
              </w:rPr>
              <w:t>+0.027128</w:t>
            </w:r>
          </w:p>
        </w:tc>
      </w:tr>
      <w:tr>
        <w:trPr>
          <w:cantSplit/>
        </w:trPr>
        <w:tc>
          <w:tcPr>
            <w:tcW w:type="dxa" w:w="3600"/>
            <w:vAlign w:val="center"/>
            <w:shd w:fill="EAF0F8"/>
          </w:tcPr>
          <w:p>
            <w:pPr>
              <w:spacing w:after="0"/>
            </w:pPr>
            <w:r/>
            <w:r>
              <w:rPr>
                <w:rFonts w:ascii="Arial" w:hAnsi="Arial" w:eastAsia="Arial"/>
                <w:b w:val="0"/>
                <w:sz w:val="15"/>
              </w:rPr>
              <w:t>GPS III SV01</w:t>
            </w:r>
          </w:p>
        </w:tc>
        <w:tc>
          <w:tcPr>
            <w:tcW w:type="dxa" w:w="1728"/>
            <w:vAlign w:val="center"/>
            <w:shd w:fill="EAF0F8"/>
          </w:tcPr>
          <w:p>
            <w:pPr>
              <w:spacing w:after="0"/>
            </w:pPr>
            <w:r/>
            <w:r>
              <w:rPr>
                <w:rFonts w:ascii="Arial" w:hAnsi="Arial" w:eastAsia="Arial"/>
                <w:b w:val="0"/>
                <w:sz w:val="15"/>
              </w:rPr>
              <w:t>0.098951</w:t>
            </w:r>
          </w:p>
        </w:tc>
        <w:tc>
          <w:tcPr>
            <w:tcW w:type="dxa" w:w="1728"/>
            <w:vAlign w:val="center"/>
            <w:shd w:fill="EAF0F8"/>
          </w:tcPr>
          <w:p>
            <w:pPr>
              <w:spacing w:after="0"/>
            </w:pPr>
            <w:r/>
            <w:r>
              <w:rPr>
                <w:rFonts w:ascii="Arial" w:hAnsi="Arial" w:eastAsia="Arial"/>
                <w:b w:val="0"/>
                <w:sz w:val="15"/>
              </w:rPr>
              <w:t>0.106918</w:t>
            </w:r>
          </w:p>
        </w:tc>
        <w:tc>
          <w:tcPr>
            <w:tcW w:type="dxa" w:w="2160"/>
            <w:vAlign w:val="center"/>
            <w:shd w:fill="EAF0F8"/>
          </w:tcPr>
          <w:p>
            <w:pPr>
              <w:spacing w:after="0"/>
            </w:pPr>
            <w:r/>
            <w:r>
              <w:rPr>
                <w:rFonts w:ascii="Arial" w:hAnsi="Arial" w:eastAsia="Arial"/>
                <w:b w:val="0"/>
                <w:sz w:val="15"/>
              </w:rPr>
              <w:t>+0.007967</w:t>
            </w:r>
          </w:p>
        </w:tc>
      </w:tr>
      <w:tr>
        <w:trPr>
          <w:cantSplit/>
        </w:trPr>
        <w:tc>
          <w:tcPr>
            <w:tcW w:type="dxa" w:w="3600"/>
            <w:vAlign w:val="center"/>
          </w:tcPr>
          <w:p>
            <w:pPr>
              <w:spacing w:after="0"/>
            </w:pPr>
            <w:r/>
            <w:r>
              <w:rPr>
                <w:rFonts w:ascii="Arial" w:hAnsi="Arial" w:eastAsia="Arial"/>
                <w:b w:val="0"/>
                <w:sz w:val="15"/>
              </w:rPr>
              <w:t>Jason-3</w:t>
            </w:r>
          </w:p>
        </w:tc>
        <w:tc>
          <w:tcPr>
            <w:tcW w:type="dxa" w:w="1728"/>
            <w:vAlign w:val="center"/>
          </w:tcPr>
          <w:p>
            <w:pPr>
              <w:spacing w:after="0"/>
            </w:pPr>
            <w:r/>
            <w:r>
              <w:rPr>
                <w:rFonts w:ascii="Arial" w:hAnsi="Arial" w:eastAsia="Arial"/>
                <w:b w:val="0"/>
                <w:sz w:val="15"/>
              </w:rPr>
              <w:t>0.514890</w:t>
            </w:r>
          </w:p>
        </w:tc>
        <w:tc>
          <w:tcPr>
            <w:tcW w:type="dxa" w:w="1728"/>
            <w:vAlign w:val="center"/>
          </w:tcPr>
          <w:p>
            <w:pPr>
              <w:spacing w:after="0"/>
            </w:pPr>
            <w:r/>
            <w:r>
              <w:rPr>
                <w:rFonts w:ascii="Arial" w:hAnsi="Arial" w:eastAsia="Arial"/>
                <w:b w:val="0"/>
                <w:sz w:val="15"/>
              </w:rPr>
              <w:t>0.528352</w:t>
            </w:r>
          </w:p>
        </w:tc>
        <w:tc>
          <w:tcPr>
            <w:tcW w:type="dxa" w:w="2160"/>
            <w:vAlign w:val="center"/>
          </w:tcPr>
          <w:p>
            <w:pPr>
              <w:spacing w:after="0"/>
            </w:pPr>
            <w:r/>
            <w:r>
              <w:rPr>
                <w:rFonts w:ascii="Arial" w:hAnsi="Arial" w:eastAsia="Arial"/>
                <w:b w:val="0"/>
                <w:sz w:val="15"/>
              </w:rPr>
              <w:t>+0.013463</w:t>
            </w:r>
          </w:p>
        </w:tc>
      </w:tr>
      <w:tr>
        <w:trPr>
          <w:cantSplit/>
        </w:trPr>
        <w:tc>
          <w:tcPr>
            <w:tcW w:type="dxa" w:w="3600"/>
            <w:vAlign w:val="center"/>
            <w:shd w:fill="EAF0F8"/>
          </w:tcPr>
          <w:p>
            <w:pPr>
              <w:spacing w:after="0"/>
            </w:pPr>
            <w:r/>
            <w:r>
              <w:rPr>
                <w:rFonts w:ascii="Arial" w:hAnsi="Arial" w:eastAsia="Arial"/>
                <w:b w:val="0"/>
                <w:sz w:val="15"/>
              </w:rPr>
              <w:t>SES-11</w:t>
            </w:r>
          </w:p>
        </w:tc>
        <w:tc>
          <w:tcPr>
            <w:tcW w:type="dxa" w:w="1728"/>
            <w:vAlign w:val="center"/>
            <w:shd w:fill="EAF0F8"/>
          </w:tcPr>
          <w:p>
            <w:pPr>
              <w:spacing w:after="0"/>
            </w:pPr>
            <w:r/>
            <w:r>
              <w:rPr>
                <w:rFonts w:ascii="Arial" w:hAnsi="Arial" w:eastAsia="Arial"/>
                <w:b w:val="0"/>
                <w:sz w:val="15"/>
              </w:rPr>
              <w:t>0.122906</w:t>
            </w:r>
          </w:p>
        </w:tc>
        <w:tc>
          <w:tcPr>
            <w:tcW w:type="dxa" w:w="1728"/>
            <w:vAlign w:val="center"/>
            <w:shd w:fill="EAF0F8"/>
          </w:tcPr>
          <w:p>
            <w:pPr>
              <w:spacing w:after="0"/>
            </w:pPr>
            <w:r/>
            <w:r>
              <w:rPr>
                <w:rFonts w:ascii="Arial" w:hAnsi="Arial" w:eastAsia="Arial"/>
                <w:b w:val="0"/>
                <w:sz w:val="15"/>
              </w:rPr>
              <w:t>0.153247</w:t>
            </w:r>
          </w:p>
        </w:tc>
        <w:tc>
          <w:tcPr>
            <w:tcW w:type="dxa" w:w="2160"/>
            <w:vAlign w:val="center"/>
            <w:shd w:fill="EAF0F8"/>
          </w:tcPr>
          <w:p>
            <w:pPr>
              <w:spacing w:after="0"/>
            </w:pPr>
            <w:r/>
            <w:r>
              <w:rPr>
                <w:rFonts w:ascii="Arial" w:hAnsi="Arial" w:eastAsia="Arial"/>
                <w:b w:val="0"/>
                <w:sz w:val="15"/>
              </w:rPr>
              <w:t>+0.030341</w:t>
            </w:r>
          </w:p>
        </w:tc>
      </w:tr>
      <w:tr>
        <w:trPr>
          <w:cantSplit/>
        </w:trPr>
        <w:tc>
          <w:tcPr>
            <w:tcW w:type="dxa" w:w="3600"/>
            <w:vAlign w:val="center"/>
          </w:tcPr>
          <w:p>
            <w:pPr>
              <w:spacing w:after="0"/>
            </w:pPr>
            <w:r/>
            <w:r>
              <w:rPr>
                <w:rFonts w:ascii="Arial" w:hAnsi="Arial" w:eastAsia="Arial"/>
                <w:b w:val="0"/>
                <w:sz w:val="15"/>
              </w:rPr>
              <w:t>SpaceX CRS-14</w:t>
            </w:r>
          </w:p>
        </w:tc>
        <w:tc>
          <w:tcPr>
            <w:tcW w:type="dxa" w:w="1728"/>
            <w:vAlign w:val="center"/>
          </w:tcPr>
          <w:p>
            <w:pPr>
              <w:spacing w:after="0"/>
            </w:pPr>
            <w:r/>
            <w:r>
              <w:rPr>
                <w:rFonts w:ascii="Arial" w:hAnsi="Arial" w:eastAsia="Arial"/>
                <w:b w:val="0"/>
                <w:sz w:val="15"/>
              </w:rPr>
              <w:t>0.182414</w:t>
            </w:r>
          </w:p>
        </w:tc>
        <w:tc>
          <w:tcPr>
            <w:tcW w:type="dxa" w:w="1728"/>
            <w:vAlign w:val="center"/>
          </w:tcPr>
          <w:p>
            <w:pPr>
              <w:spacing w:after="0"/>
            </w:pPr>
            <w:r/>
            <w:r>
              <w:rPr>
                <w:rFonts w:ascii="Arial" w:hAnsi="Arial" w:eastAsia="Arial"/>
                <w:b w:val="0"/>
                <w:sz w:val="15"/>
              </w:rPr>
              <w:t>0.200935</w:t>
            </w:r>
          </w:p>
        </w:tc>
        <w:tc>
          <w:tcPr>
            <w:tcW w:type="dxa" w:w="2160"/>
            <w:vAlign w:val="center"/>
          </w:tcPr>
          <w:p>
            <w:pPr>
              <w:spacing w:after="0"/>
            </w:pPr>
            <w:r/>
            <w:r>
              <w:rPr>
                <w:rFonts w:ascii="Arial" w:hAnsi="Arial" w:eastAsia="Arial"/>
                <w:b w:val="0"/>
                <w:sz w:val="15"/>
              </w:rPr>
              <w:t>+0.018521</w:t>
            </w:r>
          </w:p>
        </w:tc>
      </w:tr>
      <w:tr>
        <w:trPr>
          <w:cantSplit/>
        </w:trPr>
        <w:tc>
          <w:tcPr>
            <w:tcW w:type="dxa" w:w="3600"/>
            <w:vAlign w:val="center"/>
            <w:shd w:fill="EAF0F8"/>
          </w:tcPr>
          <w:p>
            <w:pPr>
              <w:spacing w:after="0"/>
            </w:pPr>
            <w:r/>
            <w:r>
              <w:rPr>
                <w:rFonts w:ascii="Arial" w:hAnsi="Arial" w:eastAsia="Arial"/>
                <w:b w:val="0"/>
                <w:sz w:val="15"/>
              </w:rPr>
              <w:t>SpaceX CRS-8</w:t>
            </w:r>
          </w:p>
        </w:tc>
        <w:tc>
          <w:tcPr>
            <w:tcW w:type="dxa" w:w="1728"/>
            <w:vAlign w:val="center"/>
            <w:shd w:fill="EAF0F8"/>
          </w:tcPr>
          <w:p>
            <w:pPr>
              <w:spacing w:after="0"/>
            </w:pPr>
            <w:r/>
            <w:r>
              <w:rPr>
                <w:rFonts w:ascii="Arial" w:hAnsi="Arial" w:eastAsia="Arial"/>
                <w:b w:val="0"/>
                <w:sz w:val="15"/>
              </w:rPr>
              <w:t>0.176660</w:t>
            </w:r>
          </w:p>
        </w:tc>
        <w:tc>
          <w:tcPr>
            <w:tcW w:type="dxa" w:w="1728"/>
            <w:vAlign w:val="center"/>
            <w:shd w:fill="EAF0F8"/>
          </w:tcPr>
          <w:p>
            <w:pPr>
              <w:spacing w:after="0"/>
            </w:pPr>
            <w:r/>
            <w:r>
              <w:rPr>
                <w:rFonts w:ascii="Arial" w:hAnsi="Arial" w:eastAsia="Arial"/>
                <w:b w:val="0"/>
                <w:sz w:val="15"/>
              </w:rPr>
              <w:t>0.179747</w:t>
            </w:r>
          </w:p>
        </w:tc>
        <w:tc>
          <w:tcPr>
            <w:tcW w:type="dxa" w:w="2160"/>
            <w:vAlign w:val="center"/>
            <w:shd w:fill="EAF0F8"/>
          </w:tcPr>
          <w:p>
            <w:pPr>
              <w:spacing w:after="0"/>
            </w:pPr>
            <w:r/>
            <w:r>
              <w:rPr>
                <w:rFonts w:ascii="Arial" w:hAnsi="Arial" w:eastAsia="Arial"/>
                <w:b w:val="0"/>
                <w:sz w:val="15"/>
              </w:rPr>
              <w:t>+0.003088</w:t>
            </w:r>
          </w:p>
        </w:tc>
      </w:tr>
    </w:tbl>
    <w:p>
      <w:pPr>
        <w:pStyle w:val="Supplementnote"/>
      </w:pPr>
      <w:r>
        <w:t>Mean paired difference = +0.016751; flight-bootstrap 95% interval [0.009015, 0.024728]; KC-NN wins 0/6 flights.</w:t>
      </w:r>
    </w:p>
    <w:p>
      <w:pPr>
        <w:pStyle w:val="Supplementcaption"/>
        <w:keepNext/>
      </w:pPr>
      <w:r>
        <w:t>Table S7. RQ1 observation-rate sensitivity.</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1452"/>
        <w:gridCol w:w="1452"/>
        <w:gridCol w:w="1452"/>
        <w:gridCol w:w="1452"/>
        <w:gridCol w:w="1452"/>
        <w:gridCol w:w="1452"/>
        <w:gridCol w:w="1452"/>
      </w:tblGrid>
      <w:tr>
        <w:trPr>
          <w:tblHeader w:val="true"/>
          <w:cantSplit/>
          <w:tblHeader/>
        </w:trPr>
        <w:tc>
          <w:tcPr>
            <w:tcW w:type="dxa" w:w="1872"/>
            <w:vAlign w:val="center"/>
            <w:shd w:fill="17365D"/>
          </w:tcPr>
          <w:p>
            <w:pPr>
              <w:spacing w:after="0"/>
            </w:pPr>
            <w:r/>
            <w:r>
              <w:rPr>
                <w:rFonts w:ascii="Arial" w:hAnsi="Arial" w:eastAsia="Arial"/>
                <w:b/>
                <w:color w:val="FFFFFF"/>
                <w:sz w:val="15"/>
              </w:rPr>
              <w:t>Partition</w:t>
            </w:r>
          </w:p>
        </w:tc>
        <w:tc>
          <w:tcPr>
            <w:tcW w:type="dxa" w:w="864"/>
            <w:vAlign w:val="center"/>
            <w:shd w:fill="17365D"/>
          </w:tcPr>
          <w:p>
            <w:pPr>
              <w:spacing w:after="0"/>
            </w:pPr>
            <w:r/>
            <w:r>
              <w:rPr>
                <w:rFonts w:ascii="Arial" w:hAnsi="Arial" w:eastAsia="Arial"/>
                <w:b/>
                <w:color w:val="FFFFFF"/>
                <w:sz w:val="15"/>
              </w:rPr>
              <w:t>Obs.</w:t>
            </w:r>
          </w:p>
        </w:tc>
        <w:tc>
          <w:tcPr>
            <w:tcW w:type="dxa" w:w="1440"/>
            <w:vAlign w:val="center"/>
            <w:shd w:fill="17365D"/>
          </w:tcPr>
          <w:p>
            <w:pPr>
              <w:spacing w:after="0"/>
            </w:pPr>
            <w:r/>
            <w:r>
              <w:rPr>
                <w:rFonts w:ascii="Arial" w:hAnsi="Arial" w:eastAsia="Arial"/>
                <w:b/>
                <w:color w:val="FFFFFF"/>
                <w:sz w:val="15"/>
              </w:rPr>
              <w:t>Alt. NN</w:t>
            </w:r>
          </w:p>
        </w:tc>
        <w:tc>
          <w:tcPr>
            <w:tcW w:type="dxa" w:w="1440"/>
            <w:vAlign w:val="center"/>
            <w:shd w:fill="17365D"/>
          </w:tcPr>
          <w:p>
            <w:pPr>
              <w:spacing w:after="0"/>
            </w:pPr>
            <w:r/>
            <w:r>
              <w:rPr>
                <w:rFonts w:ascii="Arial" w:hAnsi="Arial" w:eastAsia="Arial"/>
                <w:b/>
                <w:color w:val="FFFFFF"/>
                <w:sz w:val="15"/>
              </w:rPr>
              <w:t>Alt. KC</w:t>
            </w:r>
          </w:p>
        </w:tc>
        <w:tc>
          <w:tcPr>
            <w:tcW w:type="dxa" w:w="1440"/>
            <w:vAlign w:val="center"/>
            <w:shd w:fill="17365D"/>
          </w:tcPr>
          <w:p>
            <w:pPr>
              <w:spacing w:after="0"/>
            </w:pPr>
            <w:r/>
            <w:r>
              <w:rPr>
                <w:rFonts w:ascii="Arial" w:hAnsi="Arial" w:eastAsia="Arial"/>
                <w:b/>
                <w:color w:val="FFFFFF"/>
                <w:sz w:val="15"/>
              </w:rPr>
              <w:t>Speed NN</w:t>
            </w:r>
          </w:p>
        </w:tc>
        <w:tc>
          <w:tcPr>
            <w:tcW w:type="dxa" w:w="1440"/>
            <w:vAlign w:val="center"/>
            <w:shd w:fill="17365D"/>
          </w:tcPr>
          <w:p>
            <w:pPr>
              <w:spacing w:after="0"/>
            </w:pPr>
            <w:r/>
            <w:r>
              <w:rPr>
                <w:rFonts w:ascii="Arial" w:hAnsi="Arial" w:eastAsia="Arial"/>
                <w:b/>
                <w:color w:val="FFFFFF"/>
                <w:sz w:val="15"/>
              </w:rPr>
              <w:t>Speed KC</w:t>
            </w:r>
          </w:p>
        </w:tc>
        <w:tc>
          <w:tcPr>
            <w:tcW w:type="dxa" w:w="1584"/>
            <w:vAlign w:val="center"/>
            <w:shd w:fill="17365D"/>
          </w:tcPr>
          <w:p>
            <w:pPr>
              <w:spacing w:after="0"/>
            </w:pPr>
            <w:r/>
            <w:r>
              <w:rPr>
                <w:rFonts w:ascii="Arial" w:hAnsi="Arial" w:eastAsia="Arial"/>
                <w:b/>
                <w:color w:val="FFFFFF"/>
                <w:sz w:val="15"/>
              </w:rPr>
              <w:t>Composite Δ</w:t>
            </w:r>
          </w:p>
        </w:tc>
      </w:tr>
      <w:tr>
        <w:trPr>
          <w:cantSplit/>
        </w:trPr>
        <w:tc>
          <w:tcPr>
            <w:tcW w:type="dxa" w:w="1872"/>
            <w:vAlign w:val="center"/>
          </w:tcPr>
          <w:p>
            <w:pPr>
              <w:spacing w:after="0"/>
            </w:pPr>
            <w:r/>
            <w:r>
              <w:rPr>
                <w:rFonts w:ascii="Arial" w:hAnsi="Arial" w:eastAsia="Arial"/>
                <w:b w:val="0"/>
                <w:sz w:val="15"/>
              </w:rPr>
              <w:t>Test</w:t>
            </w:r>
          </w:p>
        </w:tc>
        <w:tc>
          <w:tcPr>
            <w:tcW w:type="dxa" w:w="864"/>
            <w:vAlign w:val="center"/>
          </w:tcPr>
          <w:p>
            <w:pPr>
              <w:spacing w:after="0"/>
            </w:pPr>
            <w:r/>
            <w:r>
              <w:rPr>
                <w:rFonts w:ascii="Arial" w:hAnsi="Arial" w:eastAsia="Arial"/>
                <w:b w:val="0"/>
                <w:sz w:val="15"/>
              </w:rPr>
              <w:t>100%</w:t>
            </w:r>
          </w:p>
        </w:tc>
        <w:tc>
          <w:tcPr>
            <w:tcW w:type="dxa" w:w="1440"/>
            <w:vAlign w:val="center"/>
          </w:tcPr>
          <w:p>
            <w:pPr>
              <w:spacing w:after="0"/>
            </w:pPr>
            <w:r/>
            <w:r>
              <w:rPr>
                <w:rFonts w:ascii="Arial" w:hAnsi="Arial" w:eastAsia="Arial"/>
                <w:b w:val="0"/>
                <w:sz w:val="15"/>
              </w:rPr>
              <w:t>1506.34</w:t>
            </w:r>
          </w:p>
        </w:tc>
        <w:tc>
          <w:tcPr>
            <w:tcW w:type="dxa" w:w="1440"/>
            <w:vAlign w:val="center"/>
          </w:tcPr>
          <w:p>
            <w:pPr>
              <w:spacing w:after="0"/>
            </w:pPr>
            <w:r/>
            <w:r>
              <w:rPr>
                <w:rFonts w:ascii="Arial" w:hAnsi="Arial" w:eastAsia="Arial"/>
                <w:b w:val="0"/>
                <w:sz w:val="15"/>
              </w:rPr>
              <w:t>1360.63</w:t>
            </w:r>
          </w:p>
        </w:tc>
        <w:tc>
          <w:tcPr>
            <w:tcW w:type="dxa" w:w="1440"/>
            <w:vAlign w:val="center"/>
          </w:tcPr>
          <w:p>
            <w:pPr>
              <w:spacing w:after="0"/>
            </w:pPr>
            <w:r/>
            <w:r>
              <w:rPr>
                <w:rFonts w:ascii="Arial" w:hAnsi="Arial" w:eastAsia="Arial"/>
                <w:b w:val="0"/>
                <w:sz w:val="15"/>
              </w:rPr>
              <w:t>35.65</w:t>
            </w:r>
          </w:p>
        </w:tc>
        <w:tc>
          <w:tcPr>
            <w:tcW w:type="dxa" w:w="1440"/>
            <w:vAlign w:val="center"/>
          </w:tcPr>
          <w:p>
            <w:pPr>
              <w:spacing w:after="0"/>
            </w:pPr>
            <w:r/>
            <w:r>
              <w:rPr>
                <w:rFonts w:ascii="Arial" w:hAnsi="Arial" w:eastAsia="Arial"/>
                <w:b w:val="0"/>
                <w:sz w:val="15"/>
              </w:rPr>
              <w:t>39.34</w:t>
            </w:r>
          </w:p>
        </w:tc>
        <w:tc>
          <w:tcPr>
            <w:tcW w:type="dxa" w:w="1584"/>
            <w:vAlign w:val="center"/>
          </w:tcPr>
          <w:p>
            <w:pPr>
              <w:spacing w:after="0"/>
            </w:pPr>
            <w:r/>
            <w:r>
              <w:rPr>
                <w:rFonts w:ascii="Arial" w:hAnsi="Arial" w:eastAsia="Arial"/>
                <w:b w:val="0"/>
                <w:sz w:val="15"/>
              </w:rPr>
              <w:t>-0.000832</w:t>
            </w:r>
          </w:p>
        </w:tc>
      </w:tr>
      <w:tr>
        <w:trPr>
          <w:cantSplit/>
        </w:trPr>
        <w:tc>
          <w:tcPr>
            <w:tcW w:type="dxa" w:w="1872"/>
            <w:vAlign w:val="center"/>
            <w:shd w:fill="EAF0F8"/>
          </w:tcPr>
          <w:p>
            <w:pPr>
              <w:spacing w:after="0"/>
            </w:pPr>
            <w:r/>
            <w:r>
              <w:rPr>
                <w:rFonts w:ascii="Arial" w:hAnsi="Arial" w:eastAsia="Arial"/>
                <w:b w:val="0"/>
                <w:sz w:val="15"/>
              </w:rPr>
              <w:t>Test</w:t>
            </w:r>
          </w:p>
        </w:tc>
        <w:tc>
          <w:tcPr>
            <w:tcW w:type="dxa" w:w="864"/>
            <w:vAlign w:val="center"/>
            <w:shd w:fill="EAF0F8"/>
          </w:tcPr>
          <w:p>
            <w:pPr>
              <w:spacing w:after="0"/>
            </w:pPr>
            <w:r/>
            <w:r>
              <w:rPr>
                <w:rFonts w:ascii="Arial" w:hAnsi="Arial" w:eastAsia="Arial"/>
                <w:b w:val="0"/>
                <w:sz w:val="15"/>
              </w:rPr>
              <w:t>50%</w:t>
            </w:r>
          </w:p>
        </w:tc>
        <w:tc>
          <w:tcPr>
            <w:tcW w:type="dxa" w:w="1440"/>
            <w:vAlign w:val="center"/>
            <w:shd w:fill="EAF0F8"/>
          </w:tcPr>
          <w:p>
            <w:pPr>
              <w:spacing w:after="0"/>
            </w:pPr>
            <w:r/>
            <w:r>
              <w:rPr>
                <w:rFonts w:ascii="Arial" w:hAnsi="Arial" w:eastAsia="Arial"/>
                <w:b w:val="0"/>
                <w:sz w:val="15"/>
              </w:rPr>
              <w:t>1465.44</w:t>
            </w:r>
          </w:p>
        </w:tc>
        <w:tc>
          <w:tcPr>
            <w:tcW w:type="dxa" w:w="1440"/>
            <w:vAlign w:val="center"/>
            <w:shd w:fill="EAF0F8"/>
          </w:tcPr>
          <w:p>
            <w:pPr>
              <w:spacing w:after="0"/>
            </w:pPr>
            <w:r/>
            <w:r>
              <w:rPr>
                <w:rFonts w:ascii="Arial" w:hAnsi="Arial" w:eastAsia="Arial"/>
                <w:b w:val="0"/>
                <w:sz w:val="15"/>
              </w:rPr>
              <w:t>1344.74</w:t>
            </w:r>
          </w:p>
        </w:tc>
        <w:tc>
          <w:tcPr>
            <w:tcW w:type="dxa" w:w="1440"/>
            <w:vAlign w:val="center"/>
            <w:shd w:fill="EAF0F8"/>
          </w:tcPr>
          <w:p>
            <w:pPr>
              <w:spacing w:after="0"/>
            </w:pPr>
            <w:r/>
            <w:r>
              <w:rPr>
                <w:rFonts w:ascii="Arial" w:hAnsi="Arial" w:eastAsia="Arial"/>
                <w:b w:val="0"/>
                <w:sz w:val="15"/>
              </w:rPr>
              <w:t>33.42</w:t>
            </w:r>
          </w:p>
        </w:tc>
        <w:tc>
          <w:tcPr>
            <w:tcW w:type="dxa" w:w="1440"/>
            <w:vAlign w:val="center"/>
            <w:shd w:fill="EAF0F8"/>
          </w:tcPr>
          <w:p>
            <w:pPr>
              <w:spacing w:after="0"/>
            </w:pPr>
            <w:r/>
            <w:r>
              <w:rPr>
                <w:rFonts w:ascii="Arial" w:hAnsi="Arial" w:eastAsia="Arial"/>
                <w:b w:val="0"/>
                <w:sz w:val="15"/>
              </w:rPr>
              <w:t>38.85</w:t>
            </w:r>
          </w:p>
        </w:tc>
        <w:tc>
          <w:tcPr>
            <w:tcW w:type="dxa" w:w="1584"/>
            <w:vAlign w:val="center"/>
            <w:shd w:fill="EAF0F8"/>
          </w:tcPr>
          <w:p>
            <w:pPr>
              <w:spacing w:after="0"/>
            </w:pPr>
            <w:r/>
            <w:r>
              <w:rPr>
                <w:rFonts w:ascii="Arial" w:hAnsi="Arial" w:eastAsia="Arial"/>
                <w:b w:val="0"/>
                <w:sz w:val="15"/>
              </w:rPr>
              <w:t>+0.003014</w:t>
            </w:r>
          </w:p>
        </w:tc>
      </w:tr>
      <w:tr>
        <w:trPr>
          <w:cantSplit/>
        </w:trPr>
        <w:tc>
          <w:tcPr>
            <w:tcW w:type="dxa" w:w="1872"/>
            <w:vAlign w:val="center"/>
          </w:tcPr>
          <w:p>
            <w:pPr>
              <w:spacing w:after="0"/>
            </w:pPr>
            <w:r/>
            <w:r>
              <w:rPr>
                <w:rFonts w:ascii="Arial" w:hAnsi="Arial" w:eastAsia="Arial"/>
                <w:b w:val="0"/>
                <w:sz w:val="15"/>
              </w:rPr>
              <w:t>Test</w:t>
            </w:r>
          </w:p>
        </w:tc>
        <w:tc>
          <w:tcPr>
            <w:tcW w:type="dxa" w:w="864"/>
            <w:vAlign w:val="center"/>
          </w:tcPr>
          <w:p>
            <w:pPr>
              <w:spacing w:after="0"/>
            </w:pPr>
            <w:r/>
            <w:r>
              <w:rPr>
                <w:rFonts w:ascii="Arial" w:hAnsi="Arial" w:eastAsia="Arial"/>
                <w:b w:val="0"/>
                <w:sz w:val="15"/>
              </w:rPr>
              <w:t>25%</w:t>
            </w:r>
          </w:p>
        </w:tc>
        <w:tc>
          <w:tcPr>
            <w:tcW w:type="dxa" w:w="1440"/>
            <w:vAlign w:val="center"/>
          </w:tcPr>
          <w:p>
            <w:pPr>
              <w:spacing w:after="0"/>
            </w:pPr>
            <w:r/>
            <w:r>
              <w:rPr>
                <w:rFonts w:ascii="Arial" w:hAnsi="Arial" w:eastAsia="Arial"/>
                <w:b w:val="0"/>
                <w:sz w:val="15"/>
              </w:rPr>
              <w:t>1537.97</w:t>
            </w:r>
          </w:p>
        </w:tc>
        <w:tc>
          <w:tcPr>
            <w:tcW w:type="dxa" w:w="1440"/>
            <w:vAlign w:val="center"/>
          </w:tcPr>
          <w:p>
            <w:pPr>
              <w:spacing w:after="0"/>
            </w:pPr>
            <w:r/>
            <w:r>
              <w:rPr>
                <w:rFonts w:ascii="Arial" w:hAnsi="Arial" w:eastAsia="Arial"/>
                <w:b w:val="0"/>
                <w:sz w:val="15"/>
              </w:rPr>
              <w:t>1440.71</w:t>
            </w:r>
          </w:p>
        </w:tc>
        <w:tc>
          <w:tcPr>
            <w:tcW w:type="dxa" w:w="1440"/>
            <w:vAlign w:val="center"/>
          </w:tcPr>
          <w:p>
            <w:pPr>
              <w:spacing w:after="0"/>
            </w:pPr>
            <w:r/>
            <w:r>
              <w:rPr>
                <w:rFonts w:ascii="Arial" w:hAnsi="Arial" w:eastAsia="Arial"/>
                <w:b w:val="0"/>
                <w:sz w:val="15"/>
              </w:rPr>
              <w:t>37.05</w:t>
            </w:r>
          </w:p>
        </w:tc>
        <w:tc>
          <w:tcPr>
            <w:tcW w:type="dxa" w:w="1440"/>
            <w:vAlign w:val="center"/>
          </w:tcPr>
          <w:p>
            <w:pPr>
              <w:spacing w:after="0"/>
            </w:pPr>
            <w:r/>
            <w:r>
              <w:rPr>
                <w:rFonts w:ascii="Arial" w:hAnsi="Arial" w:eastAsia="Arial"/>
                <w:b w:val="0"/>
                <w:sz w:val="15"/>
              </w:rPr>
              <w:t>41.43</w:t>
            </w:r>
          </w:p>
        </w:tc>
        <w:tc>
          <w:tcPr>
            <w:tcW w:type="dxa" w:w="1584"/>
            <w:vAlign w:val="center"/>
          </w:tcPr>
          <w:p>
            <w:pPr>
              <w:spacing w:after="0"/>
            </w:pPr>
            <w:r/>
            <w:r>
              <w:rPr>
                <w:rFonts w:ascii="Arial" w:hAnsi="Arial" w:eastAsia="Arial"/>
                <w:b w:val="0"/>
                <w:sz w:val="15"/>
              </w:rPr>
              <w:t>+0.002440</w:t>
            </w:r>
          </w:p>
        </w:tc>
      </w:tr>
      <w:tr>
        <w:trPr>
          <w:cantSplit/>
        </w:trPr>
        <w:tc>
          <w:tcPr>
            <w:tcW w:type="dxa" w:w="1872"/>
            <w:vAlign w:val="center"/>
            <w:shd w:fill="EAF0F8"/>
          </w:tcPr>
          <w:p>
            <w:pPr>
              <w:spacing w:after="0"/>
            </w:pPr>
            <w:r/>
            <w:r>
              <w:rPr>
                <w:rFonts w:ascii="Arial" w:hAnsi="Arial" w:eastAsia="Arial"/>
                <w:b w:val="0"/>
                <w:sz w:val="15"/>
              </w:rPr>
              <w:t>Test</w:t>
            </w:r>
          </w:p>
        </w:tc>
        <w:tc>
          <w:tcPr>
            <w:tcW w:type="dxa" w:w="864"/>
            <w:vAlign w:val="center"/>
            <w:shd w:fill="EAF0F8"/>
          </w:tcPr>
          <w:p>
            <w:pPr>
              <w:spacing w:after="0"/>
            </w:pPr>
            <w:r/>
            <w:r>
              <w:rPr>
                <w:rFonts w:ascii="Arial" w:hAnsi="Arial" w:eastAsia="Arial"/>
                <w:b w:val="0"/>
                <w:sz w:val="15"/>
              </w:rPr>
              <w:t>10%</w:t>
            </w:r>
          </w:p>
        </w:tc>
        <w:tc>
          <w:tcPr>
            <w:tcW w:type="dxa" w:w="1440"/>
            <w:vAlign w:val="center"/>
            <w:shd w:fill="EAF0F8"/>
          </w:tcPr>
          <w:p>
            <w:pPr>
              <w:spacing w:after="0"/>
            </w:pPr>
            <w:r/>
            <w:r>
              <w:rPr>
                <w:rFonts w:ascii="Arial" w:hAnsi="Arial" w:eastAsia="Arial"/>
                <w:b w:val="0"/>
                <w:sz w:val="15"/>
              </w:rPr>
              <w:t>1710.03</w:t>
            </w:r>
          </w:p>
        </w:tc>
        <w:tc>
          <w:tcPr>
            <w:tcW w:type="dxa" w:w="1440"/>
            <w:vAlign w:val="center"/>
            <w:shd w:fill="EAF0F8"/>
          </w:tcPr>
          <w:p>
            <w:pPr>
              <w:spacing w:after="0"/>
            </w:pPr>
            <w:r/>
            <w:r>
              <w:rPr>
                <w:rFonts w:ascii="Arial" w:hAnsi="Arial" w:eastAsia="Arial"/>
                <w:b w:val="0"/>
                <w:sz w:val="15"/>
              </w:rPr>
              <w:t>1614.37</w:t>
            </w:r>
          </w:p>
        </w:tc>
        <w:tc>
          <w:tcPr>
            <w:tcW w:type="dxa" w:w="1440"/>
            <w:vAlign w:val="center"/>
            <w:shd w:fill="EAF0F8"/>
          </w:tcPr>
          <w:p>
            <w:pPr>
              <w:spacing w:after="0"/>
            </w:pPr>
            <w:r/>
            <w:r>
              <w:rPr>
                <w:rFonts w:ascii="Arial" w:hAnsi="Arial" w:eastAsia="Arial"/>
                <w:b w:val="0"/>
                <w:sz w:val="15"/>
              </w:rPr>
              <w:t>38.43</w:t>
            </w:r>
          </w:p>
        </w:tc>
        <w:tc>
          <w:tcPr>
            <w:tcW w:type="dxa" w:w="1440"/>
            <w:vAlign w:val="center"/>
            <w:shd w:fill="EAF0F8"/>
          </w:tcPr>
          <w:p>
            <w:pPr>
              <w:spacing w:after="0"/>
            </w:pPr>
            <w:r/>
            <w:r>
              <w:rPr>
                <w:rFonts w:ascii="Arial" w:hAnsi="Arial" w:eastAsia="Arial"/>
                <w:b w:val="0"/>
                <w:sz w:val="15"/>
              </w:rPr>
              <w:t>45.17</w:t>
            </w:r>
          </w:p>
        </w:tc>
        <w:tc>
          <w:tcPr>
            <w:tcW w:type="dxa" w:w="1584"/>
            <w:vAlign w:val="center"/>
            <w:shd w:fill="EAF0F8"/>
          </w:tcPr>
          <w:p>
            <w:pPr>
              <w:spacing w:after="0"/>
            </w:pPr>
            <w:r/>
            <w:r>
              <w:rPr>
                <w:rFonts w:ascii="Arial" w:hAnsi="Arial" w:eastAsia="Arial"/>
                <w:b w:val="0"/>
                <w:sz w:val="15"/>
              </w:rPr>
              <w:t>+0.006180</w:t>
            </w:r>
          </w:p>
        </w:tc>
      </w:tr>
      <w:tr>
        <w:trPr>
          <w:cantSplit/>
        </w:trPr>
        <w:tc>
          <w:tcPr>
            <w:tcW w:type="dxa" w:w="1872"/>
            <w:vAlign w:val="center"/>
          </w:tcPr>
          <w:p>
            <w:pPr>
              <w:spacing w:after="0"/>
            </w:pPr>
            <w:r/>
            <w:r>
              <w:rPr>
                <w:rFonts w:ascii="Arial" w:hAnsi="Arial" w:eastAsia="Arial"/>
                <w:b w:val="0"/>
                <w:sz w:val="15"/>
              </w:rPr>
              <w:t>Test</w:t>
            </w:r>
          </w:p>
        </w:tc>
        <w:tc>
          <w:tcPr>
            <w:tcW w:type="dxa" w:w="864"/>
            <w:vAlign w:val="center"/>
          </w:tcPr>
          <w:p>
            <w:pPr>
              <w:spacing w:after="0"/>
            </w:pPr>
            <w:r/>
            <w:r>
              <w:rPr>
                <w:rFonts w:ascii="Arial" w:hAnsi="Arial" w:eastAsia="Arial"/>
                <w:b w:val="0"/>
                <w:sz w:val="15"/>
              </w:rPr>
              <w:t>5%</w:t>
            </w:r>
          </w:p>
        </w:tc>
        <w:tc>
          <w:tcPr>
            <w:tcW w:type="dxa" w:w="1440"/>
            <w:vAlign w:val="center"/>
          </w:tcPr>
          <w:p>
            <w:pPr>
              <w:spacing w:after="0"/>
            </w:pPr>
            <w:r/>
            <w:r>
              <w:rPr>
                <w:rFonts w:ascii="Arial" w:hAnsi="Arial" w:eastAsia="Arial"/>
                <w:b w:val="0"/>
                <w:sz w:val="15"/>
              </w:rPr>
              <w:t>2304.55</w:t>
            </w:r>
          </w:p>
        </w:tc>
        <w:tc>
          <w:tcPr>
            <w:tcW w:type="dxa" w:w="1440"/>
            <w:vAlign w:val="center"/>
          </w:tcPr>
          <w:p>
            <w:pPr>
              <w:spacing w:after="0"/>
            </w:pPr>
            <w:r/>
            <w:r>
              <w:rPr>
                <w:rFonts w:ascii="Arial" w:hAnsi="Arial" w:eastAsia="Arial"/>
                <w:b w:val="0"/>
                <w:sz w:val="15"/>
              </w:rPr>
              <w:t>1920.30</w:t>
            </w:r>
          </w:p>
        </w:tc>
        <w:tc>
          <w:tcPr>
            <w:tcW w:type="dxa" w:w="1440"/>
            <w:vAlign w:val="center"/>
          </w:tcPr>
          <w:p>
            <w:pPr>
              <w:spacing w:after="0"/>
            </w:pPr>
            <w:r/>
            <w:r>
              <w:rPr>
                <w:rFonts w:ascii="Arial" w:hAnsi="Arial" w:eastAsia="Arial"/>
                <w:b w:val="0"/>
                <w:sz w:val="15"/>
              </w:rPr>
              <w:t>46.77</w:t>
            </w:r>
          </w:p>
        </w:tc>
        <w:tc>
          <w:tcPr>
            <w:tcW w:type="dxa" w:w="1440"/>
            <w:vAlign w:val="center"/>
          </w:tcPr>
          <w:p>
            <w:pPr>
              <w:spacing w:after="0"/>
            </w:pPr>
            <w:r/>
            <w:r>
              <w:rPr>
                <w:rFonts w:ascii="Arial" w:hAnsi="Arial" w:eastAsia="Arial"/>
                <w:b w:val="0"/>
                <w:sz w:val="15"/>
              </w:rPr>
              <w:t>69.87</w:t>
            </w:r>
          </w:p>
        </w:tc>
        <w:tc>
          <w:tcPr>
            <w:tcW w:type="dxa" w:w="1584"/>
            <w:vAlign w:val="center"/>
          </w:tcPr>
          <w:p>
            <w:pPr>
              <w:spacing w:after="0"/>
            </w:pPr>
            <w:r/>
            <w:r>
              <w:rPr>
                <w:rFonts w:ascii="Arial" w:hAnsi="Arial" w:eastAsia="Arial"/>
                <w:b w:val="0"/>
                <w:sz w:val="15"/>
              </w:rPr>
              <w:t>+0.018634</w:t>
            </w:r>
          </w:p>
        </w:tc>
      </w:tr>
      <w:tr>
        <w:trPr>
          <w:cantSplit/>
        </w:trPr>
        <w:tc>
          <w:tcPr>
            <w:tcW w:type="dxa" w:w="1872"/>
            <w:vAlign w:val="center"/>
            <w:shd w:fill="EAF0F8"/>
          </w:tcPr>
          <w:p>
            <w:pPr>
              <w:spacing w:after="0"/>
            </w:pPr>
            <w:r/>
            <w:r>
              <w:rPr>
                <w:rFonts w:ascii="Arial" w:hAnsi="Arial" w:eastAsia="Arial"/>
                <w:b w:val="0"/>
                <w:sz w:val="15"/>
              </w:rPr>
              <w:t>Outer validation</w:t>
            </w:r>
          </w:p>
        </w:tc>
        <w:tc>
          <w:tcPr>
            <w:tcW w:type="dxa" w:w="864"/>
            <w:vAlign w:val="center"/>
            <w:shd w:fill="EAF0F8"/>
          </w:tcPr>
          <w:p>
            <w:pPr>
              <w:spacing w:after="0"/>
            </w:pPr>
            <w:r/>
            <w:r>
              <w:rPr>
                <w:rFonts w:ascii="Arial" w:hAnsi="Arial" w:eastAsia="Arial"/>
                <w:b w:val="0"/>
                <w:sz w:val="15"/>
              </w:rPr>
              <w:t>100%</w:t>
            </w:r>
          </w:p>
        </w:tc>
        <w:tc>
          <w:tcPr>
            <w:tcW w:type="dxa" w:w="1440"/>
            <w:vAlign w:val="center"/>
            <w:shd w:fill="EAF0F8"/>
          </w:tcPr>
          <w:p>
            <w:pPr>
              <w:spacing w:after="0"/>
            </w:pPr>
            <w:r/>
            <w:r>
              <w:rPr>
                <w:rFonts w:ascii="Arial" w:hAnsi="Arial" w:eastAsia="Arial"/>
                <w:b w:val="0"/>
                <w:sz w:val="15"/>
              </w:rPr>
              <w:t>1247.77</w:t>
            </w:r>
          </w:p>
        </w:tc>
        <w:tc>
          <w:tcPr>
            <w:tcW w:type="dxa" w:w="1440"/>
            <w:vAlign w:val="center"/>
            <w:shd w:fill="EAF0F8"/>
          </w:tcPr>
          <w:p>
            <w:pPr>
              <w:spacing w:after="0"/>
            </w:pPr>
            <w:r/>
            <w:r>
              <w:rPr>
                <w:rFonts w:ascii="Arial" w:hAnsi="Arial" w:eastAsia="Arial"/>
                <w:b w:val="0"/>
                <w:sz w:val="15"/>
              </w:rPr>
              <w:t>1137.64</w:t>
            </w:r>
          </w:p>
        </w:tc>
        <w:tc>
          <w:tcPr>
            <w:tcW w:type="dxa" w:w="1440"/>
            <w:vAlign w:val="center"/>
            <w:shd w:fill="EAF0F8"/>
          </w:tcPr>
          <w:p>
            <w:pPr>
              <w:spacing w:after="0"/>
            </w:pPr>
            <w:r/>
            <w:r>
              <w:rPr>
                <w:rFonts w:ascii="Arial" w:hAnsi="Arial" w:eastAsia="Arial"/>
                <w:b w:val="0"/>
                <w:sz w:val="15"/>
              </w:rPr>
              <w:t>59.65</w:t>
            </w:r>
          </w:p>
        </w:tc>
        <w:tc>
          <w:tcPr>
            <w:tcW w:type="dxa" w:w="1440"/>
            <w:vAlign w:val="center"/>
            <w:shd w:fill="EAF0F8"/>
          </w:tcPr>
          <w:p>
            <w:pPr>
              <w:spacing w:after="0"/>
            </w:pPr>
            <w:r/>
            <w:r>
              <w:rPr>
                <w:rFonts w:ascii="Arial" w:hAnsi="Arial" w:eastAsia="Arial"/>
                <w:b w:val="0"/>
                <w:sz w:val="15"/>
              </w:rPr>
              <w:t>62.83</w:t>
            </w:r>
          </w:p>
        </w:tc>
        <w:tc>
          <w:tcPr>
            <w:tcW w:type="dxa" w:w="1584"/>
            <w:vAlign w:val="center"/>
            <w:shd w:fill="EAF0F8"/>
          </w:tcPr>
          <w:p>
            <w:pPr>
              <w:spacing w:after="0"/>
            </w:pPr>
            <w:r/>
            <w:r>
              <w:rPr>
                <w:rFonts w:ascii="Arial" w:hAnsi="Arial" w:eastAsia="Arial"/>
                <w:b w:val="0"/>
                <w:sz w:val="15"/>
              </w:rPr>
              <w:t>-0.000013</w:t>
            </w:r>
          </w:p>
        </w:tc>
      </w:tr>
      <w:tr>
        <w:trPr>
          <w:cantSplit/>
        </w:trPr>
        <w:tc>
          <w:tcPr>
            <w:tcW w:type="dxa" w:w="1872"/>
            <w:vAlign w:val="center"/>
          </w:tcPr>
          <w:p>
            <w:pPr>
              <w:spacing w:after="0"/>
            </w:pPr>
            <w:r/>
            <w:r>
              <w:rPr>
                <w:rFonts w:ascii="Arial" w:hAnsi="Arial" w:eastAsia="Arial"/>
                <w:b w:val="0"/>
                <w:sz w:val="15"/>
              </w:rPr>
              <w:t>Outer validation</w:t>
            </w:r>
          </w:p>
        </w:tc>
        <w:tc>
          <w:tcPr>
            <w:tcW w:type="dxa" w:w="864"/>
            <w:vAlign w:val="center"/>
          </w:tcPr>
          <w:p>
            <w:pPr>
              <w:spacing w:after="0"/>
            </w:pPr>
            <w:r/>
            <w:r>
              <w:rPr>
                <w:rFonts w:ascii="Arial" w:hAnsi="Arial" w:eastAsia="Arial"/>
                <w:b w:val="0"/>
                <w:sz w:val="15"/>
              </w:rPr>
              <w:t>50%</w:t>
            </w:r>
          </w:p>
        </w:tc>
        <w:tc>
          <w:tcPr>
            <w:tcW w:type="dxa" w:w="1440"/>
            <w:vAlign w:val="center"/>
          </w:tcPr>
          <w:p>
            <w:pPr>
              <w:spacing w:after="0"/>
            </w:pPr>
            <w:r/>
            <w:r>
              <w:rPr>
                <w:rFonts w:ascii="Arial" w:hAnsi="Arial" w:eastAsia="Arial"/>
                <w:b w:val="0"/>
                <w:sz w:val="15"/>
              </w:rPr>
              <w:t>1271.91</w:t>
            </w:r>
          </w:p>
        </w:tc>
        <w:tc>
          <w:tcPr>
            <w:tcW w:type="dxa" w:w="1440"/>
            <w:vAlign w:val="center"/>
          </w:tcPr>
          <w:p>
            <w:pPr>
              <w:spacing w:after="0"/>
            </w:pPr>
            <w:r/>
            <w:r>
              <w:rPr>
                <w:rFonts w:ascii="Arial" w:hAnsi="Arial" w:eastAsia="Arial"/>
                <w:b w:val="0"/>
                <w:sz w:val="15"/>
              </w:rPr>
              <w:t>1156.97</w:t>
            </w:r>
          </w:p>
        </w:tc>
        <w:tc>
          <w:tcPr>
            <w:tcW w:type="dxa" w:w="1440"/>
            <w:vAlign w:val="center"/>
          </w:tcPr>
          <w:p>
            <w:pPr>
              <w:spacing w:after="0"/>
            </w:pPr>
            <w:r/>
            <w:r>
              <w:rPr>
                <w:rFonts w:ascii="Arial" w:hAnsi="Arial" w:eastAsia="Arial"/>
                <w:b w:val="0"/>
                <w:sz w:val="15"/>
              </w:rPr>
              <w:t>59.75</w:t>
            </w:r>
          </w:p>
        </w:tc>
        <w:tc>
          <w:tcPr>
            <w:tcW w:type="dxa" w:w="1440"/>
            <w:vAlign w:val="center"/>
          </w:tcPr>
          <w:p>
            <w:pPr>
              <w:spacing w:after="0"/>
            </w:pPr>
            <w:r/>
            <w:r>
              <w:rPr>
                <w:rFonts w:ascii="Arial" w:hAnsi="Arial" w:eastAsia="Arial"/>
                <w:b w:val="0"/>
                <w:sz w:val="15"/>
              </w:rPr>
              <w:t>63.28</w:t>
            </w:r>
          </w:p>
        </w:tc>
        <w:tc>
          <w:tcPr>
            <w:tcW w:type="dxa" w:w="1584"/>
            <w:vAlign w:val="center"/>
          </w:tcPr>
          <w:p>
            <w:pPr>
              <w:spacing w:after="0"/>
            </w:pPr>
            <w:r/>
            <w:r>
              <w:rPr>
                <w:rFonts w:ascii="Arial" w:hAnsi="Arial" w:eastAsia="Arial"/>
                <w:b w:val="0"/>
                <w:sz w:val="15"/>
              </w:rPr>
              <w:t>+0.000307</w:t>
            </w:r>
          </w:p>
        </w:tc>
      </w:tr>
      <w:tr>
        <w:trPr>
          <w:cantSplit/>
        </w:trPr>
        <w:tc>
          <w:tcPr>
            <w:tcW w:type="dxa" w:w="1872"/>
            <w:vAlign w:val="center"/>
            <w:shd w:fill="EAF0F8"/>
          </w:tcPr>
          <w:p>
            <w:pPr>
              <w:spacing w:after="0"/>
            </w:pPr>
            <w:r/>
            <w:r>
              <w:rPr>
                <w:rFonts w:ascii="Arial" w:hAnsi="Arial" w:eastAsia="Arial"/>
                <w:b w:val="0"/>
                <w:sz w:val="15"/>
              </w:rPr>
              <w:t>Outer validation</w:t>
            </w:r>
          </w:p>
        </w:tc>
        <w:tc>
          <w:tcPr>
            <w:tcW w:type="dxa" w:w="864"/>
            <w:vAlign w:val="center"/>
            <w:shd w:fill="EAF0F8"/>
          </w:tcPr>
          <w:p>
            <w:pPr>
              <w:spacing w:after="0"/>
            </w:pPr>
            <w:r/>
            <w:r>
              <w:rPr>
                <w:rFonts w:ascii="Arial" w:hAnsi="Arial" w:eastAsia="Arial"/>
                <w:b w:val="0"/>
                <w:sz w:val="15"/>
              </w:rPr>
              <w:t>25%</w:t>
            </w:r>
          </w:p>
        </w:tc>
        <w:tc>
          <w:tcPr>
            <w:tcW w:type="dxa" w:w="1440"/>
            <w:vAlign w:val="center"/>
            <w:shd w:fill="EAF0F8"/>
          </w:tcPr>
          <w:p>
            <w:pPr>
              <w:spacing w:after="0"/>
            </w:pPr>
            <w:r/>
            <w:r>
              <w:rPr>
                <w:rFonts w:ascii="Arial" w:hAnsi="Arial" w:eastAsia="Arial"/>
                <w:b w:val="0"/>
                <w:sz w:val="15"/>
              </w:rPr>
              <w:t>1290.57</w:t>
            </w:r>
          </w:p>
        </w:tc>
        <w:tc>
          <w:tcPr>
            <w:tcW w:type="dxa" w:w="1440"/>
            <w:vAlign w:val="center"/>
            <w:shd w:fill="EAF0F8"/>
          </w:tcPr>
          <w:p>
            <w:pPr>
              <w:spacing w:after="0"/>
            </w:pPr>
            <w:r/>
            <w:r>
              <w:rPr>
                <w:rFonts w:ascii="Arial" w:hAnsi="Arial" w:eastAsia="Arial"/>
                <w:b w:val="0"/>
                <w:sz w:val="15"/>
              </w:rPr>
              <w:t>1232.63</w:t>
            </w:r>
          </w:p>
        </w:tc>
        <w:tc>
          <w:tcPr>
            <w:tcW w:type="dxa" w:w="1440"/>
            <w:vAlign w:val="center"/>
            <w:shd w:fill="EAF0F8"/>
          </w:tcPr>
          <w:p>
            <w:pPr>
              <w:spacing w:after="0"/>
            </w:pPr>
            <w:r/>
            <w:r>
              <w:rPr>
                <w:rFonts w:ascii="Arial" w:hAnsi="Arial" w:eastAsia="Arial"/>
                <w:b w:val="0"/>
                <w:sz w:val="15"/>
              </w:rPr>
              <w:t>61.16</w:t>
            </w:r>
          </w:p>
        </w:tc>
        <w:tc>
          <w:tcPr>
            <w:tcW w:type="dxa" w:w="1440"/>
            <w:vAlign w:val="center"/>
            <w:shd w:fill="EAF0F8"/>
          </w:tcPr>
          <w:p>
            <w:pPr>
              <w:spacing w:after="0"/>
            </w:pPr>
            <w:r/>
            <w:r>
              <w:rPr>
                <w:rFonts w:ascii="Arial" w:hAnsi="Arial" w:eastAsia="Arial"/>
                <w:b w:val="0"/>
                <w:sz w:val="15"/>
              </w:rPr>
              <w:t>62.69</w:t>
            </w:r>
          </w:p>
        </w:tc>
        <w:tc>
          <w:tcPr>
            <w:tcW w:type="dxa" w:w="1584"/>
            <w:vAlign w:val="center"/>
            <w:shd w:fill="EAF0F8"/>
          </w:tcPr>
          <w:p>
            <w:pPr>
              <w:spacing w:after="0"/>
            </w:pPr>
            <w:r/>
            <w:r>
              <w:rPr>
                <w:rFonts w:ascii="Arial" w:hAnsi="Arial" w:eastAsia="Arial"/>
                <w:b w:val="0"/>
                <w:sz w:val="15"/>
              </w:rPr>
              <w:t>-0.000238</w:t>
            </w:r>
          </w:p>
        </w:tc>
      </w:tr>
      <w:tr>
        <w:trPr>
          <w:cantSplit/>
        </w:trPr>
        <w:tc>
          <w:tcPr>
            <w:tcW w:type="dxa" w:w="1872"/>
            <w:vAlign w:val="center"/>
          </w:tcPr>
          <w:p>
            <w:pPr>
              <w:spacing w:after="0"/>
            </w:pPr>
            <w:r/>
            <w:r>
              <w:rPr>
                <w:rFonts w:ascii="Arial" w:hAnsi="Arial" w:eastAsia="Arial"/>
                <w:b w:val="0"/>
                <w:sz w:val="15"/>
              </w:rPr>
              <w:t>Outer validation</w:t>
            </w:r>
          </w:p>
        </w:tc>
        <w:tc>
          <w:tcPr>
            <w:tcW w:type="dxa" w:w="864"/>
            <w:vAlign w:val="center"/>
          </w:tcPr>
          <w:p>
            <w:pPr>
              <w:spacing w:after="0"/>
            </w:pPr>
            <w:r/>
            <w:r>
              <w:rPr>
                <w:rFonts w:ascii="Arial" w:hAnsi="Arial" w:eastAsia="Arial"/>
                <w:b w:val="0"/>
                <w:sz w:val="15"/>
              </w:rPr>
              <w:t>10%</w:t>
            </w:r>
          </w:p>
        </w:tc>
        <w:tc>
          <w:tcPr>
            <w:tcW w:type="dxa" w:w="1440"/>
            <w:vAlign w:val="center"/>
          </w:tcPr>
          <w:p>
            <w:pPr>
              <w:spacing w:after="0"/>
            </w:pPr>
            <w:r/>
            <w:r>
              <w:rPr>
                <w:rFonts w:ascii="Arial" w:hAnsi="Arial" w:eastAsia="Arial"/>
                <w:b w:val="0"/>
                <w:sz w:val="15"/>
              </w:rPr>
              <w:t>1485.96</w:t>
            </w:r>
          </w:p>
        </w:tc>
        <w:tc>
          <w:tcPr>
            <w:tcW w:type="dxa" w:w="1440"/>
            <w:vAlign w:val="center"/>
          </w:tcPr>
          <w:p>
            <w:pPr>
              <w:spacing w:after="0"/>
            </w:pPr>
            <w:r/>
            <w:r>
              <w:rPr>
                <w:rFonts w:ascii="Arial" w:hAnsi="Arial" w:eastAsia="Arial"/>
                <w:b w:val="0"/>
                <w:sz w:val="15"/>
              </w:rPr>
              <w:t>1421.62</w:t>
            </w:r>
          </w:p>
        </w:tc>
        <w:tc>
          <w:tcPr>
            <w:tcW w:type="dxa" w:w="1440"/>
            <w:vAlign w:val="center"/>
          </w:tcPr>
          <w:p>
            <w:pPr>
              <w:spacing w:after="0"/>
            </w:pPr>
            <w:r/>
            <w:r>
              <w:rPr>
                <w:rFonts w:ascii="Arial" w:hAnsi="Arial" w:eastAsia="Arial"/>
                <w:b w:val="0"/>
                <w:sz w:val="15"/>
              </w:rPr>
              <w:t>63.90</w:t>
            </w:r>
          </w:p>
        </w:tc>
        <w:tc>
          <w:tcPr>
            <w:tcW w:type="dxa" w:w="1440"/>
            <w:vAlign w:val="center"/>
          </w:tcPr>
          <w:p>
            <w:pPr>
              <w:spacing w:after="0"/>
            </w:pPr>
            <w:r/>
            <w:r>
              <w:rPr>
                <w:rFonts w:ascii="Arial" w:hAnsi="Arial" w:eastAsia="Arial"/>
                <w:b w:val="0"/>
                <w:sz w:val="15"/>
              </w:rPr>
              <w:t>67.48</w:t>
            </w:r>
          </w:p>
        </w:tc>
        <w:tc>
          <w:tcPr>
            <w:tcW w:type="dxa" w:w="1584"/>
            <w:vAlign w:val="center"/>
          </w:tcPr>
          <w:p>
            <w:pPr>
              <w:spacing w:after="0"/>
            </w:pPr>
            <w:r/>
            <w:r>
              <w:rPr>
                <w:rFonts w:ascii="Arial" w:hAnsi="Arial" w:eastAsia="Arial"/>
                <w:b w:val="0"/>
                <w:sz w:val="15"/>
              </w:rPr>
              <w:t>+0.002674</w:t>
            </w:r>
          </w:p>
        </w:tc>
      </w:tr>
      <w:tr>
        <w:trPr>
          <w:cantSplit/>
        </w:trPr>
        <w:tc>
          <w:tcPr>
            <w:tcW w:type="dxa" w:w="1872"/>
            <w:vAlign w:val="center"/>
            <w:shd w:fill="EAF0F8"/>
          </w:tcPr>
          <w:p>
            <w:pPr>
              <w:spacing w:after="0"/>
            </w:pPr>
            <w:r/>
            <w:r>
              <w:rPr>
                <w:rFonts w:ascii="Arial" w:hAnsi="Arial" w:eastAsia="Arial"/>
                <w:b w:val="0"/>
                <w:sz w:val="15"/>
              </w:rPr>
              <w:t>Outer validation</w:t>
            </w:r>
          </w:p>
        </w:tc>
        <w:tc>
          <w:tcPr>
            <w:tcW w:type="dxa" w:w="864"/>
            <w:vAlign w:val="center"/>
            <w:shd w:fill="EAF0F8"/>
          </w:tcPr>
          <w:p>
            <w:pPr>
              <w:spacing w:after="0"/>
            </w:pPr>
            <w:r/>
            <w:r>
              <w:rPr>
                <w:rFonts w:ascii="Arial" w:hAnsi="Arial" w:eastAsia="Arial"/>
                <w:b w:val="0"/>
                <w:sz w:val="15"/>
              </w:rPr>
              <w:t>5%</w:t>
            </w:r>
          </w:p>
        </w:tc>
        <w:tc>
          <w:tcPr>
            <w:tcW w:type="dxa" w:w="1440"/>
            <w:vAlign w:val="center"/>
            <w:shd w:fill="EAF0F8"/>
          </w:tcPr>
          <w:p>
            <w:pPr>
              <w:spacing w:after="0"/>
            </w:pPr>
            <w:r/>
            <w:r>
              <w:rPr>
                <w:rFonts w:ascii="Arial" w:hAnsi="Arial" w:eastAsia="Arial"/>
                <w:b w:val="0"/>
                <w:sz w:val="15"/>
              </w:rPr>
              <w:t>2148.51</w:t>
            </w:r>
          </w:p>
        </w:tc>
        <w:tc>
          <w:tcPr>
            <w:tcW w:type="dxa" w:w="1440"/>
            <w:vAlign w:val="center"/>
            <w:shd w:fill="EAF0F8"/>
          </w:tcPr>
          <w:p>
            <w:pPr>
              <w:spacing w:after="0"/>
            </w:pPr>
            <w:r/>
            <w:r>
              <w:rPr>
                <w:rFonts w:ascii="Arial" w:hAnsi="Arial" w:eastAsia="Arial"/>
                <w:b w:val="0"/>
                <w:sz w:val="15"/>
              </w:rPr>
              <w:t>1773.23</w:t>
            </w:r>
          </w:p>
        </w:tc>
        <w:tc>
          <w:tcPr>
            <w:tcW w:type="dxa" w:w="1440"/>
            <w:vAlign w:val="center"/>
            <w:shd w:fill="EAF0F8"/>
          </w:tcPr>
          <w:p>
            <w:pPr>
              <w:spacing w:after="0"/>
            </w:pPr>
            <w:r/>
            <w:r>
              <w:rPr>
                <w:rFonts w:ascii="Arial" w:hAnsi="Arial" w:eastAsia="Arial"/>
                <w:b w:val="0"/>
                <w:sz w:val="15"/>
              </w:rPr>
              <w:t>67.05</w:t>
            </w:r>
          </w:p>
        </w:tc>
        <w:tc>
          <w:tcPr>
            <w:tcW w:type="dxa" w:w="1440"/>
            <w:vAlign w:val="center"/>
            <w:shd w:fill="EAF0F8"/>
          </w:tcPr>
          <w:p>
            <w:pPr>
              <w:spacing w:after="0"/>
            </w:pPr>
            <w:r/>
            <w:r>
              <w:rPr>
                <w:rFonts w:ascii="Arial" w:hAnsi="Arial" w:eastAsia="Arial"/>
                <w:b w:val="0"/>
                <w:sz w:val="15"/>
              </w:rPr>
              <w:t>88.68</w:t>
            </w:r>
          </w:p>
        </w:tc>
        <w:tc>
          <w:tcPr>
            <w:tcW w:type="dxa" w:w="1584"/>
            <w:vAlign w:val="center"/>
            <w:shd w:fill="EAF0F8"/>
          </w:tcPr>
          <w:p>
            <w:pPr>
              <w:spacing w:after="0"/>
            </w:pPr>
            <w:r/>
            <w:r>
              <w:rPr>
                <w:rFonts w:ascii="Arial" w:hAnsi="Arial" w:eastAsia="Arial"/>
                <w:b w:val="0"/>
                <w:sz w:val="15"/>
              </w:rPr>
              <w:t>+0.016751</w:t>
            </w:r>
          </w:p>
        </w:tc>
      </w:tr>
    </w:tbl>
    <w:p>
      <w:pPr>
        <w:pStyle w:val="Supplementnote"/>
      </w:pPr>
      <w:r>
        <w:t>Altitude is in metres; speed is in m/s; Δ = KC-NN − NN, so negative favors KC-NN.</w:t>
      </w:r>
    </w:p>
    <w:p>
      <w:pPr>
        <w:pStyle w:val="Heading1"/>
      </w:pPr>
      <w:r>
        <w:t>S5. Iridium NEXT-5 targeted diagnostic</w:t>
      </w:r>
    </w:p>
    <w:p>
      <w:r>
        <w:t>Iridium NEXT-5 was the sole held-out flight on which KC-NN improved the 5% composite score. This section tests explanations suggested by that result without promoting a post hoc subgroup finding to a general causal conclusion. At 5%, altitude RMSE decreased from 2260.3 to 933.8 m, speed RMSE decreased from 78.88 to 68.96 m/s, and the kinematic-violation fraction decreased from 38.0% to 5.8%. KC-NN won the composite for all five paired seeds; the altitude term accounted for approximately 79.5% of the composite improvement. The unconstrained prediction showed its largest altitude overshoot after roughly 30 s, especially during 61–90 s.</w:t>
      </w:r>
    </w:p>
    <w:p>
      <w:pPr>
        <w:pStyle w:val="Supplementcaption"/>
        <w:keepNext/>
      </w:pPr>
      <w:r>
        <w:t>Table S8. Iridium NEXT-5 observation-rate sensitivity.</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2541"/>
        <w:gridCol w:w="2541"/>
        <w:gridCol w:w="2541"/>
        <w:gridCol w:w="2541"/>
      </w:tblGrid>
      <w:tr>
        <w:trPr>
          <w:tblHeader w:val="true"/>
          <w:cantSplit/>
          <w:tblHeader/>
        </w:trPr>
        <w:tc>
          <w:tcPr>
            <w:tcW w:type="dxa" w:w="2448"/>
            <w:vAlign w:val="center"/>
            <w:shd w:fill="17365D"/>
          </w:tcPr>
          <w:p>
            <w:pPr>
              <w:spacing w:after="0"/>
            </w:pPr>
            <w:r/>
            <w:r>
              <w:rPr>
                <w:rFonts w:ascii="Arial" w:hAnsi="Arial" w:eastAsia="Arial"/>
                <w:b/>
                <w:color w:val="FFFFFF"/>
                <w:sz w:val="15"/>
              </w:rPr>
              <w:t>Observation rate</w:t>
            </w:r>
          </w:p>
        </w:tc>
        <w:tc>
          <w:tcPr>
            <w:tcW w:type="dxa" w:w="1728"/>
            <w:vAlign w:val="center"/>
            <w:shd w:fill="17365D"/>
          </w:tcPr>
          <w:p>
            <w:pPr>
              <w:spacing w:after="0"/>
            </w:pPr>
            <w:r/>
            <w:r>
              <w:rPr>
                <w:rFonts w:ascii="Arial" w:hAnsi="Arial" w:eastAsia="Arial"/>
                <w:b/>
                <w:color w:val="FFFFFF"/>
                <w:sz w:val="15"/>
              </w:rPr>
              <w:t>NN</w:t>
            </w:r>
          </w:p>
        </w:tc>
        <w:tc>
          <w:tcPr>
            <w:tcW w:type="dxa" w:w="1728"/>
            <w:vAlign w:val="center"/>
            <w:shd w:fill="17365D"/>
          </w:tcPr>
          <w:p>
            <w:pPr>
              <w:spacing w:after="0"/>
            </w:pPr>
            <w:r/>
            <w:r>
              <w:rPr>
                <w:rFonts w:ascii="Arial" w:hAnsi="Arial" w:eastAsia="Arial"/>
                <w:b/>
                <w:color w:val="FFFFFF"/>
                <w:sz w:val="15"/>
              </w:rPr>
              <w:t>KC-NN</w:t>
            </w:r>
          </w:p>
        </w:tc>
        <w:tc>
          <w:tcPr>
            <w:tcW w:type="dxa" w:w="2160"/>
            <w:vAlign w:val="center"/>
            <w:shd w:fill="17365D"/>
          </w:tcPr>
          <w:p>
            <w:pPr>
              <w:spacing w:after="0"/>
            </w:pPr>
            <w:r/>
            <w:r>
              <w:rPr>
                <w:rFonts w:ascii="Arial" w:hAnsi="Arial" w:eastAsia="Arial"/>
                <w:b/>
                <w:color w:val="FFFFFF"/>
                <w:sz w:val="15"/>
              </w:rPr>
              <w:t>KC-NN − NN</w:t>
            </w:r>
          </w:p>
        </w:tc>
      </w:tr>
      <w:tr>
        <w:trPr>
          <w:cantSplit/>
        </w:trPr>
        <w:tc>
          <w:tcPr>
            <w:tcW w:type="dxa" w:w="2448"/>
            <w:vAlign w:val="center"/>
          </w:tcPr>
          <w:p>
            <w:pPr>
              <w:spacing w:after="0"/>
            </w:pPr>
            <w:r/>
            <w:r>
              <w:rPr>
                <w:rFonts w:ascii="Arial" w:hAnsi="Arial" w:eastAsia="Arial"/>
                <w:b w:val="0"/>
                <w:sz w:val="15"/>
              </w:rPr>
              <w:t>100%</w:t>
            </w:r>
          </w:p>
        </w:tc>
        <w:tc>
          <w:tcPr>
            <w:tcW w:type="dxa" w:w="1728"/>
            <w:vAlign w:val="center"/>
          </w:tcPr>
          <w:p>
            <w:pPr>
              <w:spacing w:after="0"/>
            </w:pPr>
            <w:r/>
            <w:r>
              <w:rPr>
                <w:rFonts w:ascii="Arial" w:hAnsi="Arial" w:eastAsia="Arial"/>
                <w:b w:val="0"/>
                <w:sz w:val="15"/>
              </w:rPr>
              <w:t>0.1641</w:t>
            </w:r>
          </w:p>
        </w:tc>
        <w:tc>
          <w:tcPr>
            <w:tcW w:type="dxa" w:w="1728"/>
            <w:vAlign w:val="center"/>
          </w:tcPr>
          <w:p>
            <w:pPr>
              <w:spacing w:after="0"/>
            </w:pPr>
            <w:r/>
            <w:r>
              <w:rPr>
                <w:rFonts w:ascii="Arial" w:hAnsi="Arial" w:eastAsia="Arial"/>
                <w:b w:val="0"/>
                <w:sz w:val="15"/>
              </w:rPr>
              <w:t>0.1046</w:t>
            </w:r>
          </w:p>
        </w:tc>
        <w:tc>
          <w:tcPr>
            <w:tcW w:type="dxa" w:w="2160"/>
            <w:vAlign w:val="center"/>
          </w:tcPr>
          <w:p>
            <w:pPr>
              <w:spacing w:after="0"/>
            </w:pPr>
            <w:r/>
            <w:r>
              <w:rPr>
                <w:rFonts w:ascii="Arial" w:hAnsi="Arial" w:eastAsia="Arial"/>
                <w:b w:val="0"/>
                <w:sz w:val="15"/>
              </w:rPr>
              <w:t>-0.0595</w:t>
            </w:r>
          </w:p>
        </w:tc>
      </w:tr>
      <w:tr>
        <w:trPr>
          <w:cantSplit/>
        </w:trPr>
        <w:tc>
          <w:tcPr>
            <w:tcW w:type="dxa" w:w="2448"/>
            <w:vAlign w:val="center"/>
            <w:shd w:fill="EAF0F8"/>
          </w:tcPr>
          <w:p>
            <w:pPr>
              <w:spacing w:after="0"/>
            </w:pPr>
            <w:r/>
            <w:r>
              <w:rPr>
                <w:rFonts w:ascii="Arial" w:hAnsi="Arial" w:eastAsia="Arial"/>
                <w:b w:val="0"/>
                <w:sz w:val="15"/>
              </w:rPr>
              <w:t>50%</w:t>
            </w:r>
          </w:p>
        </w:tc>
        <w:tc>
          <w:tcPr>
            <w:tcW w:type="dxa" w:w="1728"/>
            <w:vAlign w:val="center"/>
            <w:shd w:fill="EAF0F8"/>
          </w:tcPr>
          <w:p>
            <w:pPr>
              <w:spacing w:after="0"/>
            </w:pPr>
            <w:r/>
            <w:r>
              <w:rPr>
                <w:rFonts w:ascii="Arial" w:hAnsi="Arial" w:eastAsia="Arial"/>
                <w:b w:val="0"/>
                <w:sz w:val="15"/>
              </w:rPr>
              <w:t>0.1378</w:t>
            </w:r>
          </w:p>
        </w:tc>
        <w:tc>
          <w:tcPr>
            <w:tcW w:type="dxa" w:w="1728"/>
            <w:vAlign w:val="center"/>
            <w:shd w:fill="EAF0F8"/>
          </w:tcPr>
          <w:p>
            <w:pPr>
              <w:spacing w:after="0"/>
            </w:pPr>
            <w:r/>
            <w:r>
              <w:rPr>
                <w:rFonts w:ascii="Arial" w:hAnsi="Arial" w:eastAsia="Arial"/>
                <w:b w:val="0"/>
                <w:sz w:val="15"/>
              </w:rPr>
              <w:t>0.0930</w:t>
            </w:r>
          </w:p>
        </w:tc>
        <w:tc>
          <w:tcPr>
            <w:tcW w:type="dxa" w:w="2160"/>
            <w:vAlign w:val="center"/>
            <w:shd w:fill="EAF0F8"/>
          </w:tcPr>
          <w:p>
            <w:pPr>
              <w:spacing w:after="0"/>
            </w:pPr>
            <w:r/>
            <w:r>
              <w:rPr>
                <w:rFonts w:ascii="Arial" w:hAnsi="Arial" w:eastAsia="Arial"/>
                <w:b w:val="0"/>
                <w:sz w:val="15"/>
              </w:rPr>
              <w:t>-0.0448</w:t>
            </w:r>
          </w:p>
        </w:tc>
      </w:tr>
      <w:tr>
        <w:trPr>
          <w:cantSplit/>
        </w:trPr>
        <w:tc>
          <w:tcPr>
            <w:tcW w:type="dxa" w:w="2448"/>
            <w:vAlign w:val="center"/>
          </w:tcPr>
          <w:p>
            <w:pPr>
              <w:spacing w:after="0"/>
            </w:pPr>
            <w:r/>
            <w:r>
              <w:rPr>
                <w:rFonts w:ascii="Arial" w:hAnsi="Arial" w:eastAsia="Arial"/>
                <w:b w:val="0"/>
                <w:sz w:val="15"/>
              </w:rPr>
              <w:t>25%</w:t>
            </w:r>
          </w:p>
        </w:tc>
        <w:tc>
          <w:tcPr>
            <w:tcW w:type="dxa" w:w="1728"/>
            <w:vAlign w:val="center"/>
          </w:tcPr>
          <w:p>
            <w:pPr>
              <w:spacing w:after="0"/>
            </w:pPr>
            <w:r/>
            <w:r>
              <w:rPr>
                <w:rFonts w:ascii="Arial" w:hAnsi="Arial" w:eastAsia="Arial"/>
                <w:b w:val="0"/>
                <w:sz w:val="15"/>
              </w:rPr>
              <w:t>0.1689</w:t>
            </w:r>
          </w:p>
        </w:tc>
        <w:tc>
          <w:tcPr>
            <w:tcW w:type="dxa" w:w="1728"/>
            <w:vAlign w:val="center"/>
          </w:tcPr>
          <w:p>
            <w:pPr>
              <w:spacing w:after="0"/>
            </w:pPr>
            <w:r/>
            <w:r>
              <w:rPr>
                <w:rFonts w:ascii="Arial" w:hAnsi="Arial" w:eastAsia="Arial"/>
                <w:b w:val="0"/>
                <w:sz w:val="15"/>
              </w:rPr>
              <w:t>0.1130</w:t>
            </w:r>
          </w:p>
        </w:tc>
        <w:tc>
          <w:tcPr>
            <w:tcW w:type="dxa" w:w="2160"/>
            <w:vAlign w:val="center"/>
          </w:tcPr>
          <w:p>
            <w:pPr>
              <w:spacing w:after="0"/>
            </w:pPr>
            <w:r/>
            <w:r>
              <w:rPr>
                <w:rFonts w:ascii="Arial" w:hAnsi="Arial" w:eastAsia="Arial"/>
                <w:b w:val="0"/>
                <w:sz w:val="15"/>
              </w:rPr>
              <w:t>-0.0559</w:t>
            </w:r>
          </w:p>
        </w:tc>
      </w:tr>
      <w:tr>
        <w:trPr>
          <w:cantSplit/>
        </w:trPr>
        <w:tc>
          <w:tcPr>
            <w:tcW w:type="dxa" w:w="2448"/>
            <w:vAlign w:val="center"/>
            <w:shd w:fill="EAF0F8"/>
          </w:tcPr>
          <w:p>
            <w:pPr>
              <w:spacing w:after="0"/>
            </w:pPr>
            <w:r/>
            <w:r>
              <w:rPr>
                <w:rFonts w:ascii="Arial" w:hAnsi="Arial" w:eastAsia="Arial"/>
                <w:b w:val="0"/>
                <w:sz w:val="15"/>
              </w:rPr>
              <w:t>10%</w:t>
            </w:r>
          </w:p>
        </w:tc>
        <w:tc>
          <w:tcPr>
            <w:tcW w:type="dxa" w:w="1728"/>
            <w:vAlign w:val="center"/>
            <w:shd w:fill="EAF0F8"/>
          </w:tcPr>
          <w:p>
            <w:pPr>
              <w:spacing w:after="0"/>
            </w:pPr>
            <w:r/>
            <w:r>
              <w:rPr>
                <w:rFonts w:ascii="Arial" w:hAnsi="Arial" w:eastAsia="Arial"/>
                <w:b w:val="0"/>
                <w:sz w:val="15"/>
              </w:rPr>
              <w:t>0.1974</w:t>
            </w:r>
          </w:p>
        </w:tc>
        <w:tc>
          <w:tcPr>
            <w:tcW w:type="dxa" w:w="1728"/>
            <w:vAlign w:val="center"/>
            <w:shd w:fill="EAF0F8"/>
          </w:tcPr>
          <w:p>
            <w:pPr>
              <w:spacing w:after="0"/>
            </w:pPr>
            <w:r/>
            <w:r>
              <w:rPr>
                <w:rFonts w:ascii="Arial" w:hAnsi="Arial" w:eastAsia="Arial"/>
                <w:b w:val="0"/>
                <w:sz w:val="15"/>
              </w:rPr>
              <w:t>0.1311</w:t>
            </w:r>
          </w:p>
        </w:tc>
        <w:tc>
          <w:tcPr>
            <w:tcW w:type="dxa" w:w="2160"/>
            <w:vAlign w:val="center"/>
            <w:shd w:fill="EAF0F8"/>
          </w:tcPr>
          <w:p>
            <w:pPr>
              <w:spacing w:after="0"/>
            </w:pPr>
            <w:r/>
            <w:r>
              <w:rPr>
                <w:rFonts w:ascii="Arial" w:hAnsi="Arial" w:eastAsia="Arial"/>
                <w:b w:val="0"/>
                <w:sz w:val="15"/>
              </w:rPr>
              <w:t>-0.0663</w:t>
            </w:r>
          </w:p>
        </w:tc>
      </w:tr>
      <w:tr>
        <w:trPr>
          <w:cantSplit/>
        </w:trPr>
        <w:tc>
          <w:tcPr>
            <w:tcW w:type="dxa" w:w="2448"/>
            <w:vAlign w:val="center"/>
          </w:tcPr>
          <w:p>
            <w:pPr>
              <w:spacing w:after="0"/>
            </w:pPr>
            <w:r/>
            <w:r>
              <w:rPr>
                <w:rFonts w:ascii="Arial" w:hAnsi="Arial" w:eastAsia="Arial"/>
                <w:b w:val="0"/>
                <w:sz w:val="15"/>
              </w:rPr>
              <w:t>5%</w:t>
            </w:r>
          </w:p>
        </w:tc>
        <w:tc>
          <w:tcPr>
            <w:tcW w:type="dxa" w:w="1728"/>
            <w:vAlign w:val="center"/>
          </w:tcPr>
          <w:p>
            <w:pPr>
              <w:spacing w:after="0"/>
            </w:pPr>
            <w:r/>
            <w:r>
              <w:rPr>
                <w:rFonts w:ascii="Arial" w:hAnsi="Arial" w:eastAsia="Arial"/>
                <w:b w:val="0"/>
                <w:sz w:val="15"/>
              </w:rPr>
              <w:t>0.2247</w:t>
            </w:r>
          </w:p>
        </w:tc>
        <w:tc>
          <w:tcPr>
            <w:tcW w:type="dxa" w:w="1728"/>
            <w:vAlign w:val="center"/>
          </w:tcPr>
          <w:p>
            <w:pPr>
              <w:spacing w:after="0"/>
            </w:pPr>
            <w:r/>
            <w:r>
              <w:rPr>
                <w:rFonts w:ascii="Arial" w:hAnsi="Arial" w:eastAsia="Arial"/>
                <w:b w:val="0"/>
                <w:sz w:val="15"/>
              </w:rPr>
              <w:t>0.1494</w:t>
            </w:r>
          </w:p>
        </w:tc>
        <w:tc>
          <w:tcPr>
            <w:tcW w:type="dxa" w:w="2160"/>
            <w:vAlign w:val="center"/>
          </w:tcPr>
          <w:p>
            <w:pPr>
              <w:spacing w:after="0"/>
            </w:pPr>
            <w:r/>
            <w:r>
              <w:rPr>
                <w:rFonts w:ascii="Arial" w:hAnsi="Arial" w:eastAsia="Arial"/>
                <w:b w:val="0"/>
                <w:sz w:val="15"/>
              </w:rPr>
              <w:t>-0.0752</w:t>
            </w:r>
          </w:p>
        </w:tc>
      </w:tr>
    </w:tbl>
    <w:p>
      <w:pPr>
        <w:pStyle w:val="Supplementnote"/>
      </w:pPr>
      <w:r>
        <w:t>The flight-specific advantage persists across all tested observation rates and is largest under the primary 5% condition.</w:t>
      </w:r>
    </w:p>
    <w:p>
      <w:pPr>
        <w:pStyle w:val="Supplementcaption"/>
        <w:keepNext/>
      </w:pPr>
      <w:r>
        <w:t>Table S9. Iridium NEXT-5 constraint ablation at 5%.</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3389"/>
        <w:gridCol w:w="3389"/>
        <w:gridCol w:w="3389"/>
      </w:tblGrid>
      <w:tr>
        <w:trPr>
          <w:tblHeader w:val="true"/>
          <w:cantSplit/>
          <w:tblHeader/>
        </w:trPr>
        <w:tc>
          <w:tcPr>
            <w:tcW w:type="dxa" w:w="3024"/>
            <w:vAlign w:val="center"/>
            <w:shd w:fill="17365D"/>
          </w:tcPr>
          <w:p>
            <w:pPr>
              <w:spacing w:after="0"/>
            </w:pPr>
            <w:r/>
            <w:r>
              <w:rPr>
                <w:rFonts w:ascii="Arial" w:hAnsi="Arial" w:eastAsia="Arial"/>
                <w:b/>
                <w:color w:val="FFFFFF"/>
                <w:sz w:val="15"/>
              </w:rPr>
              <w:t>Model / ablation</w:t>
            </w:r>
          </w:p>
        </w:tc>
        <w:tc>
          <w:tcPr>
            <w:tcW w:type="dxa" w:w="1584"/>
            <w:vAlign w:val="center"/>
            <w:shd w:fill="17365D"/>
          </w:tcPr>
          <w:p>
            <w:pPr>
              <w:spacing w:after="0"/>
            </w:pPr>
            <w:r/>
            <w:r>
              <w:rPr>
                <w:rFonts w:ascii="Arial" w:hAnsi="Arial" w:eastAsia="Arial"/>
                <w:b/>
                <w:color w:val="FFFFFF"/>
                <w:sz w:val="15"/>
              </w:rPr>
              <w:t>Composite</w:t>
            </w:r>
          </w:p>
        </w:tc>
        <w:tc>
          <w:tcPr>
            <w:tcW w:type="dxa" w:w="5472"/>
            <w:vAlign w:val="center"/>
            <w:shd w:fill="17365D"/>
          </w:tcPr>
          <w:p>
            <w:pPr>
              <w:spacing w:after="0"/>
            </w:pPr>
            <w:r/>
            <w:r>
              <w:rPr>
                <w:rFonts w:ascii="Arial" w:hAnsi="Arial" w:eastAsia="Arial"/>
                <w:b/>
                <w:color w:val="FFFFFF"/>
                <w:sz w:val="15"/>
              </w:rPr>
              <w:t>Interpretation</w:t>
            </w:r>
          </w:p>
        </w:tc>
      </w:tr>
      <w:tr>
        <w:trPr>
          <w:cantSplit/>
        </w:trPr>
        <w:tc>
          <w:tcPr>
            <w:tcW w:type="dxa" w:w="3024"/>
            <w:vAlign w:val="center"/>
          </w:tcPr>
          <w:p>
            <w:pPr>
              <w:spacing w:after="0"/>
            </w:pPr>
            <w:r/>
            <w:r>
              <w:rPr>
                <w:rFonts w:ascii="Arial" w:hAnsi="Arial" w:eastAsia="Arial"/>
                <w:b w:val="0"/>
                <w:sz w:val="15"/>
              </w:rPr>
              <w:t>Unconstrained NN</w:t>
            </w:r>
          </w:p>
        </w:tc>
        <w:tc>
          <w:tcPr>
            <w:tcW w:type="dxa" w:w="1584"/>
            <w:vAlign w:val="center"/>
          </w:tcPr>
          <w:p>
            <w:pPr>
              <w:spacing w:after="0"/>
            </w:pPr>
            <w:r/>
            <w:r>
              <w:rPr>
                <w:rFonts w:ascii="Arial" w:hAnsi="Arial" w:eastAsia="Arial"/>
                <w:b w:val="0"/>
                <w:sz w:val="15"/>
              </w:rPr>
              <w:t>0.2247</w:t>
            </w:r>
          </w:p>
        </w:tc>
        <w:tc>
          <w:tcPr>
            <w:tcW w:type="dxa" w:w="5472"/>
            <w:vAlign w:val="center"/>
          </w:tcPr>
          <w:p>
            <w:pPr>
              <w:spacing w:after="0"/>
            </w:pPr>
            <w:r/>
            <w:r>
              <w:rPr>
                <w:rFonts w:ascii="Arial" w:hAnsi="Arial" w:eastAsia="Arial"/>
                <w:b w:val="0"/>
                <w:sz w:val="15"/>
              </w:rPr>
              <w:t>Reference</w:t>
            </w:r>
          </w:p>
        </w:tc>
      </w:tr>
      <w:tr>
        <w:trPr>
          <w:cantSplit/>
        </w:trPr>
        <w:tc>
          <w:tcPr>
            <w:tcW w:type="dxa" w:w="3024"/>
            <w:vAlign w:val="center"/>
            <w:shd w:fill="EAF0F8"/>
          </w:tcPr>
          <w:p>
            <w:pPr>
              <w:spacing w:after="0"/>
            </w:pPr>
            <w:r/>
            <w:r>
              <w:rPr>
                <w:rFonts w:ascii="Arial" w:hAnsi="Arial" w:eastAsia="Arial"/>
                <w:b w:val="0"/>
                <w:sz w:val="15"/>
              </w:rPr>
              <w:t>Full KC-NN</w:t>
            </w:r>
          </w:p>
        </w:tc>
        <w:tc>
          <w:tcPr>
            <w:tcW w:type="dxa" w:w="1584"/>
            <w:vAlign w:val="center"/>
            <w:shd w:fill="EAF0F8"/>
          </w:tcPr>
          <w:p>
            <w:pPr>
              <w:spacing w:after="0"/>
            </w:pPr>
            <w:r/>
            <w:r>
              <w:rPr>
                <w:rFonts w:ascii="Arial" w:hAnsi="Arial" w:eastAsia="Arial"/>
                <w:b w:val="0"/>
                <w:sz w:val="15"/>
              </w:rPr>
              <w:t>0.1494</w:t>
            </w:r>
          </w:p>
        </w:tc>
        <w:tc>
          <w:tcPr>
            <w:tcW w:type="dxa" w:w="5472"/>
            <w:vAlign w:val="center"/>
            <w:shd w:fill="EAF0F8"/>
          </w:tcPr>
          <w:p>
            <w:pPr>
              <w:spacing w:after="0"/>
            </w:pPr>
            <w:r/>
            <w:r>
              <w:rPr>
                <w:rFonts w:ascii="Arial" w:hAnsi="Arial" w:eastAsia="Arial"/>
                <w:b w:val="0"/>
                <w:sz w:val="15"/>
              </w:rPr>
              <w:t>All three inequalities</w:t>
            </w:r>
          </w:p>
        </w:tc>
      </w:tr>
      <w:tr>
        <w:trPr>
          <w:cantSplit/>
        </w:trPr>
        <w:tc>
          <w:tcPr>
            <w:tcW w:type="dxa" w:w="3024"/>
            <w:vAlign w:val="center"/>
          </w:tcPr>
          <w:p>
            <w:pPr>
              <w:spacing w:after="0"/>
            </w:pPr>
            <w:r/>
            <w:r>
              <w:rPr>
                <w:rFonts w:ascii="Arial" w:hAnsi="Arial" w:eastAsia="Arial"/>
                <w:b w:val="0"/>
                <w:sz w:val="15"/>
              </w:rPr>
              <w:t>Omit dĥ/dt ≥ 0</w:t>
            </w:r>
          </w:p>
        </w:tc>
        <w:tc>
          <w:tcPr>
            <w:tcW w:type="dxa" w:w="1584"/>
            <w:vAlign w:val="center"/>
          </w:tcPr>
          <w:p>
            <w:pPr>
              <w:spacing w:after="0"/>
            </w:pPr>
            <w:r/>
            <w:r>
              <w:rPr>
                <w:rFonts w:ascii="Arial" w:hAnsi="Arial" w:eastAsia="Arial"/>
                <w:b w:val="0"/>
                <w:sz w:val="15"/>
              </w:rPr>
              <w:t>0.1385</w:t>
            </w:r>
          </w:p>
        </w:tc>
        <w:tc>
          <w:tcPr>
            <w:tcW w:type="dxa" w:w="5472"/>
            <w:vAlign w:val="center"/>
          </w:tcPr>
          <w:p>
            <w:pPr>
              <w:spacing w:after="0"/>
            </w:pPr>
            <w:r/>
            <w:r>
              <w:rPr>
                <w:rFonts w:ascii="Arial" w:hAnsi="Arial" w:eastAsia="Arial"/>
                <w:b w:val="0"/>
                <w:sz w:val="15"/>
              </w:rPr>
              <w:t>Removing monotonic-altitude term improves score</w:t>
            </w:r>
          </w:p>
        </w:tc>
      </w:tr>
      <w:tr>
        <w:trPr>
          <w:cantSplit/>
        </w:trPr>
        <w:tc>
          <w:tcPr>
            <w:tcW w:type="dxa" w:w="3024"/>
            <w:vAlign w:val="center"/>
            <w:shd w:fill="EAF0F8"/>
          </w:tcPr>
          <w:p>
            <w:pPr>
              <w:spacing w:after="0"/>
            </w:pPr>
            <w:r/>
            <w:r>
              <w:rPr>
                <w:rFonts w:ascii="Arial" w:hAnsi="Arial" w:eastAsia="Arial"/>
                <w:b w:val="0"/>
                <w:sz w:val="15"/>
              </w:rPr>
              <w:t>Omit dĥ/dt ≤ v̂</w:t>
            </w:r>
          </w:p>
        </w:tc>
        <w:tc>
          <w:tcPr>
            <w:tcW w:type="dxa" w:w="1584"/>
            <w:vAlign w:val="center"/>
            <w:shd w:fill="EAF0F8"/>
          </w:tcPr>
          <w:p>
            <w:pPr>
              <w:spacing w:after="0"/>
            </w:pPr>
            <w:r/>
            <w:r>
              <w:rPr>
                <w:rFonts w:ascii="Arial" w:hAnsi="Arial" w:eastAsia="Arial"/>
                <w:b w:val="0"/>
                <w:sz w:val="15"/>
              </w:rPr>
              <w:t>0.3210</w:t>
            </w:r>
          </w:p>
        </w:tc>
        <w:tc>
          <w:tcPr>
            <w:tcW w:type="dxa" w:w="5472"/>
            <w:vAlign w:val="center"/>
            <w:shd w:fill="EAF0F8"/>
          </w:tcPr>
          <w:p>
            <w:pPr>
              <w:spacing w:after="0"/>
            </w:pPr>
            <w:r/>
            <w:r>
              <w:rPr>
                <w:rFonts w:ascii="Arial" w:hAnsi="Arial" w:eastAsia="Arial"/>
                <w:b w:val="0"/>
                <w:sz w:val="15"/>
              </w:rPr>
              <w:t>Upper-bound term is essential on this flight</w:t>
            </w:r>
          </w:p>
        </w:tc>
      </w:tr>
      <w:tr>
        <w:trPr>
          <w:cantSplit/>
        </w:trPr>
        <w:tc>
          <w:tcPr>
            <w:tcW w:type="dxa" w:w="3024"/>
            <w:vAlign w:val="center"/>
          </w:tcPr>
          <w:p>
            <w:pPr>
              <w:spacing w:after="0"/>
            </w:pPr>
            <w:r/>
            <w:r>
              <w:rPr>
                <w:rFonts w:ascii="Arial" w:hAnsi="Arial" w:eastAsia="Arial"/>
                <w:b w:val="0"/>
                <w:sz w:val="15"/>
              </w:rPr>
              <w:t>Omit v̂ ≥ 0</w:t>
            </w:r>
          </w:p>
        </w:tc>
        <w:tc>
          <w:tcPr>
            <w:tcW w:type="dxa" w:w="1584"/>
            <w:vAlign w:val="center"/>
          </w:tcPr>
          <w:p>
            <w:pPr>
              <w:spacing w:after="0"/>
            </w:pPr>
            <w:r/>
            <w:r>
              <w:rPr>
                <w:rFonts w:ascii="Arial" w:hAnsi="Arial" w:eastAsia="Arial"/>
                <w:b w:val="0"/>
                <w:sz w:val="15"/>
              </w:rPr>
              <w:t>0.1494</w:t>
            </w:r>
          </w:p>
        </w:tc>
        <w:tc>
          <w:tcPr>
            <w:tcW w:type="dxa" w:w="5472"/>
            <w:vAlign w:val="center"/>
          </w:tcPr>
          <w:p>
            <w:pPr>
              <w:spacing w:after="0"/>
            </w:pPr>
            <w:r/>
            <w:r>
              <w:rPr>
                <w:rFonts w:ascii="Arial" w:hAnsi="Arial" w:eastAsia="Arial"/>
                <w:b w:val="0"/>
                <w:sz w:val="15"/>
              </w:rPr>
              <w:t>No material effect</w:t>
            </w:r>
          </w:p>
        </w:tc>
      </w:tr>
    </w:tbl>
    <w:p>
      <w:pPr>
        <w:pStyle w:val="Supplementcaption"/>
        <w:keepNext/>
      </w:pPr>
      <w:r>
        <w:t>Table S10. Leave-one-flight-out Iridium family transfer at 5%.</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1694"/>
        <w:gridCol w:w="1694"/>
        <w:gridCol w:w="1694"/>
        <w:gridCol w:w="1694"/>
        <w:gridCol w:w="1694"/>
        <w:gridCol w:w="1694"/>
      </w:tblGrid>
      <w:tr>
        <w:trPr>
          <w:tblHeader w:val="true"/>
          <w:cantSplit/>
          <w:tblHeader/>
        </w:trPr>
        <w:tc>
          <w:tcPr>
            <w:tcW w:type="dxa" w:w="1728"/>
            <w:vAlign w:val="center"/>
            <w:shd w:fill="17365D"/>
          </w:tcPr>
          <w:p>
            <w:pPr>
              <w:spacing w:after="0"/>
            </w:pPr>
            <w:r/>
            <w:r>
              <w:rPr>
                <w:rFonts w:ascii="Arial" w:hAnsi="Arial" w:eastAsia="Arial"/>
                <w:b/>
                <w:color w:val="FFFFFF"/>
                <w:sz w:val="15"/>
              </w:rPr>
              <w:t>Held-out</w:t>
            </w:r>
          </w:p>
        </w:tc>
        <w:tc>
          <w:tcPr>
            <w:tcW w:type="dxa" w:w="1152"/>
            <w:vAlign w:val="center"/>
            <w:shd w:fill="17365D"/>
          </w:tcPr>
          <w:p>
            <w:pPr>
              <w:spacing w:after="0"/>
            </w:pPr>
            <w:r/>
            <w:r>
              <w:rPr>
                <w:rFonts w:ascii="Arial" w:hAnsi="Arial" w:eastAsia="Arial"/>
                <w:b/>
                <w:color w:val="FFFFFF"/>
                <w:sz w:val="15"/>
              </w:rPr>
              <w:t>NN</w:t>
            </w:r>
          </w:p>
        </w:tc>
        <w:tc>
          <w:tcPr>
            <w:tcW w:type="dxa" w:w="1152"/>
            <w:vAlign w:val="center"/>
            <w:shd w:fill="17365D"/>
          </w:tcPr>
          <w:p>
            <w:pPr>
              <w:spacing w:after="0"/>
            </w:pPr>
            <w:r/>
            <w:r>
              <w:rPr>
                <w:rFonts w:ascii="Arial" w:hAnsi="Arial" w:eastAsia="Arial"/>
                <w:b/>
                <w:color w:val="FFFFFF"/>
                <w:sz w:val="15"/>
              </w:rPr>
              <w:t>Full KC</w:t>
            </w:r>
          </w:p>
        </w:tc>
        <w:tc>
          <w:tcPr>
            <w:tcW w:type="dxa" w:w="1440"/>
            <w:vAlign w:val="center"/>
            <w:shd w:fill="17365D"/>
          </w:tcPr>
          <w:p>
            <w:pPr>
              <w:spacing w:after="0"/>
            </w:pPr>
            <w:r/>
            <w:r>
              <w:rPr>
                <w:rFonts w:ascii="Arial" w:hAnsi="Arial" w:eastAsia="Arial"/>
                <w:b/>
                <w:color w:val="FFFFFF"/>
                <w:sz w:val="15"/>
              </w:rPr>
              <w:t>Upper only</w:t>
            </w:r>
          </w:p>
        </w:tc>
        <w:tc>
          <w:tcPr>
            <w:tcW w:type="dxa" w:w="1584"/>
            <w:vAlign w:val="center"/>
            <w:shd w:fill="17365D"/>
          </w:tcPr>
          <w:p>
            <w:pPr>
              <w:spacing w:after="0"/>
            </w:pPr>
            <w:r/>
            <w:r>
              <w:rPr>
                <w:rFonts w:ascii="Arial" w:hAnsi="Arial" w:eastAsia="Arial"/>
                <w:b/>
                <w:color w:val="FFFFFF"/>
                <w:sz w:val="15"/>
              </w:rPr>
              <w:t>Upper − NN</w:t>
            </w:r>
          </w:p>
        </w:tc>
        <w:tc>
          <w:tcPr>
            <w:tcW w:type="dxa" w:w="1728"/>
            <w:vAlign w:val="center"/>
            <w:shd w:fill="17365D"/>
          </w:tcPr>
          <w:p>
            <w:pPr>
              <w:spacing w:after="0"/>
            </w:pPr>
            <w:r/>
            <w:r>
              <w:rPr>
                <w:rFonts w:ascii="Arial" w:hAnsi="Arial" w:eastAsia="Arial"/>
                <w:b/>
                <w:color w:val="FFFFFF"/>
                <w:sz w:val="15"/>
              </w:rPr>
              <w:t>Winner</w:t>
            </w:r>
          </w:p>
        </w:tc>
      </w:tr>
      <w:tr>
        <w:trPr>
          <w:cantSplit/>
        </w:trPr>
        <w:tc>
          <w:tcPr>
            <w:tcW w:type="dxa" w:w="1728"/>
            <w:vAlign w:val="center"/>
          </w:tcPr>
          <w:p>
            <w:pPr>
              <w:spacing w:after="0"/>
            </w:pPr>
            <w:r/>
            <w:r>
              <w:rPr>
                <w:rFonts w:ascii="Arial" w:hAnsi="Arial" w:eastAsia="Arial"/>
                <w:b w:val="0"/>
                <w:sz w:val="15"/>
              </w:rPr>
              <w:t>NEXT-1</w:t>
            </w:r>
          </w:p>
        </w:tc>
        <w:tc>
          <w:tcPr>
            <w:tcW w:type="dxa" w:w="1152"/>
            <w:vAlign w:val="center"/>
          </w:tcPr>
          <w:p>
            <w:pPr>
              <w:spacing w:after="0"/>
            </w:pPr>
            <w:r/>
            <w:r>
              <w:rPr>
                <w:rFonts w:ascii="Arial" w:hAnsi="Arial" w:eastAsia="Arial"/>
                <w:b w:val="0"/>
                <w:sz w:val="15"/>
              </w:rPr>
              <w:t>0.0960</w:t>
            </w:r>
          </w:p>
        </w:tc>
        <w:tc>
          <w:tcPr>
            <w:tcW w:type="dxa" w:w="1152"/>
            <w:vAlign w:val="center"/>
          </w:tcPr>
          <w:p>
            <w:pPr>
              <w:spacing w:after="0"/>
            </w:pPr>
            <w:r/>
            <w:r>
              <w:rPr>
                <w:rFonts w:ascii="Arial" w:hAnsi="Arial" w:eastAsia="Arial"/>
                <w:b w:val="0"/>
                <w:sz w:val="15"/>
              </w:rPr>
              <w:t>0.1251</w:t>
            </w:r>
          </w:p>
        </w:tc>
        <w:tc>
          <w:tcPr>
            <w:tcW w:type="dxa" w:w="1440"/>
            <w:vAlign w:val="center"/>
          </w:tcPr>
          <w:p>
            <w:pPr>
              <w:spacing w:after="0"/>
            </w:pPr>
            <w:r/>
            <w:r>
              <w:rPr>
                <w:rFonts w:ascii="Arial" w:hAnsi="Arial" w:eastAsia="Arial"/>
                <w:b w:val="0"/>
                <w:sz w:val="15"/>
              </w:rPr>
              <w:t>0.1129</w:t>
            </w:r>
          </w:p>
        </w:tc>
        <w:tc>
          <w:tcPr>
            <w:tcW w:type="dxa" w:w="1584"/>
            <w:vAlign w:val="center"/>
          </w:tcPr>
          <w:p>
            <w:pPr>
              <w:spacing w:after="0"/>
            </w:pPr>
            <w:r/>
            <w:r>
              <w:rPr>
                <w:rFonts w:ascii="Arial" w:hAnsi="Arial" w:eastAsia="Arial"/>
                <w:b w:val="0"/>
                <w:sz w:val="15"/>
              </w:rPr>
              <w:t>+0.0169</w:t>
            </w:r>
          </w:p>
        </w:tc>
        <w:tc>
          <w:tcPr>
            <w:tcW w:type="dxa" w:w="1728"/>
            <w:vAlign w:val="center"/>
          </w:tcPr>
          <w:p>
            <w:pPr>
              <w:spacing w:after="0"/>
            </w:pPr>
            <w:r/>
            <w:r>
              <w:rPr>
                <w:rFonts w:ascii="Arial" w:hAnsi="Arial" w:eastAsia="Arial"/>
                <w:b w:val="0"/>
                <w:sz w:val="15"/>
              </w:rPr>
              <w:t>NN</w:t>
            </w:r>
          </w:p>
        </w:tc>
      </w:tr>
      <w:tr>
        <w:trPr>
          <w:cantSplit/>
        </w:trPr>
        <w:tc>
          <w:tcPr>
            <w:tcW w:type="dxa" w:w="1728"/>
            <w:vAlign w:val="center"/>
            <w:shd w:fill="EAF0F8"/>
          </w:tcPr>
          <w:p>
            <w:pPr>
              <w:spacing w:after="0"/>
            </w:pPr>
            <w:r/>
            <w:r>
              <w:rPr>
                <w:rFonts w:ascii="Arial" w:hAnsi="Arial" w:eastAsia="Arial"/>
                <w:b w:val="0"/>
                <w:sz w:val="15"/>
              </w:rPr>
              <w:t>NEXT-3</w:t>
            </w:r>
          </w:p>
        </w:tc>
        <w:tc>
          <w:tcPr>
            <w:tcW w:type="dxa" w:w="1152"/>
            <w:vAlign w:val="center"/>
            <w:shd w:fill="EAF0F8"/>
          </w:tcPr>
          <w:p>
            <w:pPr>
              <w:spacing w:after="0"/>
            </w:pPr>
            <w:r/>
            <w:r>
              <w:rPr>
                <w:rFonts w:ascii="Arial" w:hAnsi="Arial" w:eastAsia="Arial"/>
                <w:b w:val="0"/>
                <w:sz w:val="15"/>
              </w:rPr>
              <w:t>0.1740</w:t>
            </w:r>
          </w:p>
        </w:tc>
        <w:tc>
          <w:tcPr>
            <w:tcW w:type="dxa" w:w="1152"/>
            <w:vAlign w:val="center"/>
            <w:shd w:fill="EAF0F8"/>
          </w:tcPr>
          <w:p>
            <w:pPr>
              <w:spacing w:after="0"/>
            </w:pPr>
            <w:r/>
            <w:r>
              <w:rPr>
                <w:rFonts w:ascii="Arial" w:hAnsi="Arial" w:eastAsia="Arial"/>
                <w:b w:val="0"/>
                <w:sz w:val="15"/>
              </w:rPr>
              <w:t>0.2120</w:t>
            </w:r>
          </w:p>
        </w:tc>
        <w:tc>
          <w:tcPr>
            <w:tcW w:type="dxa" w:w="1440"/>
            <w:vAlign w:val="center"/>
            <w:shd w:fill="EAF0F8"/>
          </w:tcPr>
          <w:p>
            <w:pPr>
              <w:spacing w:after="0"/>
            </w:pPr>
            <w:r/>
            <w:r>
              <w:rPr>
                <w:rFonts w:ascii="Arial" w:hAnsi="Arial" w:eastAsia="Arial"/>
                <w:b w:val="0"/>
                <w:sz w:val="15"/>
              </w:rPr>
              <w:t>0.2111</w:t>
            </w:r>
          </w:p>
        </w:tc>
        <w:tc>
          <w:tcPr>
            <w:tcW w:type="dxa" w:w="1584"/>
            <w:vAlign w:val="center"/>
            <w:shd w:fill="EAF0F8"/>
          </w:tcPr>
          <w:p>
            <w:pPr>
              <w:spacing w:after="0"/>
            </w:pPr>
            <w:r/>
            <w:r>
              <w:rPr>
                <w:rFonts w:ascii="Arial" w:hAnsi="Arial" w:eastAsia="Arial"/>
                <w:b w:val="0"/>
                <w:sz w:val="15"/>
              </w:rPr>
              <w:t>+0.0371</w:t>
            </w:r>
          </w:p>
        </w:tc>
        <w:tc>
          <w:tcPr>
            <w:tcW w:type="dxa" w:w="1728"/>
            <w:vAlign w:val="center"/>
            <w:shd w:fill="EAF0F8"/>
          </w:tcPr>
          <w:p>
            <w:pPr>
              <w:spacing w:after="0"/>
            </w:pPr>
            <w:r/>
            <w:r>
              <w:rPr>
                <w:rFonts w:ascii="Arial" w:hAnsi="Arial" w:eastAsia="Arial"/>
                <w:b w:val="0"/>
                <w:sz w:val="15"/>
              </w:rPr>
              <w:t>NN</w:t>
            </w:r>
          </w:p>
        </w:tc>
      </w:tr>
      <w:tr>
        <w:trPr>
          <w:cantSplit/>
        </w:trPr>
        <w:tc>
          <w:tcPr>
            <w:tcW w:type="dxa" w:w="1728"/>
            <w:vAlign w:val="center"/>
          </w:tcPr>
          <w:p>
            <w:pPr>
              <w:spacing w:after="0"/>
            </w:pPr>
            <w:r/>
            <w:r>
              <w:rPr>
                <w:rFonts w:ascii="Arial" w:hAnsi="Arial" w:eastAsia="Arial"/>
                <w:b w:val="0"/>
                <w:sz w:val="15"/>
              </w:rPr>
              <w:t>NEXT-4</w:t>
            </w:r>
          </w:p>
        </w:tc>
        <w:tc>
          <w:tcPr>
            <w:tcW w:type="dxa" w:w="1152"/>
            <w:vAlign w:val="center"/>
          </w:tcPr>
          <w:p>
            <w:pPr>
              <w:spacing w:after="0"/>
            </w:pPr>
            <w:r/>
            <w:r>
              <w:rPr>
                <w:rFonts w:ascii="Arial" w:hAnsi="Arial" w:eastAsia="Arial"/>
                <w:b w:val="0"/>
                <w:sz w:val="15"/>
              </w:rPr>
              <w:t>0.2654</w:t>
            </w:r>
          </w:p>
        </w:tc>
        <w:tc>
          <w:tcPr>
            <w:tcW w:type="dxa" w:w="1152"/>
            <w:vAlign w:val="center"/>
          </w:tcPr>
          <w:p>
            <w:pPr>
              <w:spacing w:after="0"/>
            </w:pPr>
            <w:r/>
            <w:r>
              <w:rPr>
                <w:rFonts w:ascii="Arial" w:hAnsi="Arial" w:eastAsia="Arial"/>
                <w:b w:val="0"/>
                <w:sz w:val="15"/>
              </w:rPr>
              <w:t>0.2194</w:t>
            </w:r>
          </w:p>
        </w:tc>
        <w:tc>
          <w:tcPr>
            <w:tcW w:type="dxa" w:w="1440"/>
            <w:vAlign w:val="center"/>
          </w:tcPr>
          <w:p>
            <w:pPr>
              <w:spacing w:after="0"/>
            </w:pPr>
            <w:r/>
            <w:r>
              <w:rPr>
                <w:rFonts w:ascii="Arial" w:hAnsi="Arial" w:eastAsia="Arial"/>
                <w:b w:val="0"/>
                <w:sz w:val="15"/>
              </w:rPr>
              <w:t>0.2080</w:t>
            </w:r>
          </w:p>
        </w:tc>
        <w:tc>
          <w:tcPr>
            <w:tcW w:type="dxa" w:w="1584"/>
            <w:vAlign w:val="center"/>
          </w:tcPr>
          <w:p>
            <w:pPr>
              <w:spacing w:after="0"/>
            </w:pPr>
            <w:r/>
            <w:r>
              <w:rPr>
                <w:rFonts w:ascii="Arial" w:hAnsi="Arial" w:eastAsia="Arial"/>
                <w:b w:val="0"/>
                <w:sz w:val="15"/>
              </w:rPr>
              <w:t>-0.0573</w:t>
            </w:r>
          </w:p>
        </w:tc>
        <w:tc>
          <w:tcPr>
            <w:tcW w:type="dxa" w:w="1728"/>
            <w:vAlign w:val="center"/>
          </w:tcPr>
          <w:p>
            <w:pPr>
              <w:spacing w:after="0"/>
            </w:pPr>
            <w:r/>
            <w:r>
              <w:rPr>
                <w:rFonts w:ascii="Arial" w:hAnsi="Arial" w:eastAsia="Arial"/>
                <w:b w:val="0"/>
                <w:sz w:val="15"/>
              </w:rPr>
              <w:t>Upper-bound</w:t>
            </w:r>
          </w:p>
        </w:tc>
      </w:tr>
      <w:tr>
        <w:trPr>
          <w:cantSplit/>
        </w:trPr>
        <w:tc>
          <w:tcPr>
            <w:tcW w:type="dxa" w:w="1728"/>
            <w:vAlign w:val="center"/>
            <w:shd w:fill="EAF0F8"/>
          </w:tcPr>
          <w:p>
            <w:pPr>
              <w:spacing w:after="0"/>
            </w:pPr>
            <w:r/>
            <w:r>
              <w:rPr>
                <w:rFonts w:ascii="Arial" w:hAnsi="Arial" w:eastAsia="Arial"/>
                <w:b w:val="0"/>
                <w:sz w:val="15"/>
              </w:rPr>
              <w:t>NEXT-6</w:t>
            </w:r>
          </w:p>
        </w:tc>
        <w:tc>
          <w:tcPr>
            <w:tcW w:type="dxa" w:w="1152"/>
            <w:vAlign w:val="center"/>
            <w:shd w:fill="EAF0F8"/>
          </w:tcPr>
          <w:p>
            <w:pPr>
              <w:spacing w:after="0"/>
            </w:pPr>
            <w:r/>
            <w:r>
              <w:rPr>
                <w:rFonts w:ascii="Arial" w:hAnsi="Arial" w:eastAsia="Arial"/>
                <w:b w:val="0"/>
                <w:sz w:val="15"/>
              </w:rPr>
              <w:t>0.1180</w:t>
            </w:r>
          </w:p>
        </w:tc>
        <w:tc>
          <w:tcPr>
            <w:tcW w:type="dxa" w:w="1152"/>
            <w:vAlign w:val="center"/>
            <w:shd w:fill="EAF0F8"/>
          </w:tcPr>
          <w:p>
            <w:pPr>
              <w:spacing w:after="0"/>
            </w:pPr>
            <w:r/>
            <w:r>
              <w:rPr>
                <w:rFonts w:ascii="Arial" w:hAnsi="Arial" w:eastAsia="Arial"/>
                <w:b w:val="0"/>
                <w:sz w:val="15"/>
              </w:rPr>
              <w:t>0.1455</w:t>
            </w:r>
          </w:p>
        </w:tc>
        <w:tc>
          <w:tcPr>
            <w:tcW w:type="dxa" w:w="1440"/>
            <w:vAlign w:val="center"/>
            <w:shd w:fill="EAF0F8"/>
          </w:tcPr>
          <w:p>
            <w:pPr>
              <w:spacing w:after="0"/>
            </w:pPr>
            <w:r/>
            <w:r>
              <w:rPr>
                <w:rFonts w:ascii="Arial" w:hAnsi="Arial" w:eastAsia="Arial"/>
                <w:b w:val="0"/>
                <w:sz w:val="15"/>
              </w:rPr>
              <w:t>0.1326</w:t>
            </w:r>
          </w:p>
        </w:tc>
        <w:tc>
          <w:tcPr>
            <w:tcW w:type="dxa" w:w="1584"/>
            <w:vAlign w:val="center"/>
            <w:shd w:fill="EAF0F8"/>
          </w:tcPr>
          <w:p>
            <w:pPr>
              <w:spacing w:after="0"/>
            </w:pPr>
            <w:r/>
            <w:r>
              <w:rPr>
                <w:rFonts w:ascii="Arial" w:hAnsi="Arial" w:eastAsia="Arial"/>
                <w:b w:val="0"/>
                <w:sz w:val="15"/>
              </w:rPr>
              <w:t>+0.0146</w:t>
            </w:r>
          </w:p>
        </w:tc>
        <w:tc>
          <w:tcPr>
            <w:tcW w:type="dxa" w:w="1728"/>
            <w:vAlign w:val="center"/>
            <w:shd w:fill="EAF0F8"/>
          </w:tcPr>
          <w:p>
            <w:pPr>
              <w:spacing w:after="0"/>
            </w:pPr>
            <w:r/>
            <w:r>
              <w:rPr>
                <w:rFonts w:ascii="Arial" w:hAnsi="Arial" w:eastAsia="Arial"/>
                <w:b w:val="0"/>
                <w:sz w:val="15"/>
              </w:rPr>
              <w:t>NN</w:t>
            </w:r>
          </w:p>
        </w:tc>
      </w:tr>
      <w:tr>
        <w:trPr>
          <w:cantSplit/>
        </w:trPr>
        <w:tc>
          <w:tcPr>
            <w:tcW w:type="dxa" w:w="1728"/>
            <w:vAlign w:val="center"/>
          </w:tcPr>
          <w:p>
            <w:pPr>
              <w:spacing w:after="0"/>
            </w:pPr>
            <w:r/>
            <w:r>
              <w:rPr>
                <w:rFonts w:ascii="Arial" w:hAnsi="Arial" w:eastAsia="Arial"/>
                <w:b w:val="0"/>
                <w:sz w:val="15"/>
              </w:rPr>
              <w:t>NEXT-8</w:t>
            </w:r>
          </w:p>
        </w:tc>
        <w:tc>
          <w:tcPr>
            <w:tcW w:type="dxa" w:w="1152"/>
            <w:vAlign w:val="center"/>
          </w:tcPr>
          <w:p>
            <w:pPr>
              <w:spacing w:after="0"/>
            </w:pPr>
            <w:r/>
            <w:r>
              <w:rPr>
                <w:rFonts w:ascii="Arial" w:hAnsi="Arial" w:eastAsia="Arial"/>
                <w:b w:val="0"/>
                <w:sz w:val="15"/>
              </w:rPr>
              <w:t>0.2169</w:t>
            </w:r>
          </w:p>
        </w:tc>
        <w:tc>
          <w:tcPr>
            <w:tcW w:type="dxa" w:w="1152"/>
            <w:vAlign w:val="center"/>
          </w:tcPr>
          <w:p>
            <w:pPr>
              <w:spacing w:after="0"/>
            </w:pPr>
            <w:r/>
            <w:r>
              <w:rPr>
                <w:rFonts w:ascii="Arial" w:hAnsi="Arial" w:eastAsia="Arial"/>
                <w:b w:val="0"/>
                <w:sz w:val="15"/>
              </w:rPr>
              <w:t>0.1818</w:t>
            </w:r>
          </w:p>
        </w:tc>
        <w:tc>
          <w:tcPr>
            <w:tcW w:type="dxa" w:w="1440"/>
            <w:vAlign w:val="center"/>
          </w:tcPr>
          <w:p>
            <w:pPr>
              <w:spacing w:after="0"/>
            </w:pPr>
            <w:r/>
            <w:r>
              <w:rPr>
                <w:rFonts w:ascii="Arial" w:hAnsi="Arial" w:eastAsia="Arial"/>
                <w:b w:val="0"/>
                <w:sz w:val="15"/>
              </w:rPr>
              <w:t>0.1753</w:t>
            </w:r>
          </w:p>
        </w:tc>
        <w:tc>
          <w:tcPr>
            <w:tcW w:type="dxa" w:w="1584"/>
            <w:vAlign w:val="center"/>
          </w:tcPr>
          <w:p>
            <w:pPr>
              <w:spacing w:after="0"/>
            </w:pPr>
            <w:r/>
            <w:r>
              <w:rPr>
                <w:rFonts w:ascii="Arial" w:hAnsi="Arial" w:eastAsia="Arial"/>
                <w:b w:val="0"/>
                <w:sz w:val="15"/>
              </w:rPr>
              <w:t>-0.0416</w:t>
            </w:r>
          </w:p>
        </w:tc>
        <w:tc>
          <w:tcPr>
            <w:tcW w:type="dxa" w:w="1728"/>
            <w:vAlign w:val="center"/>
          </w:tcPr>
          <w:p>
            <w:pPr>
              <w:spacing w:after="0"/>
            </w:pPr>
            <w:r/>
            <w:r>
              <w:rPr>
                <w:rFonts w:ascii="Arial" w:hAnsi="Arial" w:eastAsia="Arial"/>
                <w:b w:val="0"/>
                <w:sz w:val="15"/>
              </w:rPr>
              <w:t>Upper-bound</w:t>
            </w:r>
          </w:p>
        </w:tc>
      </w:tr>
    </w:tbl>
    <w:p>
      <w:pPr>
        <w:pStyle w:val="Supplementnote"/>
      </w:pPr>
      <w:r>
        <w:t>The prespecified family criterion required a negative mean difference and at least 4/5 upper-bound wins. It failed: 2/5 wins; mean upper-bound − NN = −0.0061, driven by NEXT-4 and NEXT-8.</w:t>
      </w:r>
    </w:p>
    <w:p>
      <w:r>
        <w:t>Interpretation: NEXT-5 benefits because the upper-bound relation specifically suppresses a sparse-data altitude overshoot that is not corrected reliably by the unconstrained network. The ablation localizes the gain to dĥ/dt ≤ v̂, while the leave-one-flight-out family experiment shows that this mechanism does not transfer uniformly even within nominally similar missions. Thus “why it works” is supported as a flight-level mechanism, not established as a mission-family causal law.</w:t>
      </w:r>
    </w:p>
    <w:p>
      <w:pPr>
        <w:pStyle w:val="Heading1"/>
      </w:pPr>
      <w:r>
        <w:t>S6. RQ2 source audit and curation</w:t>
      </w:r>
    </w:p>
    <w:p>
      <w:r>
        <w:t>The independent source audit indexed 4,040 public files, identified 617 candidate flight files, and retained 614 technical passes after parsing and quality checks. These represented 68 provisional rocket/group labels. Four uploaders contributed retained files; the dominant uploader supplied 586/614 (95.4%), creating a material contributor-concentration limitation. Of the retained files, 482 contained acceleration in addition to pressure/altitude/velocity channels and 132 contained pressure/altitude/velocity only.</w:t>
      </w:r>
    </w:p>
    <w:p>
      <w:pPr>
        <w:pStyle w:val="Supplementcaption"/>
        <w:keepNext/>
      </w:pPr>
      <w:r>
        <w:t>Table S11. RQ2 source-audit summary.</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5083"/>
        <w:gridCol w:w="5083"/>
      </w:tblGrid>
      <w:tr>
        <w:trPr>
          <w:tblHeader w:val="true"/>
          <w:cantSplit/>
          <w:tblHeader/>
        </w:trPr>
        <w:tc>
          <w:tcPr>
            <w:tcW w:type="dxa" w:w="4752"/>
            <w:vAlign w:val="center"/>
            <w:shd w:fill="17365D"/>
          </w:tcPr>
          <w:p>
            <w:pPr>
              <w:spacing w:after="0"/>
            </w:pPr>
            <w:r/>
            <w:r>
              <w:rPr>
                <w:rFonts w:ascii="Arial" w:hAnsi="Arial" w:eastAsia="Arial"/>
                <w:b/>
                <w:color w:val="FFFFFF"/>
                <w:sz w:val="15"/>
              </w:rPr>
              <w:t>Quantity</w:t>
            </w:r>
          </w:p>
        </w:tc>
        <w:tc>
          <w:tcPr>
            <w:tcW w:type="dxa" w:w="5328"/>
            <w:vAlign w:val="center"/>
            <w:shd w:fill="17365D"/>
          </w:tcPr>
          <w:p>
            <w:pPr>
              <w:spacing w:after="0"/>
            </w:pPr>
            <w:r/>
            <w:r>
              <w:rPr>
                <w:rFonts w:ascii="Arial" w:hAnsi="Arial" w:eastAsia="Arial"/>
                <w:b/>
                <w:color w:val="FFFFFF"/>
                <w:sz w:val="15"/>
              </w:rPr>
              <w:t>Value</w:t>
            </w:r>
          </w:p>
        </w:tc>
      </w:tr>
      <w:tr>
        <w:trPr>
          <w:cantSplit/>
        </w:trPr>
        <w:tc>
          <w:tcPr>
            <w:tcW w:type="dxa" w:w="4752"/>
            <w:vAlign w:val="center"/>
          </w:tcPr>
          <w:p>
            <w:pPr>
              <w:spacing w:after="0"/>
            </w:pPr>
            <w:r/>
            <w:r>
              <w:rPr>
                <w:rFonts w:ascii="Arial" w:hAnsi="Arial" w:eastAsia="Arial"/>
                <w:b w:val="0"/>
                <w:sz w:val="15"/>
              </w:rPr>
              <w:t>Public index entries</w:t>
            </w:r>
          </w:p>
        </w:tc>
        <w:tc>
          <w:tcPr>
            <w:tcW w:type="dxa" w:w="5328"/>
            <w:vAlign w:val="center"/>
          </w:tcPr>
          <w:p>
            <w:pPr>
              <w:spacing w:after="0"/>
            </w:pPr>
            <w:r/>
            <w:r>
              <w:rPr>
                <w:rFonts w:ascii="Arial" w:hAnsi="Arial" w:eastAsia="Arial"/>
                <w:b w:val="0"/>
                <w:sz w:val="15"/>
              </w:rPr>
              <w:t>4,040</w:t>
            </w:r>
          </w:p>
        </w:tc>
      </w:tr>
      <w:tr>
        <w:trPr>
          <w:cantSplit/>
        </w:trPr>
        <w:tc>
          <w:tcPr>
            <w:tcW w:type="dxa" w:w="4752"/>
            <w:vAlign w:val="center"/>
            <w:shd w:fill="EAF0F8"/>
          </w:tcPr>
          <w:p>
            <w:pPr>
              <w:spacing w:after="0"/>
            </w:pPr>
            <w:r/>
            <w:r>
              <w:rPr>
                <w:rFonts w:ascii="Arial" w:hAnsi="Arial" w:eastAsia="Arial"/>
                <w:b w:val="0"/>
                <w:sz w:val="15"/>
              </w:rPr>
              <w:t>Candidate flight files</w:t>
            </w:r>
          </w:p>
        </w:tc>
        <w:tc>
          <w:tcPr>
            <w:tcW w:type="dxa" w:w="5328"/>
            <w:vAlign w:val="center"/>
            <w:shd w:fill="EAF0F8"/>
          </w:tcPr>
          <w:p>
            <w:pPr>
              <w:spacing w:after="0"/>
            </w:pPr>
            <w:r/>
            <w:r>
              <w:rPr>
                <w:rFonts w:ascii="Arial" w:hAnsi="Arial" w:eastAsia="Arial"/>
                <w:b w:val="0"/>
                <w:sz w:val="15"/>
              </w:rPr>
              <w:t>617</w:t>
            </w:r>
          </w:p>
        </w:tc>
      </w:tr>
      <w:tr>
        <w:trPr>
          <w:cantSplit/>
        </w:trPr>
        <w:tc>
          <w:tcPr>
            <w:tcW w:type="dxa" w:w="4752"/>
            <w:vAlign w:val="center"/>
          </w:tcPr>
          <w:p>
            <w:pPr>
              <w:spacing w:after="0"/>
            </w:pPr>
            <w:r/>
            <w:r>
              <w:rPr>
                <w:rFonts w:ascii="Arial" w:hAnsi="Arial" w:eastAsia="Arial"/>
                <w:b w:val="0"/>
                <w:sz w:val="15"/>
              </w:rPr>
              <w:t>Technical passes</w:t>
            </w:r>
          </w:p>
        </w:tc>
        <w:tc>
          <w:tcPr>
            <w:tcW w:type="dxa" w:w="5328"/>
            <w:vAlign w:val="center"/>
          </w:tcPr>
          <w:p>
            <w:pPr>
              <w:spacing w:after="0"/>
            </w:pPr>
            <w:r/>
            <w:r>
              <w:rPr>
                <w:rFonts w:ascii="Arial" w:hAnsi="Arial" w:eastAsia="Arial"/>
                <w:b w:val="0"/>
                <w:sz w:val="15"/>
              </w:rPr>
              <w:t>614</w:t>
            </w:r>
          </w:p>
        </w:tc>
      </w:tr>
      <w:tr>
        <w:trPr>
          <w:cantSplit/>
        </w:trPr>
        <w:tc>
          <w:tcPr>
            <w:tcW w:type="dxa" w:w="4752"/>
            <w:vAlign w:val="center"/>
            <w:shd w:fill="EAF0F8"/>
          </w:tcPr>
          <w:p>
            <w:pPr>
              <w:spacing w:after="0"/>
            </w:pPr>
            <w:r/>
            <w:r>
              <w:rPr>
                <w:rFonts w:ascii="Arial" w:hAnsi="Arial" w:eastAsia="Arial"/>
                <w:b w:val="0"/>
                <w:sz w:val="15"/>
              </w:rPr>
              <w:t>Provisional groups</w:t>
            </w:r>
          </w:p>
        </w:tc>
        <w:tc>
          <w:tcPr>
            <w:tcW w:type="dxa" w:w="5328"/>
            <w:vAlign w:val="center"/>
            <w:shd w:fill="EAF0F8"/>
          </w:tcPr>
          <w:p>
            <w:pPr>
              <w:spacing w:after="0"/>
            </w:pPr>
            <w:r/>
            <w:r>
              <w:rPr>
                <w:rFonts w:ascii="Arial" w:hAnsi="Arial" w:eastAsia="Arial"/>
                <w:b w:val="0"/>
                <w:sz w:val="15"/>
              </w:rPr>
              <w:t>68</w:t>
            </w:r>
          </w:p>
        </w:tc>
      </w:tr>
      <w:tr>
        <w:trPr>
          <w:cantSplit/>
        </w:trPr>
        <w:tc>
          <w:tcPr>
            <w:tcW w:type="dxa" w:w="4752"/>
            <w:vAlign w:val="center"/>
          </w:tcPr>
          <w:p>
            <w:pPr>
              <w:spacing w:after="0"/>
            </w:pPr>
            <w:r/>
            <w:r>
              <w:rPr>
                <w:rFonts w:ascii="Arial" w:hAnsi="Arial" w:eastAsia="Arial"/>
                <w:b w:val="0"/>
                <w:sz w:val="15"/>
              </w:rPr>
              <w:t>Distinct uploaders</w:t>
            </w:r>
          </w:p>
        </w:tc>
        <w:tc>
          <w:tcPr>
            <w:tcW w:type="dxa" w:w="5328"/>
            <w:vAlign w:val="center"/>
          </w:tcPr>
          <w:p>
            <w:pPr>
              <w:spacing w:after="0"/>
            </w:pPr>
            <w:r/>
            <w:r>
              <w:rPr>
                <w:rFonts w:ascii="Arial" w:hAnsi="Arial" w:eastAsia="Arial"/>
                <w:b w:val="0"/>
                <w:sz w:val="15"/>
              </w:rPr>
              <w:t>4</w:t>
            </w:r>
          </w:p>
        </w:tc>
      </w:tr>
      <w:tr>
        <w:trPr>
          <w:cantSplit/>
        </w:trPr>
        <w:tc>
          <w:tcPr>
            <w:tcW w:type="dxa" w:w="4752"/>
            <w:vAlign w:val="center"/>
            <w:shd w:fill="EAF0F8"/>
          </w:tcPr>
          <w:p>
            <w:pPr>
              <w:spacing w:after="0"/>
            </w:pPr>
            <w:r/>
            <w:r>
              <w:rPr>
                <w:rFonts w:ascii="Arial" w:hAnsi="Arial" w:eastAsia="Arial"/>
                <w:b w:val="0"/>
                <w:sz w:val="15"/>
              </w:rPr>
              <w:t>Dominant-uploader contribution</w:t>
            </w:r>
          </w:p>
        </w:tc>
        <w:tc>
          <w:tcPr>
            <w:tcW w:type="dxa" w:w="5328"/>
            <w:vAlign w:val="center"/>
            <w:shd w:fill="EAF0F8"/>
          </w:tcPr>
          <w:p>
            <w:pPr>
              <w:spacing w:after="0"/>
            </w:pPr>
            <w:r/>
            <w:r>
              <w:rPr>
                <w:rFonts w:ascii="Arial" w:hAnsi="Arial" w:eastAsia="Arial"/>
                <w:b w:val="0"/>
                <w:sz w:val="15"/>
              </w:rPr>
              <w:t>586/614 (95.4%)</w:t>
            </w:r>
          </w:p>
        </w:tc>
      </w:tr>
      <w:tr>
        <w:trPr>
          <w:cantSplit/>
        </w:trPr>
        <w:tc>
          <w:tcPr>
            <w:tcW w:type="dxa" w:w="4752"/>
            <w:vAlign w:val="center"/>
          </w:tcPr>
          <w:p>
            <w:pPr>
              <w:spacing w:after="0"/>
            </w:pPr>
            <w:r/>
            <w:r>
              <w:rPr>
                <w:rFonts w:ascii="Arial" w:hAnsi="Arial" w:eastAsia="Arial"/>
                <w:b w:val="0"/>
                <w:sz w:val="15"/>
              </w:rPr>
              <w:t>Acceleration-equipped files</w:t>
            </w:r>
          </w:p>
        </w:tc>
        <w:tc>
          <w:tcPr>
            <w:tcW w:type="dxa" w:w="5328"/>
            <w:vAlign w:val="center"/>
          </w:tcPr>
          <w:p>
            <w:pPr>
              <w:spacing w:after="0"/>
            </w:pPr>
            <w:r/>
            <w:r>
              <w:rPr>
                <w:rFonts w:ascii="Arial" w:hAnsi="Arial" w:eastAsia="Arial"/>
                <w:b w:val="0"/>
                <w:sz w:val="15"/>
              </w:rPr>
              <w:t>482</w:t>
            </w:r>
          </w:p>
        </w:tc>
      </w:tr>
      <w:tr>
        <w:trPr>
          <w:cantSplit/>
        </w:trPr>
        <w:tc>
          <w:tcPr>
            <w:tcW w:type="dxa" w:w="4752"/>
            <w:vAlign w:val="center"/>
            <w:shd w:fill="EAF0F8"/>
          </w:tcPr>
          <w:p>
            <w:pPr>
              <w:spacing w:after="0"/>
            </w:pPr>
            <w:r/>
            <w:r>
              <w:rPr>
                <w:rFonts w:ascii="Arial" w:hAnsi="Arial" w:eastAsia="Arial"/>
                <w:b w:val="0"/>
                <w:sz w:val="15"/>
              </w:rPr>
              <w:t>Pressure/altitude/velocity-only files</w:t>
            </w:r>
          </w:p>
        </w:tc>
        <w:tc>
          <w:tcPr>
            <w:tcW w:type="dxa" w:w="5328"/>
            <w:vAlign w:val="center"/>
            <w:shd w:fill="EAF0F8"/>
          </w:tcPr>
          <w:p>
            <w:pPr>
              <w:spacing w:after="0"/>
            </w:pPr>
            <w:r/>
            <w:r>
              <w:rPr>
                <w:rFonts w:ascii="Arial" w:hAnsi="Arial" w:eastAsia="Arial"/>
                <w:b w:val="0"/>
                <w:sz w:val="15"/>
              </w:rPr>
              <w:t>132</w:t>
            </w:r>
          </w:p>
        </w:tc>
      </w:tr>
      <w:tr>
        <w:trPr>
          <w:cantSplit/>
        </w:trPr>
        <w:tc>
          <w:tcPr>
            <w:tcW w:type="dxa" w:w="4752"/>
            <w:vAlign w:val="center"/>
          </w:tcPr>
          <w:p>
            <w:pPr>
              <w:spacing w:after="0"/>
            </w:pPr>
            <w:r/>
            <w:r>
              <w:rPr>
                <w:rFonts w:ascii="Arial" w:hAnsi="Arial" w:eastAsia="Arial"/>
                <w:b w:val="0"/>
                <w:sz w:val="15"/>
              </w:rPr>
              <w:t>Median raw sampling interval</w:t>
            </w:r>
          </w:p>
        </w:tc>
        <w:tc>
          <w:tcPr>
            <w:tcW w:type="dxa" w:w="5328"/>
            <w:vAlign w:val="center"/>
          </w:tcPr>
          <w:p>
            <w:pPr>
              <w:spacing w:after="0"/>
            </w:pPr>
            <w:r/>
            <w:r>
              <w:rPr>
                <w:rFonts w:ascii="Arial" w:hAnsi="Arial" w:eastAsia="Arial"/>
                <w:b w:val="0"/>
                <w:sz w:val="15"/>
              </w:rPr>
              <w:t>0.020 s</w:t>
            </w:r>
          </w:p>
        </w:tc>
      </w:tr>
      <w:tr>
        <w:trPr>
          <w:cantSplit/>
        </w:trPr>
        <w:tc>
          <w:tcPr>
            <w:tcW w:type="dxa" w:w="4752"/>
            <w:vAlign w:val="center"/>
            <w:shd w:fill="EAF0F8"/>
          </w:tcPr>
          <w:p>
            <w:pPr>
              <w:spacing w:after="0"/>
            </w:pPr>
            <w:r/>
            <w:r>
              <w:rPr>
                <w:rFonts w:ascii="Arial" w:hAnsi="Arial" w:eastAsia="Arial"/>
                <w:b w:val="0"/>
                <w:sz w:val="15"/>
              </w:rPr>
              <w:t>Median duration</w:t>
            </w:r>
          </w:p>
        </w:tc>
        <w:tc>
          <w:tcPr>
            <w:tcW w:type="dxa" w:w="5328"/>
            <w:vAlign w:val="center"/>
            <w:shd w:fill="EAF0F8"/>
          </w:tcPr>
          <w:p>
            <w:pPr>
              <w:spacing w:after="0"/>
            </w:pPr>
            <w:r/>
            <w:r>
              <w:rPr>
                <w:rFonts w:ascii="Arial" w:hAnsi="Arial" w:eastAsia="Arial"/>
                <w:b w:val="0"/>
                <w:sz w:val="15"/>
              </w:rPr>
              <w:t>50.101 s</w:t>
            </w:r>
          </w:p>
        </w:tc>
      </w:tr>
      <w:tr>
        <w:trPr>
          <w:cantSplit/>
        </w:trPr>
        <w:tc>
          <w:tcPr>
            <w:tcW w:type="dxa" w:w="4752"/>
            <w:vAlign w:val="center"/>
          </w:tcPr>
          <w:p>
            <w:pPr>
              <w:spacing w:after="0"/>
            </w:pPr>
            <w:r/>
            <w:r>
              <w:rPr>
                <w:rFonts w:ascii="Arial" w:hAnsi="Arial" w:eastAsia="Arial"/>
                <w:b w:val="0"/>
                <w:sz w:val="15"/>
              </w:rPr>
              <w:t>Median altitude span</w:t>
            </w:r>
          </w:p>
        </w:tc>
        <w:tc>
          <w:tcPr>
            <w:tcW w:type="dxa" w:w="5328"/>
            <w:vAlign w:val="center"/>
          </w:tcPr>
          <w:p>
            <w:pPr>
              <w:spacing w:after="0"/>
            </w:pPr>
            <w:r/>
            <w:r>
              <w:rPr>
                <w:rFonts w:ascii="Arial" w:hAnsi="Arial" w:eastAsia="Arial"/>
                <w:b w:val="0"/>
                <w:sz w:val="15"/>
              </w:rPr>
              <w:t>611.074 ft</w:t>
            </w:r>
          </w:p>
        </w:tc>
      </w:tr>
      <w:tr>
        <w:trPr>
          <w:cantSplit/>
        </w:trPr>
        <w:tc>
          <w:tcPr>
            <w:tcW w:type="dxa" w:w="4752"/>
            <w:vAlign w:val="center"/>
            <w:shd w:fill="EAF0F8"/>
          </w:tcPr>
          <w:p>
            <w:pPr>
              <w:spacing w:after="0"/>
            </w:pPr>
            <w:r/>
            <w:r>
              <w:rPr>
                <w:rFonts w:ascii="Arial" w:hAnsi="Arial" w:eastAsia="Arial"/>
                <w:b w:val="0"/>
                <w:sz w:val="15"/>
              </w:rPr>
              <w:t>Median maximum positive velocity</w:t>
            </w:r>
          </w:p>
        </w:tc>
        <w:tc>
          <w:tcPr>
            <w:tcW w:type="dxa" w:w="5328"/>
            <w:vAlign w:val="center"/>
            <w:shd w:fill="EAF0F8"/>
          </w:tcPr>
          <w:p>
            <w:pPr>
              <w:spacing w:after="0"/>
            </w:pPr>
            <w:r/>
            <w:r>
              <w:rPr>
                <w:rFonts w:ascii="Arial" w:hAnsi="Arial" w:eastAsia="Arial"/>
                <w:b w:val="0"/>
                <w:sz w:val="15"/>
              </w:rPr>
              <w:t>212.505 ft/s</w:t>
            </w:r>
          </w:p>
        </w:tc>
      </w:tr>
    </w:tbl>
    <w:p>
      <w:r>
        <w:t>Automated pass status establishes parsability and minimum channel coverage, not provenance equivalence, calibration validity, independence, or aerodynamic comparability. Provisional group labels were normalized from source metadata and should not be read as certified vehicle identities. Contributor concentration limits claims about population-level generalization.</w:t>
      </w:r>
    </w:p>
    <w:p>
      <w:pPr>
        <w:pStyle w:val="Heading1"/>
      </w:pPr>
      <w:r>
        <w:t>S7. RQ2 development analysis and reconstruction v1.1</w:t>
      </w:r>
    </w:p>
    <w:p>
      <w:pPr>
        <w:pStyle w:val="Heading2"/>
      </w:pPr>
      <w:r>
        <w:t>S7.1 Historical development analysis</w:t>
      </w:r>
    </w:p>
    <w:p>
      <w:r>
        <w:t>The historical development analysis used 335 flights and 17,864 one-hertz samples across 41 provisional groups: 33 groups/257 flights for training and eight groups/78 flights for outer validation. At the primary 5% observation rate, the mean standardized composite was 0.3479 for NN and 0.3449 for KC-NN, with KC-NN winning 3/5 paired seeds. At 10%, 25%, 50%, and 100%, KC-NN lost all 20 seed comparisons. These development outcomes motivated a stricter independent reconstruction but are not pooled with v1.1 confirmatory estimates.</w:t>
      </w:r>
    </w:p>
    <w:p>
      <w:pPr>
        <w:pStyle w:val="Heading2"/>
      </w:pPr>
      <w:r>
        <w:t>S7.2 Confirmatory reconstruction v1.1</w:t>
      </w:r>
    </w:p>
    <w:p>
      <w:r>
        <w:t>Version 1.1 used 363 fitting flights from 31 groups, 75 inner-validation flights from six groups, and 46 held-out flights from eight groups. Both models used two 32-unit tanh layers, fitting-only scaling, Adam with learning rate 0.001, coupled L2 weight decay 0.0001, a maximum of 3,000 epochs, and patience 250. Seeds were 11, 29, 47, 71, and 97. The physics weight was fixed at 1.91. The primary 5% mask retained endpoints and then followed a deterministic SHA-derived ordering until max(2, ceil(0.05n)) observations were selected. Sparse observations are used to construct input features. The stack and loss_grad functions retain all fitting targets, and early stopping uses all inner-validation targets. This is supervised sparse-input reconstruction, not training with only 5% of fitting labels.</w:t>
      </w:r>
    </w:p>
    <w:p>
      <w:r>
        <w:t>RQ2 v1.1 fits dataset-specific weights rather than transferring RQ1 checkpoints. The archived residual uses finite differences of centered altitude and the trapezoidal mean of centered velocity, divided by the fitting velocity scale. Altitude centering cancels, but velocity centering produces an offset of μ_v/σ_v = −0.0058894643/14.3564722162 ≈ −0.00041023 from the physical-channel equality residual. Reported scores remain those of this archived implementation. No corrected-residual retraining is claimed. This distinction qualifies any mechanistic attribution of the RQ2 comparison to exact physical equality.</w:t>
      </w:r>
    </w:p>
    <w:p>
      <w:pPr>
        <w:pStyle w:val="Supplementcaption"/>
        <w:keepNext/>
      </w:pPr>
      <w:r>
        <w:t>Table S12. RQ2 reconstruction v1.1 partition.</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2541"/>
        <w:gridCol w:w="2541"/>
        <w:gridCol w:w="2541"/>
        <w:gridCol w:w="2541"/>
      </w:tblGrid>
      <w:tr>
        <w:trPr>
          <w:tblHeader w:val="true"/>
          <w:cantSplit/>
          <w:tblHeader/>
        </w:trPr>
        <w:tc>
          <w:tcPr>
            <w:tcW w:type="dxa" w:w="2160"/>
            <w:vAlign w:val="center"/>
            <w:shd w:fill="17365D"/>
          </w:tcPr>
          <w:p>
            <w:pPr>
              <w:spacing w:after="0"/>
            </w:pPr>
            <w:r/>
            <w:r>
              <w:rPr>
                <w:rFonts w:ascii="Arial" w:hAnsi="Arial" w:eastAsia="Arial"/>
                <w:b/>
                <w:color w:val="FFFFFF"/>
                <w:sz w:val="15"/>
              </w:rPr>
              <w:t>Partition</w:t>
            </w:r>
          </w:p>
        </w:tc>
        <w:tc>
          <w:tcPr>
            <w:tcW w:type="dxa" w:w="1440"/>
            <w:vAlign w:val="center"/>
            <w:shd w:fill="17365D"/>
          </w:tcPr>
          <w:p>
            <w:pPr>
              <w:spacing w:after="0"/>
            </w:pPr>
            <w:r/>
            <w:r>
              <w:rPr>
                <w:rFonts w:ascii="Arial" w:hAnsi="Arial" w:eastAsia="Arial"/>
                <w:b/>
                <w:color w:val="FFFFFF"/>
                <w:sz w:val="15"/>
              </w:rPr>
              <w:t>Groups</w:t>
            </w:r>
          </w:p>
        </w:tc>
        <w:tc>
          <w:tcPr>
            <w:tcW w:type="dxa" w:w="1440"/>
            <w:vAlign w:val="center"/>
            <w:shd w:fill="17365D"/>
          </w:tcPr>
          <w:p>
            <w:pPr>
              <w:spacing w:after="0"/>
            </w:pPr>
            <w:r/>
            <w:r>
              <w:rPr>
                <w:rFonts w:ascii="Arial" w:hAnsi="Arial" w:eastAsia="Arial"/>
                <w:b/>
                <w:color w:val="FFFFFF"/>
                <w:sz w:val="15"/>
              </w:rPr>
              <w:t>Flights</w:t>
            </w:r>
          </w:p>
        </w:tc>
        <w:tc>
          <w:tcPr>
            <w:tcW w:type="dxa" w:w="4608"/>
            <w:vAlign w:val="center"/>
            <w:shd w:fill="17365D"/>
          </w:tcPr>
          <w:p>
            <w:pPr>
              <w:spacing w:after="0"/>
            </w:pPr>
            <w:r/>
            <w:r>
              <w:rPr>
                <w:rFonts w:ascii="Arial" w:hAnsi="Arial" w:eastAsia="Arial"/>
                <w:b/>
                <w:color w:val="FFFFFF"/>
                <w:sz w:val="15"/>
              </w:rPr>
              <w:t>Role</w:t>
            </w:r>
          </w:p>
        </w:tc>
      </w:tr>
      <w:tr>
        <w:trPr>
          <w:cantSplit/>
        </w:trPr>
        <w:tc>
          <w:tcPr>
            <w:tcW w:type="dxa" w:w="2160"/>
            <w:vAlign w:val="center"/>
          </w:tcPr>
          <w:p>
            <w:pPr>
              <w:spacing w:after="0"/>
            </w:pPr>
            <w:r/>
            <w:r>
              <w:rPr>
                <w:rFonts w:ascii="Arial" w:hAnsi="Arial" w:eastAsia="Arial"/>
                <w:b w:val="0"/>
                <w:sz w:val="15"/>
              </w:rPr>
              <w:t>Fit</w:t>
            </w:r>
          </w:p>
        </w:tc>
        <w:tc>
          <w:tcPr>
            <w:tcW w:type="dxa" w:w="1440"/>
            <w:vAlign w:val="center"/>
          </w:tcPr>
          <w:p>
            <w:pPr>
              <w:spacing w:after="0"/>
            </w:pPr>
            <w:r/>
            <w:r>
              <w:rPr>
                <w:rFonts w:ascii="Arial" w:hAnsi="Arial" w:eastAsia="Arial"/>
                <w:b w:val="0"/>
                <w:sz w:val="15"/>
              </w:rPr>
              <w:t>31</w:t>
            </w:r>
          </w:p>
        </w:tc>
        <w:tc>
          <w:tcPr>
            <w:tcW w:type="dxa" w:w="1440"/>
            <w:vAlign w:val="center"/>
          </w:tcPr>
          <w:p>
            <w:pPr>
              <w:spacing w:after="0"/>
            </w:pPr>
            <w:r/>
            <w:r>
              <w:rPr>
                <w:rFonts w:ascii="Arial" w:hAnsi="Arial" w:eastAsia="Arial"/>
                <w:b w:val="0"/>
                <w:sz w:val="15"/>
              </w:rPr>
              <w:t>363</w:t>
            </w:r>
          </w:p>
        </w:tc>
        <w:tc>
          <w:tcPr>
            <w:tcW w:type="dxa" w:w="4608"/>
            <w:vAlign w:val="center"/>
          </w:tcPr>
          <w:p>
            <w:pPr>
              <w:spacing w:after="0"/>
            </w:pPr>
            <w:r/>
            <w:r>
              <w:rPr>
                <w:rFonts w:ascii="Arial" w:hAnsi="Arial" w:eastAsia="Arial"/>
                <w:b w:val="0"/>
                <w:sz w:val="15"/>
              </w:rPr>
              <w:t>Parameter estimation</w:t>
            </w:r>
          </w:p>
        </w:tc>
      </w:tr>
      <w:tr>
        <w:trPr>
          <w:cantSplit/>
        </w:trPr>
        <w:tc>
          <w:tcPr>
            <w:tcW w:type="dxa" w:w="2160"/>
            <w:vAlign w:val="center"/>
            <w:shd w:fill="EAF0F8"/>
          </w:tcPr>
          <w:p>
            <w:pPr>
              <w:spacing w:after="0"/>
            </w:pPr>
            <w:r/>
            <w:r>
              <w:rPr>
                <w:rFonts w:ascii="Arial" w:hAnsi="Arial" w:eastAsia="Arial"/>
                <w:b w:val="0"/>
                <w:sz w:val="15"/>
              </w:rPr>
              <w:t>Inner validation</w:t>
            </w:r>
          </w:p>
        </w:tc>
        <w:tc>
          <w:tcPr>
            <w:tcW w:type="dxa" w:w="1440"/>
            <w:vAlign w:val="center"/>
            <w:shd w:fill="EAF0F8"/>
          </w:tcPr>
          <w:p>
            <w:pPr>
              <w:spacing w:after="0"/>
            </w:pPr>
            <w:r/>
            <w:r>
              <w:rPr>
                <w:rFonts w:ascii="Arial" w:hAnsi="Arial" w:eastAsia="Arial"/>
                <w:b w:val="0"/>
                <w:sz w:val="15"/>
              </w:rPr>
              <w:t>6</w:t>
            </w:r>
          </w:p>
        </w:tc>
        <w:tc>
          <w:tcPr>
            <w:tcW w:type="dxa" w:w="1440"/>
            <w:vAlign w:val="center"/>
            <w:shd w:fill="EAF0F8"/>
          </w:tcPr>
          <w:p>
            <w:pPr>
              <w:spacing w:after="0"/>
            </w:pPr>
            <w:r/>
            <w:r>
              <w:rPr>
                <w:rFonts w:ascii="Arial" w:hAnsi="Arial" w:eastAsia="Arial"/>
                <w:b w:val="0"/>
                <w:sz w:val="15"/>
              </w:rPr>
              <w:t>75</w:t>
            </w:r>
          </w:p>
        </w:tc>
        <w:tc>
          <w:tcPr>
            <w:tcW w:type="dxa" w:w="4608"/>
            <w:vAlign w:val="center"/>
            <w:shd w:fill="EAF0F8"/>
          </w:tcPr>
          <w:p>
            <w:pPr>
              <w:spacing w:after="0"/>
            </w:pPr>
            <w:r/>
            <w:r>
              <w:rPr>
                <w:rFonts w:ascii="Arial" w:hAnsi="Arial" w:eastAsia="Arial"/>
                <w:b w:val="0"/>
                <w:sz w:val="15"/>
              </w:rPr>
              <w:t>Stopping/model control</w:t>
            </w:r>
          </w:p>
        </w:tc>
      </w:tr>
      <w:tr>
        <w:trPr>
          <w:cantSplit/>
        </w:trPr>
        <w:tc>
          <w:tcPr>
            <w:tcW w:type="dxa" w:w="2160"/>
            <w:vAlign w:val="center"/>
          </w:tcPr>
          <w:p>
            <w:pPr>
              <w:spacing w:after="0"/>
            </w:pPr>
            <w:r/>
            <w:r>
              <w:rPr>
                <w:rFonts w:ascii="Arial" w:hAnsi="Arial" w:eastAsia="Arial"/>
                <w:b w:val="0"/>
                <w:sz w:val="15"/>
              </w:rPr>
              <w:t>Held out</w:t>
            </w:r>
          </w:p>
        </w:tc>
        <w:tc>
          <w:tcPr>
            <w:tcW w:type="dxa" w:w="1440"/>
            <w:vAlign w:val="center"/>
          </w:tcPr>
          <w:p>
            <w:pPr>
              <w:spacing w:after="0"/>
            </w:pPr>
            <w:r/>
            <w:r>
              <w:rPr>
                <w:rFonts w:ascii="Arial" w:hAnsi="Arial" w:eastAsia="Arial"/>
                <w:b w:val="0"/>
                <w:sz w:val="15"/>
              </w:rPr>
              <w:t>8</w:t>
            </w:r>
          </w:p>
        </w:tc>
        <w:tc>
          <w:tcPr>
            <w:tcW w:type="dxa" w:w="1440"/>
            <w:vAlign w:val="center"/>
          </w:tcPr>
          <w:p>
            <w:pPr>
              <w:spacing w:after="0"/>
            </w:pPr>
            <w:r/>
            <w:r>
              <w:rPr>
                <w:rFonts w:ascii="Arial" w:hAnsi="Arial" w:eastAsia="Arial"/>
                <w:b w:val="0"/>
                <w:sz w:val="15"/>
              </w:rPr>
              <w:t>46</w:t>
            </w:r>
          </w:p>
        </w:tc>
        <w:tc>
          <w:tcPr>
            <w:tcW w:type="dxa" w:w="4608"/>
            <w:vAlign w:val="center"/>
          </w:tcPr>
          <w:p>
            <w:pPr>
              <w:spacing w:after="0"/>
            </w:pPr>
            <w:r/>
            <w:r>
              <w:rPr>
                <w:rFonts w:ascii="Arial" w:hAnsi="Arial" w:eastAsia="Arial"/>
                <w:b w:val="0"/>
                <w:sz w:val="15"/>
              </w:rPr>
              <w:t>Paired final reconstruction</w:t>
            </w:r>
          </w:p>
        </w:tc>
      </w:tr>
    </w:tbl>
    <w:p>
      <w:pPr>
        <w:pStyle w:val="Supplementcaption"/>
        <w:keepNext/>
      </w:pPr>
      <w:r>
        <w:t>Table S13. RQ2 reconstruction v1.1 held-out results at 5%.</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2541"/>
        <w:gridCol w:w="2541"/>
        <w:gridCol w:w="2541"/>
        <w:gridCol w:w="2541"/>
      </w:tblGrid>
      <w:tr>
        <w:trPr>
          <w:tblHeader w:val="true"/>
          <w:cantSplit/>
          <w:tblHeader/>
        </w:trPr>
        <w:tc>
          <w:tcPr>
            <w:tcW w:type="dxa" w:w="2880"/>
            <w:vAlign w:val="center"/>
            <w:shd w:fill="17365D"/>
          </w:tcPr>
          <w:p>
            <w:pPr>
              <w:spacing w:after="0"/>
            </w:pPr>
            <w:r/>
            <w:r>
              <w:rPr>
                <w:rFonts w:ascii="Arial" w:hAnsi="Arial" w:eastAsia="Arial"/>
                <w:b/>
                <w:color w:val="FFFFFF"/>
                <w:sz w:val="15"/>
              </w:rPr>
              <w:t>Metric</w:t>
            </w:r>
          </w:p>
        </w:tc>
        <w:tc>
          <w:tcPr>
            <w:tcW w:type="dxa" w:w="2448"/>
            <w:vAlign w:val="center"/>
            <w:shd w:fill="17365D"/>
          </w:tcPr>
          <w:p>
            <w:pPr>
              <w:spacing w:after="0"/>
            </w:pPr>
            <w:r/>
            <w:r>
              <w:rPr>
                <w:rFonts w:ascii="Arial" w:hAnsi="Arial" w:eastAsia="Arial"/>
                <w:b/>
                <w:color w:val="FFFFFF"/>
                <w:sz w:val="15"/>
              </w:rPr>
              <w:t>NN mean ± SD</w:t>
            </w:r>
          </w:p>
        </w:tc>
        <w:tc>
          <w:tcPr>
            <w:tcW w:type="dxa" w:w="2592"/>
            <w:vAlign w:val="center"/>
            <w:shd w:fill="17365D"/>
          </w:tcPr>
          <w:p>
            <w:pPr>
              <w:spacing w:after="0"/>
            </w:pPr>
            <w:r/>
            <w:r>
              <w:rPr>
                <w:rFonts w:ascii="Arial" w:hAnsi="Arial" w:eastAsia="Arial"/>
                <w:b/>
                <w:color w:val="FFFFFF"/>
                <w:sz w:val="15"/>
              </w:rPr>
              <w:t>KC-NN mean ± SD</w:t>
            </w:r>
          </w:p>
        </w:tc>
        <w:tc>
          <w:tcPr>
            <w:tcW w:type="dxa" w:w="2304"/>
            <w:vAlign w:val="center"/>
            <w:shd w:fill="17365D"/>
          </w:tcPr>
          <w:p>
            <w:pPr>
              <w:spacing w:after="0"/>
            </w:pPr>
            <w:r/>
            <w:r>
              <w:rPr>
                <w:rFonts w:ascii="Arial" w:hAnsi="Arial" w:eastAsia="Arial"/>
                <w:b/>
                <w:color w:val="FFFFFF"/>
                <w:sz w:val="15"/>
              </w:rPr>
              <w:t>Result</w:t>
            </w:r>
          </w:p>
        </w:tc>
      </w:tr>
      <w:tr>
        <w:trPr>
          <w:cantSplit/>
        </w:trPr>
        <w:tc>
          <w:tcPr>
            <w:tcW w:type="dxa" w:w="2880"/>
            <w:vAlign w:val="center"/>
          </w:tcPr>
          <w:p>
            <w:pPr>
              <w:spacing w:after="0"/>
            </w:pPr>
            <w:r/>
            <w:r>
              <w:rPr>
                <w:rFonts w:ascii="Arial" w:hAnsi="Arial" w:eastAsia="Arial"/>
                <w:b w:val="0"/>
                <w:sz w:val="15"/>
              </w:rPr>
              <w:t>Altitude RMSE</w:t>
            </w:r>
          </w:p>
        </w:tc>
        <w:tc>
          <w:tcPr>
            <w:tcW w:type="dxa" w:w="2448"/>
            <w:vAlign w:val="center"/>
          </w:tcPr>
          <w:p>
            <w:pPr>
              <w:spacing w:after="0"/>
            </w:pPr>
            <w:r/>
            <w:r>
              <w:rPr>
                <w:rFonts w:ascii="Arial" w:hAnsi="Arial" w:eastAsia="Arial"/>
                <w:b w:val="0"/>
                <w:sz w:val="15"/>
              </w:rPr>
              <w:t>44.73 ± 3.63</w:t>
            </w:r>
          </w:p>
        </w:tc>
        <w:tc>
          <w:tcPr>
            <w:tcW w:type="dxa" w:w="2592"/>
            <w:vAlign w:val="center"/>
          </w:tcPr>
          <w:p>
            <w:pPr>
              <w:spacing w:after="0"/>
            </w:pPr>
            <w:r/>
            <w:r>
              <w:rPr>
                <w:rFonts w:ascii="Arial" w:hAnsi="Arial" w:eastAsia="Arial"/>
                <w:b w:val="0"/>
                <w:sz w:val="15"/>
              </w:rPr>
              <w:t>57.52 ± 3.46</w:t>
            </w:r>
          </w:p>
        </w:tc>
        <w:tc>
          <w:tcPr>
            <w:tcW w:type="dxa" w:w="2304"/>
            <w:vAlign w:val="center"/>
          </w:tcPr>
          <w:p>
            <w:pPr>
              <w:spacing w:after="0"/>
            </w:pPr>
            <w:r/>
            <w:r>
              <w:rPr>
                <w:rFonts w:ascii="Arial" w:hAnsi="Arial" w:eastAsia="Arial"/>
                <w:b w:val="0"/>
                <w:sz w:val="15"/>
              </w:rPr>
              <w:t>NN lower</w:t>
            </w:r>
          </w:p>
        </w:tc>
      </w:tr>
      <w:tr>
        <w:trPr>
          <w:cantSplit/>
        </w:trPr>
        <w:tc>
          <w:tcPr>
            <w:tcW w:type="dxa" w:w="2880"/>
            <w:vAlign w:val="center"/>
            <w:shd w:fill="EAF0F8"/>
          </w:tcPr>
          <w:p>
            <w:pPr>
              <w:spacing w:after="0"/>
            </w:pPr>
            <w:r/>
            <w:r>
              <w:rPr>
                <w:rFonts w:ascii="Arial" w:hAnsi="Arial" w:eastAsia="Arial"/>
                <w:b w:val="0"/>
                <w:sz w:val="15"/>
              </w:rPr>
              <w:t>Speed RMSE</w:t>
            </w:r>
          </w:p>
        </w:tc>
        <w:tc>
          <w:tcPr>
            <w:tcW w:type="dxa" w:w="2448"/>
            <w:vAlign w:val="center"/>
            <w:shd w:fill="EAF0F8"/>
          </w:tcPr>
          <w:p>
            <w:pPr>
              <w:spacing w:after="0"/>
            </w:pPr>
            <w:r/>
            <w:r>
              <w:rPr>
                <w:rFonts w:ascii="Arial" w:hAnsi="Arial" w:eastAsia="Arial"/>
                <w:b w:val="0"/>
                <w:sz w:val="15"/>
              </w:rPr>
              <w:t>10.14 ± 0.23</w:t>
            </w:r>
          </w:p>
        </w:tc>
        <w:tc>
          <w:tcPr>
            <w:tcW w:type="dxa" w:w="2592"/>
            <w:vAlign w:val="center"/>
            <w:shd w:fill="EAF0F8"/>
          </w:tcPr>
          <w:p>
            <w:pPr>
              <w:spacing w:after="0"/>
            </w:pPr>
            <w:r/>
            <w:r>
              <w:rPr>
                <w:rFonts w:ascii="Arial" w:hAnsi="Arial" w:eastAsia="Arial"/>
                <w:b w:val="0"/>
                <w:sz w:val="15"/>
              </w:rPr>
              <w:t>11.04 ± 0.77</w:t>
            </w:r>
          </w:p>
        </w:tc>
        <w:tc>
          <w:tcPr>
            <w:tcW w:type="dxa" w:w="2304"/>
            <w:vAlign w:val="center"/>
            <w:shd w:fill="EAF0F8"/>
          </w:tcPr>
          <w:p>
            <w:pPr>
              <w:spacing w:after="0"/>
            </w:pPr>
            <w:r/>
            <w:r>
              <w:rPr>
                <w:rFonts w:ascii="Arial" w:hAnsi="Arial" w:eastAsia="Arial"/>
                <w:b w:val="0"/>
                <w:sz w:val="15"/>
              </w:rPr>
              <w:t>NN lower</w:t>
            </w:r>
          </w:p>
        </w:tc>
      </w:tr>
      <w:tr>
        <w:trPr>
          <w:cantSplit/>
        </w:trPr>
        <w:tc>
          <w:tcPr>
            <w:tcW w:type="dxa" w:w="2880"/>
            <w:vAlign w:val="center"/>
          </w:tcPr>
          <w:p>
            <w:pPr>
              <w:spacing w:after="0"/>
            </w:pPr>
            <w:r/>
            <w:r>
              <w:rPr>
                <w:rFonts w:ascii="Arial" w:hAnsi="Arial" w:eastAsia="Arial"/>
                <w:b w:val="0"/>
                <w:sz w:val="15"/>
              </w:rPr>
              <w:t>Standardized composite</w:t>
            </w:r>
          </w:p>
        </w:tc>
        <w:tc>
          <w:tcPr>
            <w:tcW w:type="dxa" w:w="2448"/>
            <w:vAlign w:val="center"/>
          </w:tcPr>
          <w:p>
            <w:pPr>
              <w:spacing w:after="0"/>
            </w:pPr>
            <w:r/>
            <w:r>
              <w:rPr>
                <w:rFonts w:ascii="Arial" w:hAnsi="Arial" w:eastAsia="Arial"/>
                <w:b w:val="0"/>
                <w:sz w:val="15"/>
              </w:rPr>
              <w:t>0.6096 ± 0.0274</w:t>
            </w:r>
          </w:p>
        </w:tc>
        <w:tc>
          <w:tcPr>
            <w:tcW w:type="dxa" w:w="2592"/>
            <w:vAlign w:val="center"/>
          </w:tcPr>
          <w:p>
            <w:pPr>
              <w:spacing w:after="0"/>
            </w:pPr>
            <w:r/>
            <w:r>
              <w:rPr>
                <w:rFonts w:ascii="Arial" w:hAnsi="Arial" w:eastAsia="Arial"/>
                <w:b w:val="0"/>
                <w:sz w:val="15"/>
              </w:rPr>
              <w:t>0.7145 ± 0.0369</w:t>
            </w:r>
          </w:p>
        </w:tc>
        <w:tc>
          <w:tcPr>
            <w:tcW w:type="dxa" w:w="2304"/>
            <w:vAlign w:val="center"/>
          </w:tcPr>
          <w:p>
            <w:pPr>
              <w:spacing w:after="0"/>
            </w:pPr>
            <w:r/>
            <w:r>
              <w:rPr>
                <w:rFonts w:ascii="Arial" w:hAnsi="Arial" w:eastAsia="Arial"/>
                <w:b w:val="0"/>
                <w:sz w:val="15"/>
              </w:rPr>
              <w:t>NN lower</w:t>
            </w:r>
          </w:p>
        </w:tc>
      </w:tr>
      <w:tr>
        <w:trPr>
          <w:cantSplit/>
        </w:trPr>
        <w:tc>
          <w:tcPr>
            <w:tcW w:type="dxa" w:w="2880"/>
            <w:vAlign w:val="center"/>
            <w:shd w:fill="EAF0F8"/>
          </w:tcPr>
          <w:p>
            <w:pPr>
              <w:spacing w:after="0"/>
            </w:pPr>
            <w:r/>
            <w:r>
              <w:rPr>
                <w:rFonts w:ascii="Arial" w:hAnsi="Arial" w:eastAsia="Arial"/>
                <w:b w:val="0"/>
                <w:sz w:val="15"/>
              </w:rPr>
              <w:t>Paired composite difference</w:t>
            </w:r>
          </w:p>
        </w:tc>
        <w:tc>
          <w:tcPr>
            <w:tcW w:type="dxa" w:w="2448"/>
            <w:vAlign w:val="center"/>
            <w:shd w:fill="EAF0F8"/>
          </w:tcPr>
          <w:p>
            <w:pPr>
              <w:spacing w:after="0"/>
            </w:pPr>
            <w:r/>
            <w:r>
              <w:rPr>
                <w:rFonts w:ascii="Arial" w:hAnsi="Arial" w:eastAsia="Arial"/>
                <w:b w:val="0"/>
                <w:sz w:val="15"/>
              </w:rPr>
              <w:t>—</w:t>
            </w:r>
          </w:p>
        </w:tc>
        <w:tc>
          <w:tcPr>
            <w:tcW w:type="dxa" w:w="2592"/>
            <w:vAlign w:val="center"/>
            <w:shd w:fill="EAF0F8"/>
          </w:tcPr>
          <w:p>
            <w:pPr>
              <w:spacing w:after="0"/>
            </w:pPr>
            <w:r/>
            <w:r>
              <w:rPr>
                <w:rFonts w:ascii="Arial" w:hAnsi="Arial" w:eastAsia="Arial"/>
                <w:b w:val="0"/>
                <w:sz w:val="15"/>
              </w:rPr>
              <w:t>+0.1049 ± 0.0558</w:t>
            </w:r>
          </w:p>
        </w:tc>
        <w:tc>
          <w:tcPr>
            <w:tcW w:type="dxa" w:w="2304"/>
            <w:vAlign w:val="center"/>
            <w:shd w:fill="EAF0F8"/>
          </w:tcPr>
          <w:p>
            <w:pPr>
              <w:spacing w:after="0"/>
            </w:pPr>
            <w:r/>
            <w:r>
              <w:rPr>
                <w:rFonts w:ascii="Arial" w:hAnsi="Arial" w:eastAsia="Arial"/>
                <w:b w:val="0"/>
                <w:sz w:val="15"/>
              </w:rPr>
              <w:t>Positive = KC-NN worse</w:t>
            </w:r>
          </w:p>
        </w:tc>
      </w:tr>
      <w:tr>
        <w:trPr>
          <w:cantSplit/>
        </w:trPr>
        <w:tc>
          <w:tcPr>
            <w:tcW w:type="dxa" w:w="2880"/>
            <w:vAlign w:val="center"/>
          </w:tcPr>
          <w:p>
            <w:pPr>
              <w:spacing w:after="0"/>
            </w:pPr>
            <w:r/>
            <w:r>
              <w:rPr>
                <w:rFonts w:ascii="Arial" w:hAnsi="Arial" w:eastAsia="Arial"/>
                <w:b w:val="0"/>
                <w:sz w:val="15"/>
              </w:rPr>
              <w:t>Seed-level wins</w:t>
            </w:r>
          </w:p>
        </w:tc>
        <w:tc>
          <w:tcPr>
            <w:tcW w:type="dxa" w:w="2448"/>
            <w:vAlign w:val="center"/>
          </w:tcPr>
          <w:p>
            <w:pPr>
              <w:spacing w:after="0"/>
            </w:pPr>
            <w:r/>
            <w:r>
              <w:rPr>
                <w:rFonts w:ascii="Arial" w:hAnsi="Arial" w:eastAsia="Arial"/>
                <w:b w:val="0"/>
                <w:sz w:val="15"/>
              </w:rPr>
              <w:t>—</w:t>
            </w:r>
          </w:p>
        </w:tc>
        <w:tc>
          <w:tcPr>
            <w:tcW w:type="dxa" w:w="2592"/>
            <w:vAlign w:val="center"/>
          </w:tcPr>
          <w:p>
            <w:pPr>
              <w:spacing w:after="0"/>
            </w:pPr>
            <w:r/>
            <w:r>
              <w:rPr>
                <w:rFonts w:ascii="Arial" w:hAnsi="Arial" w:eastAsia="Arial"/>
                <w:b w:val="0"/>
                <w:sz w:val="15"/>
              </w:rPr>
              <w:t>0/5</w:t>
            </w:r>
          </w:p>
        </w:tc>
        <w:tc>
          <w:tcPr>
            <w:tcW w:type="dxa" w:w="2304"/>
            <w:vAlign w:val="center"/>
          </w:tcPr>
          <w:p>
            <w:pPr>
              <w:spacing w:after="0"/>
            </w:pPr>
            <w:r/>
            <w:r>
              <w:rPr>
                <w:rFonts w:ascii="Arial" w:hAnsi="Arial" w:eastAsia="Arial"/>
                <w:b w:val="0"/>
                <w:sz w:val="15"/>
              </w:rPr>
              <w:t>KC-NN</w:t>
            </w:r>
          </w:p>
        </w:tc>
      </w:tr>
    </w:tbl>
    <w:p>
      <w:pPr>
        <w:pStyle w:val="Supplementnote"/>
      </w:pPr>
      <w:r>
        <w:t>The ± value for the paired difference is the sample standard deviation across the five paired seeds, not a confidence interval.</w:t>
      </w:r>
    </w:p>
    <w:p>
      <w:pPr>
        <w:pStyle w:val="Supplementcaption"/>
        <w:keepNext/>
      </w:pPr>
      <w:r>
        <w:t>Table S14. RQ2 held-out groups in reconstruction v1.1.</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3389"/>
        <w:gridCol w:w="3389"/>
        <w:gridCol w:w="3389"/>
      </w:tblGrid>
      <w:tr>
        <w:trPr>
          <w:tblHeader w:val="true"/>
          <w:cantSplit/>
          <w:tblHeader/>
        </w:trPr>
        <w:tc>
          <w:tcPr>
            <w:tcW w:type="dxa" w:w="3744"/>
            <w:vAlign w:val="center"/>
            <w:shd w:fill="17365D"/>
          </w:tcPr>
          <w:p>
            <w:pPr>
              <w:spacing w:after="0"/>
            </w:pPr>
            <w:r/>
            <w:r>
              <w:rPr>
                <w:rFonts w:ascii="Arial" w:hAnsi="Arial" w:eastAsia="Arial"/>
                <w:b/>
                <w:color w:val="FFFFFF"/>
                <w:sz w:val="15"/>
              </w:rPr>
              <w:t>Group</w:t>
            </w:r>
          </w:p>
        </w:tc>
        <w:tc>
          <w:tcPr>
            <w:tcW w:type="dxa" w:w="1152"/>
            <w:vAlign w:val="center"/>
            <w:shd w:fill="17365D"/>
          </w:tcPr>
          <w:p>
            <w:pPr>
              <w:spacing w:after="0"/>
            </w:pPr>
            <w:r/>
            <w:r>
              <w:rPr>
                <w:rFonts w:ascii="Arial" w:hAnsi="Arial" w:eastAsia="Arial"/>
                <w:b/>
                <w:color w:val="FFFFFF"/>
                <w:sz w:val="15"/>
              </w:rPr>
              <w:t>Flights</w:t>
            </w:r>
          </w:p>
        </w:tc>
        <w:tc>
          <w:tcPr>
            <w:tcW w:type="dxa" w:w="5472"/>
            <w:vAlign w:val="center"/>
            <w:shd w:fill="17365D"/>
          </w:tcPr>
          <w:p>
            <w:pPr>
              <w:spacing w:after="0"/>
            </w:pPr>
            <w:r/>
            <w:r>
              <w:rPr>
                <w:rFonts w:ascii="Arial" w:hAnsi="Arial" w:eastAsia="Arial"/>
                <w:b/>
                <w:color w:val="FFFFFF"/>
                <w:sz w:val="15"/>
              </w:rPr>
              <w:t>Direction of mean paired difference</w:t>
            </w:r>
          </w:p>
        </w:tc>
      </w:tr>
      <w:tr>
        <w:trPr>
          <w:cantSplit/>
        </w:trPr>
        <w:tc>
          <w:tcPr>
            <w:tcW w:type="dxa" w:w="3744"/>
            <w:vAlign w:val="center"/>
          </w:tcPr>
          <w:p>
            <w:pPr>
              <w:spacing w:after="0"/>
            </w:pPr>
            <w:r/>
            <w:r>
              <w:rPr>
                <w:rFonts w:ascii="Arial" w:hAnsi="Arial" w:eastAsia="Arial"/>
                <w:b w:val="0"/>
                <w:sz w:val="15"/>
              </w:rPr>
              <w:t>Big Bessie</w:t>
            </w:r>
          </w:p>
        </w:tc>
        <w:tc>
          <w:tcPr>
            <w:tcW w:type="dxa" w:w="1152"/>
            <w:vAlign w:val="center"/>
          </w:tcPr>
          <w:p>
            <w:pPr>
              <w:spacing w:after="0"/>
            </w:pPr>
            <w:r/>
            <w:r>
              <w:rPr>
                <w:rFonts w:ascii="Arial" w:hAnsi="Arial" w:eastAsia="Arial"/>
                <w:b w:val="0"/>
                <w:sz w:val="15"/>
              </w:rPr>
              <w:t>6</w:t>
            </w:r>
          </w:p>
        </w:tc>
        <w:tc>
          <w:tcPr>
            <w:tcW w:type="dxa" w:w="5472"/>
            <w:vAlign w:val="center"/>
          </w:tcPr>
          <w:p>
            <w:pPr>
              <w:spacing w:after="0"/>
            </w:pPr>
            <w:r/>
            <w:r>
              <w:rPr>
                <w:rFonts w:ascii="Arial" w:hAnsi="Arial" w:eastAsia="Arial"/>
                <w:b w:val="0"/>
                <w:sz w:val="15"/>
              </w:rPr>
              <w:t>KC-NN mean lower; uncertainty crosses zero</w:t>
            </w:r>
          </w:p>
        </w:tc>
      </w:tr>
      <w:tr>
        <w:trPr>
          <w:cantSplit/>
        </w:trPr>
        <w:tc>
          <w:tcPr>
            <w:tcW w:type="dxa" w:w="3744"/>
            <w:vAlign w:val="center"/>
            <w:shd w:fill="EAF0F8"/>
          </w:tcPr>
          <w:p>
            <w:pPr>
              <w:spacing w:after="0"/>
            </w:pPr>
            <w:r/>
            <w:r>
              <w:rPr>
                <w:rFonts w:ascii="Arial" w:hAnsi="Arial" w:eastAsia="Arial"/>
                <w:b w:val="0"/>
                <w:sz w:val="15"/>
              </w:rPr>
              <w:t>Aphelion 2</w:t>
            </w:r>
          </w:p>
        </w:tc>
        <w:tc>
          <w:tcPr>
            <w:tcW w:type="dxa" w:w="1152"/>
            <w:vAlign w:val="center"/>
            <w:shd w:fill="EAF0F8"/>
          </w:tcPr>
          <w:p>
            <w:pPr>
              <w:spacing w:after="0"/>
            </w:pPr>
            <w:r/>
            <w:r>
              <w:rPr>
                <w:rFonts w:ascii="Arial" w:hAnsi="Arial" w:eastAsia="Arial"/>
                <w:b w:val="0"/>
                <w:sz w:val="15"/>
              </w:rPr>
              <w:t>5</w:t>
            </w:r>
          </w:p>
        </w:tc>
        <w:tc>
          <w:tcPr>
            <w:tcW w:type="dxa" w:w="5472"/>
            <w:vAlign w:val="center"/>
            <w:shd w:fill="EAF0F8"/>
          </w:tcPr>
          <w:p>
            <w:pPr>
              <w:spacing w:after="0"/>
            </w:pPr>
            <w:r/>
            <w:r>
              <w:rPr>
                <w:rFonts w:ascii="Arial" w:hAnsi="Arial" w:eastAsia="Arial"/>
                <w:b w:val="0"/>
                <w:sz w:val="15"/>
              </w:rPr>
              <w:t>NN lower</w:t>
            </w:r>
          </w:p>
        </w:tc>
      </w:tr>
      <w:tr>
        <w:trPr>
          <w:cantSplit/>
        </w:trPr>
        <w:tc>
          <w:tcPr>
            <w:tcW w:type="dxa" w:w="3744"/>
            <w:vAlign w:val="center"/>
          </w:tcPr>
          <w:p>
            <w:pPr>
              <w:spacing w:after="0"/>
            </w:pPr>
            <w:r/>
            <w:r>
              <w:rPr>
                <w:rFonts w:ascii="Arial" w:hAnsi="Arial" w:eastAsia="Arial"/>
                <w:b w:val="0"/>
                <w:sz w:val="15"/>
              </w:rPr>
              <w:t>Zenith II</w:t>
            </w:r>
          </w:p>
        </w:tc>
        <w:tc>
          <w:tcPr>
            <w:tcW w:type="dxa" w:w="1152"/>
            <w:vAlign w:val="center"/>
          </w:tcPr>
          <w:p>
            <w:pPr>
              <w:spacing w:after="0"/>
            </w:pPr>
            <w:r/>
            <w:r>
              <w:rPr>
                <w:rFonts w:ascii="Arial" w:hAnsi="Arial" w:eastAsia="Arial"/>
                <w:b w:val="0"/>
                <w:sz w:val="15"/>
              </w:rPr>
              <w:t>6</w:t>
            </w:r>
          </w:p>
        </w:tc>
        <w:tc>
          <w:tcPr>
            <w:tcW w:type="dxa" w:w="5472"/>
            <w:vAlign w:val="center"/>
          </w:tcPr>
          <w:p>
            <w:pPr>
              <w:spacing w:after="0"/>
            </w:pPr>
            <w:r/>
            <w:r>
              <w:rPr>
                <w:rFonts w:ascii="Arial" w:hAnsi="Arial" w:eastAsia="Arial"/>
                <w:b w:val="0"/>
                <w:sz w:val="15"/>
              </w:rPr>
              <w:t>NN lower</w:t>
            </w:r>
          </w:p>
        </w:tc>
      </w:tr>
      <w:tr>
        <w:trPr>
          <w:cantSplit/>
        </w:trPr>
        <w:tc>
          <w:tcPr>
            <w:tcW w:type="dxa" w:w="3744"/>
            <w:vAlign w:val="center"/>
            <w:shd w:fill="EAF0F8"/>
          </w:tcPr>
          <w:p>
            <w:pPr>
              <w:spacing w:after="0"/>
            </w:pPr>
            <w:r/>
            <w:r>
              <w:rPr>
                <w:rFonts w:ascii="Arial" w:hAnsi="Arial" w:eastAsia="Arial"/>
                <w:b w:val="0"/>
                <w:sz w:val="15"/>
              </w:rPr>
              <w:t>Trident 2</w:t>
            </w:r>
          </w:p>
        </w:tc>
        <w:tc>
          <w:tcPr>
            <w:tcW w:type="dxa" w:w="1152"/>
            <w:vAlign w:val="center"/>
            <w:shd w:fill="EAF0F8"/>
          </w:tcPr>
          <w:p>
            <w:pPr>
              <w:spacing w:after="0"/>
            </w:pPr>
            <w:r/>
            <w:r>
              <w:rPr>
                <w:rFonts w:ascii="Arial" w:hAnsi="Arial" w:eastAsia="Arial"/>
                <w:b w:val="0"/>
                <w:sz w:val="15"/>
              </w:rPr>
              <w:t>6</w:t>
            </w:r>
          </w:p>
        </w:tc>
        <w:tc>
          <w:tcPr>
            <w:tcW w:type="dxa" w:w="5472"/>
            <w:vAlign w:val="center"/>
            <w:shd w:fill="EAF0F8"/>
          </w:tcPr>
          <w:p>
            <w:pPr>
              <w:spacing w:after="0"/>
            </w:pPr>
            <w:r/>
            <w:r>
              <w:rPr>
                <w:rFonts w:ascii="Arial" w:hAnsi="Arial" w:eastAsia="Arial"/>
                <w:b w:val="0"/>
                <w:sz w:val="15"/>
              </w:rPr>
              <w:t>NN lower</w:t>
            </w:r>
          </w:p>
        </w:tc>
      </w:tr>
      <w:tr>
        <w:trPr>
          <w:cantSplit/>
        </w:trPr>
        <w:tc>
          <w:tcPr>
            <w:tcW w:type="dxa" w:w="3744"/>
            <w:vAlign w:val="center"/>
          </w:tcPr>
          <w:p>
            <w:pPr>
              <w:spacing w:after="0"/>
            </w:pPr>
            <w:r/>
            <w:r>
              <w:rPr>
                <w:rFonts w:ascii="Arial" w:hAnsi="Arial" w:eastAsia="Arial"/>
                <w:b w:val="0"/>
                <w:sz w:val="15"/>
              </w:rPr>
              <w:t>Super Mars Snooper</w:t>
            </w:r>
          </w:p>
        </w:tc>
        <w:tc>
          <w:tcPr>
            <w:tcW w:type="dxa" w:w="1152"/>
            <w:vAlign w:val="center"/>
          </w:tcPr>
          <w:p>
            <w:pPr>
              <w:spacing w:after="0"/>
            </w:pPr>
            <w:r/>
            <w:r>
              <w:rPr>
                <w:rFonts w:ascii="Arial" w:hAnsi="Arial" w:eastAsia="Arial"/>
                <w:b w:val="0"/>
                <w:sz w:val="15"/>
              </w:rPr>
              <w:t>5</w:t>
            </w:r>
          </w:p>
        </w:tc>
        <w:tc>
          <w:tcPr>
            <w:tcW w:type="dxa" w:w="5472"/>
            <w:vAlign w:val="center"/>
          </w:tcPr>
          <w:p>
            <w:pPr>
              <w:spacing w:after="0"/>
            </w:pPr>
            <w:r/>
            <w:r>
              <w:rPr>
                <w:rFonts w:ascii="Arial" w:hAnsi="Arial" w:eastAsia="Arial"/>
                <w:b w:val="0"/>
                <w:sz w:val="15"/>
              </w:rPr>
              <w:t>NN lower</w:t>
            </w:r>
          </w:p>
        </w:tc>
      </w:tr>
      <w:tr>
        <w:trPr>
          <w:cantSplit/>
        </w:trPr>
        <w:tc>
          <w:tcPr>
            <w:tcW w:type="dxa" w:w="3744"/>
            <w:vAlign w:val="center"/>
            <w:shd w:fill="EAF0F8"/>
          </w:tcPr>
          <w:p>
            <w:pPr>
              <w:spacing w:after="0"/>
            </w:pPr>
            <w:r/>
            <w:r>
              <w:rPr>
                <w:rFonts w:ascii="Arial" w:hAnsi="Arial" w:eastAsia="Arial"/>
                <w:b w:val="0"/>
                <w:sz w:val="15"/>
              </w:rPr>
              <w:t>Sterling Silver (single stage)</w:t>
            </w:r>
          </w:p>
        </w:tc>
        <w:tc>
          <w:tcPr>
            <w:tcW w:type="dxa" w:w="1152"/>
            <w:vAlign w:val="center"/>
            <w:shd w:fill="EAF0F8"/>
          </w:tcPr>
          <w:p>
            <w:pPr>
              <w:spacing w:after="0"/>
            </w:pPr>
            <w:r/>
            <w:r>
              <w:rPr>
                <w:rFonts w:ascii="Arial" w:hAnsi="Arial" w:eastAsia="Arial"/>
                <w:b w:val="0"/>
                <w:sz w:val="15"/>
              </w:rPr>
              <w:t>5</w:t>
            </w:r>
          </w:p>
        </w:tc>
        <w:tc>
          <w:tcPr>
            <w:tcW w:type="dxa" w:w="5472"/>
            <w:vAlign w:val="center"/>
            <w:shd w:fill="EAF0F8"/>
          </w:tcPr>
          <w:p>
            <w:pPr>
              <w:spacing w:after="0"/>
            </w:pPr>
            <w:r/>
            <w:r>
              <w:rPr>
                <w:rFonts w:ascii="Arial" w:hAnsi="Arial" w:eastAsia="Arial"/>
                <w:b w:val="0"/>
                <w:sz w:val="15"/>
              </w:rPr>
              <w:t>NN lower</w:t>
            </w:r>
          </w:p>
        </w:tc>
      </w:tr>
      <w:tr>
        <w:trPr>
          <w:cantSplit/>
        </w:trPr>
        <w:tc>
          <w:tcPr>
            <w:tcW w:type="dxa" w:w="3744"/>
            <w:vAlign w:val="center"/>
          </w:tcPr>
          <w:p>
            <w:pPr>
              <w:spacing w:after="0"/>
            </w:pPr>
            <w:r/>
            <w:r>
              <w:rPr>
                <w:rFonts w:ascii="Arial" w:hAnsi="Arial" w:eastAsia="Arial"/>
                <w:b w:val="0"/>
                <w:sz w:val="15"/>
              </w:rPr>
              <w:t>Orbitron</w:t>
            </w:r>
          </w:p>
        </w:tc>
        <w:tc>
          <w:tcPr>
            <w:tcW w:type="dxa" w:w="1152"/>
            <w:vAlign w:val="center"/>
          </w:tcPr>
          <w:p>
            <w:pPr>
              <w:spacing w:after="0"/>
            </w:pPr>
            <w:r/>
            <w:r>
              <w:rPr>
                <w:rFonts w:ascii="Arial" w:hAnsi="Arial" w:eastAsia="Arial"/>
                <w:b w:val="0"/>
                <w:sz w:val="15"/>
              </w:rPr>
              <w:t>6</w:t>
            </w:r>
          </w:p>
        </w:tc>
        <w:tc>
          <w:tcPr>
            <w:tcW w:type="dxa" w:w="5472"/>
            <w:vAlign w:val="center"/>
          </w:tcPr>
          <w:p>
            <w:pPr>
              <w:spacing w:after="0"/>
            </w:pPr>
            <w:r/>
            <w:r>
              <w:rPr>
                <w:rFonts w:ascii="Arial" w:hAnsi="Arial" w:eastAsia="Arial"/>
                <w:b w:val="0"/>
                <w:sz w:val="15"/>
              </w:rPr>
              <w:t>NN lower</w:t>
            </w:r>
          </w:p>
        </w:tc>
      </w:tr>
      <w:tr>
        <w:trPr>
          <w:cantSplit/>
        </w:trPr>
        <w:tc>
          <w:tcPr>
            <w:tcW w:type="dxa" w:w="3744"/>
            <w:vAlign w:val="center"/>
            <w:shd w:fill="EAF0F8"/>
          </w:tcPr>
          <w:p>
            <w:pPr>
              <w:spacing w:after="0"/>
            </w:pPr>
            <w:r/>
            <w:r>
              <w:rPr>
                <w:rFonts w:ascii="Arial" w:hAnsi="Arial" w:eastAsia="Arial"/>
                <w:b w:val="0"/>
                <w:sz w:val="15"/>
              </w:rPr>
              <w:t>Nova Payloader 256</w:t>
            </w:r>
          </w:p>
        </w:tc>
        <w:tc>
          <w:tcPr>
            <w:tcW w:type="dxa" w:w="1152"/>
            <w:vAlign w:val="center"/>
            <w:shd w:fill="EAF0F8"/>
          </w:tcPr>
          <w:p>
            <w:pPr>
              <w:spacing w:after="0"/>
            </w:pPr>
            <w:r/>
            <w:r>
              <w:rPr>
                <w:rFonts w:ascii="Arial" w:hAnsi="Arial" w:eastAsia="Arial"/>
                <w:b w:val="0"/>
                <w:sz w:val="15"/>
              </w:rPr>
              <w:t>7</w:t>
            </w:r>
          </w:p>
        </w:tc>
        <w:tc>
          <w:tcPr>
            <w:tcW w:type="dxa" w:w="5472"/>
            <w:vAlign w:val="center"/>
            <w:shd w:fill="EAF0F8"/>
          </w:tcPr>
          <w:p>
            <w:pPr>
              <w:spacing w:after="0"/>
            </w:pPr>
            <w:r/>
            <w:r>
              <w:rPr>
                <w:rFonts w:ascii="Arial" w:hAnsi="Arial" w:eastAsia="Arial"/>
                <w:b w:val="0"/>
                <w:sz w:val="15"/>
              </w:rPr>
              <w:t>NN lower</w:t>
            </w:r>
          </w:p>
        </w:tc>
      </w:tr>
    </w:tbl>
    <w:p>
      <w:pPr>
        <w:pStyle w:val="Supplementnote"/>
      </w:pPr>
      <w:r>
        <w:t>Seven of eight groups favored NN. Big Bessie was the only negative group mean, and its uncertainty crossed zero.</w:t>
      </w:r>
    </w:p>
    <w:p>
      <w:r>
        <w:t>Reconstruction v1.1 corrected optimizer conformance and excluded the earlier AdamW diagnostic from confirmatory inference. It is labeled “confirmatory reconstruction” because the implementation and split were fixed before v1.1 execution, but it is not a pristine sealed test: the historical 41-group split artifact was unavailable and prior aggregate outcomes had already been exposed.</w:t>
      </w:r>
    </w:p>
    <w:p>
      <w:pPr>
        <w:pStyle w:val="Heading1"/>
      </w:pPr>
      <w:r>
        <w:t>S8. Measurement-channel consistency audit</w:t>
      </w:r>
    </w:p>
    <w:p>
      <w:r>
        <w:t>Across the 335-flight historical development corpus, the per-flight root-mean-square mismatch between finite-difference altitude rate and the supplied velocity channel averaged 5.55 m/s (median 4.50 m/s). This statistic is a magnitude measure, not a signed bias, and it does not identify a unique cause. Plausible contributors include speed-versus-vertical-velocity semantics, independent filtering, timing offsets, quantization, pressure-altitude conversion, sensor noise, and genuinely nonvertical motion.</w:t>
      </w:r>
    </w:p>
    <w:p>
      <w:r>
        <w:t>The mismatch audit is consistent with channel inconsistency as a possible contributor to the unfavorable penalty result, but it does not isolate that cause. The archived residual also has the centering offset documented in S7, and the two datasets use different observation and supervision protocols. The evidence therefore supports cautious evaluation of channel-coupling penalties, not a controlled cross-dataset causal comparison.</w:t>
      </w:r>
    </w:p>
    <w:p>
      <w:pPr>
        <w:pStyle w:val="Heading1"/>
      </w:pPr>
      <w:r>
        <w:t>S9. Reproducibility and integrity records</w:t>
      </w:r>
    </w:p>
    <w:p>
      <w:pPr>
        <w:pStyle w:val="Supplementcaption"/>
        <w:keepNext/>
      </w:pPr>
      <w:r>
        <w:t>Table S15. Frozen workflow fingerprints and replay checks.</w:t>
      </w:r>
    </w:p>
    <w:tbl>
      <w:tblPr>
        <w:tblStyle w:val="TableGrid"/>
        <w:tblW w:type="auto" w:w="0"/>
        <w:jc w:val="center"/>
        <w:tblLook w:firstColumn="1" w:firstRow="1" w:lastColumn="0" w:lastRow="0" w:noHBand="0" w:noVBand="1" w:val="04A0"/>
        <w:tblCellMar>
          <w:top w:w="50" w:type="dxa"/>
          <w:left w:w="65" w:type="dxa"/>
          <w:bottom w:w="50" w:type="dxa"/>
          <w:right w:w="65" w:type="dxa"/>
        </w:tblCellMar>
      </w:tblPr>
      <w:tblGrid>
        <w:gridCol w:w="3389"/>
        <w:gridCol w:w="3389"/>
        <w:gridCol w:w="3389"/>
      </w:tblGrid>
      <w:tr>
        <w:trPr>
          <w:tblHeader w:val="true"/>
          <w:cantSplit/>
          <w:tblHeader/>
        </w:trPr>
        <w:tc>
          <w:tcPr>
            <w:tcW w:type="dxa" w:w="2880"/>
            <w:vAlign w:val="center"/>
            <w:shd w:fill="17365D"/>
          </w:tcPr>
          <w:p>
            <w:pPr>
              <w:spacing w:after="0"/>
            </w:pPr>
            <w:r/>
            <w:r>
              <w:rPr>
                <w:rFonts w:ascii="Arial" w:hAnsi="Arial" w:eastAsia="Arial"/>
                <w:b/>
                <w:color w:val="FFFFFF"/>
                <w:sz w:val="15"/>
              </w:rPr>
              <w:t>Artifact / run family</w:t>
            </w:r>
          </w:p>
        </w:tc>
        <w:tc>
          <w:tcPr>
            <w:tcW w:type="dxa" w:w="5616"/>
            <w:vAlign w:val="center"/>
            <w:shd w:fill="17365D"/>
          </w:tcPr>
          <w:p>
            <w:pPr>
              <w:spacing w:after="0"/>
            </w:pPr>
            <w:r/>
            <w:r>
              <w:rPr>
                <w:rFonts w:ascii="Arial" w:hAnsi="Arial" w:eastAsia="Arial"/>
                <w:b/>
                <w:color w:val="FFFFFF"/>
                <w:sz w:val="15"/>
              </w:rPr>
              <w:t>Integrity record</w:t>
            </w:r>
          </w:p>
        </w:tc>
        <w:tc>
          <w:tcPr>
            <w:tcW w:type="dxa" w:w="2880"/>
            <w:vAlign w:val="center"/>
            <w:shd w:fill="17365D"/>
          </w:tcPr>
          <w:p>
            <w:pPr>
              <w:spacing w:after="0"/>
            </w:pPr>
            <w:r/>
            <w:r>
              <w:rPr>
                <w:rFonts w:ascii="Arial" w:hAnsi="Arial" w:eastAsia="Arial"/>
                <w:b/>
                <w:color w:val="FFFFFF"/>
                <w:sz w:val="15"/>
              </w:rPr>
              <w:t>Verification</w:t>
            </w:r>
          </w:p>
        </w:tc>
      </w:tr>
      <w:tr>
        <w:trPr>
          <w:cantSplit/>
        </w:trPr>
        <w:tc>
          <w:tcPr>
            <w:tcW w:type="dxa" w:w="2880"/>
            <w:vAlign w:val="center"/>
          </w:tcPr>
          <w:p>
            <w:pPr>
              <w:spacing w:after="0"/>
            </w:pPr>
            <w:r/>
            <w:r>
              <w:rPr>
                <w:rFonts w:ascii="Arial" w:hAnsi="Arial" w:eastAsia="Arial"/>
                <w:b w:val="0"/>
                <w:sz w:val="15"/>
              </w:rPr>
              <w:t>RQ1 locked manifest</w:t>
            </w:r>
          </w:p>
        </w:tc>
        <w:tc>
          <w:tcPr>
            <w:tcW w:type="dxa" w:w="5616"/>
            <w:vAlign w:val="center"/>
          </w:tcPr>
          <w:p>
            <w:pPr>
              <w:spacing w:after="0"/>
            </w:pPr>
            <w:r/>
            <w:r>
              <w:rPr>
                <w:rFonts w:ascii="Arial" w:hAnsi="Arial" w:eastAsia="Arial"/>
                <w:b w:val="0"/>
                <w:sz w:val="15"/>
              </w:rPr>
              <w:t>89728925fd31f436dbb9438556157e7a030ce7ee881b557cdad434257b2fa64b</w:t>
            </w:r>
          </w:p>
        </w:tc>
        <w:tc>
          <w:tcPr>
            <w:tcW w:type="dxa" w:w="2880"/>
            <w:vAlign w:val="center"/>
          </w:tcPr>
          <w:p>
            <w:pPr>
              <w:spacing w:after="0"/>
            </w:pPr>
            <w:r/>
            <w:r>
              <w:rPr>
                <w:rFonts w:ascii="Arial" w:hAnsi="Arial" w:eastAsia="Arial"/>
                <w:b w:val="0"/>
                <w:sz w:val="15"/>
              </w:rPr>
              <w:t>98 main runs completed/replayed</w:t>
            </w:r>
          </w:p>
        </w:tc>
      </w:tr>
      <w:tr>
        <w:trPr>
          <w:cantSplit/>
        </w:trPr>
        <w:tc>
          <w:tcPr>
            <w:tcW w:type="dxa" w:w="2880"/>
            <w:vAlign w:val="center"/>
            <w:shd w:fill="EAF0F8"/>
          </w:tcPr>
          <w:p>
            <w:pPr>
              <w:spacing w:after="0"/>
            </w:pPr>
            <w:r/>
            <w:r>
              <w:rPr>
                <w:rFonts w:ascii="Arial" w:hAnsi="Arial" w:eastAsia="Arial"/>
                <w:b w:val="0"/>
                <w:sz w:val="15"/>
              </w:rPr>
              <w:t>Iridium family manifest</w:t>
            </w:r>
          </w:p>
        </w:tc>
        <w:tc>
          <w:tcPr>
            <w:tcW w:type="dxa" w:w="5616"/>
            <w:vAlign w:val="center"/>
            <w:shd w:fill="EAF0F8"/>
          </w:tcPr>
          <w:p>
            <w:pPr>
              <w:spacing w:after="0"/>
            </w:pPr>
            <w:r/>
            <w:r>
              <w:rPr>
                <w:rFonts w:ascii="Arial" w:hAnsi="Arial" w:eastAsia="Arial"/>
                <w:b w:val="0"/>
                <w:sz w:val="15"/>
              </w:rPr>
              <w:t>6a536dcb970f45ceac5987fa2e4f29ef006d9d3dedb7e3263dc1d93a85028813</w:t>
            </w:r>
          </w:p>
        </w:tc>
        <w:tc>
          <w:tcPr>
            <w:tcW w:type="dxa" w:w="2880"/>
            <w:vAlign w:val="center"/>
            <w:shd w:fill="EAF0F8"/>
          </w:tcPr>
          <w:p>
            <w:pPr>
              <w:spacing w:after="0"/>
            </w:pPr>
            <w:r/>
            <w:r>
              <w:rPr>
                <w:rFonts w:ascii="Arial" w:hAnsi="Arial" w:eastAsia="Arial"/>
                <w:b w:val="0"/>
                <w:sz w:val="15"/>
              </w:rPr>
              <w:t>75 runs completed/replayed</w:t>
            </w:r>
          </w:p>
        </w:tc>
      </w:tr>
      <w:tr>
        <w:trPr>
          <w:cantSplit/>
        </w:trPr>
        <w:tc>
          <w:tcPr>
            <w:tcW w:type="dxa" w:w="2880"/>
            <w:vAlign w:val="center"/>
          </w:tcPr>
          <w:p>
            <w:pPr>
              <w:spacing w:after="0"/>
            </w:pPr>
            <w:r/>
            <w:r>
              <w:rPr>
                <w:rFonts w:ascii="Arial" w:hAnsi="Arial" w:eastAsia="Arial"/>
                <w:b w:val="0"/>
                <w:sz w:val="15"/>
              </w:rPr>
              <w:t>Iridium mask record</w:t>
            </w:r>
          </w:p>
        </w:tc>
        <w:tc>
          <w:tcPr>
            <w:tcW w:type="dxa" w:w="5616"/>
            <w:vAlign w:val="center"/>
          </w:tcPr>
          <w:p>
            <w:pPr>
              <w:spacing w:after="0"/>
            </w:pPr>
            <w:r/>
            <w:r>
              <w:rPr>
                <w:rFonts w:ascii="Arial" w:hAnsi="Arial" w:eastAsia="Arial"/>
                <w:b w:val="0"/>
                <w:sz w:val="15"/>
              </w:rPr>
              <w:t>984d0f748060ca8f58d1da3cb8084cad0dd56f63442dc86b91fab6d99abfe8a9</w:t>
            </w:r>
          </w:p>
        </w:tc>
        <w:tc>
          <w:tcPr>
            <w:tcW w:type="dxa" w:w="2880"/>
            <w:vAlign w:val="center"/>
          </w:tcPr>
          <w:p>
            <w:pPr>
              <w:spacing w:after="0"/>
            </w:pPr>
            <w:r/>
            <w:r>
              <w:rPr>
                <w:rFonts w:ascii="Arial" w:hAnsi="Arial" w:eastAsia="Arial"/>
                <w:b w:val="0"/>
                <w:sz w:val="15"/>
              </w:rPr>
              <w:t>No original NEXT-5 test trajectories used</w:t>
            </w:r>
          </w:p>
        </w:tc>
      </w:tr>
      <w:tr>
        <w:trPr>
          <w:cantSplit/>
        </w:trPr>
        <w:tc>
          <w:tcPr>
            <w:tcW w:type="dxa" w:w="2880"/>
            <w:vAlign w:val="center"/>
            <w:shd w:fill="EAF0F8"/>
          </w:tcPr>
          <w:p>
            <w:pPr>
              <w:spacing w:after="0"/>
            </w:pPr>
            <w:r/>
            <w:r>
              <w:rPr>
                <w:rFonts w:ascii="Arial" w:hAnsi="Arial" w:eastAsia="Arial"/>
                <w:b w:val="0"/>
                <w:sz w:val="15"/>
              </w:rPr>
              <w:t>RQ2 reconstruction v1.1</w:t>
            </w:r>
          </w:p>
        </w:tc>
        <w:tc>
          <w:tcPr>
            <w:tcW w:type="dxa" w:w="5616"/>
            <w:vAlign w:val="center"/>
            <w:shd w:fill="EAF0F8"/>
          </w:tcPr>
          <w:p>
            <w:pPr>
              <w:spacing w:after="0"/>
            </w:pPr>
            <w:r/>
            <w:r>
              <w:rPr>
                <w:rFonts w:ascii="Arial" w:hAnsi="Arial" w:eastAsia="Arial"/>
                <w:b w:val="0"/>
                <w:sz w:val="15"/>
              </w:rPr>
              <w:t>9efc8c68fc63ac7603e471e101571417017ac5bfb51398fa2f718396761f8782</w:t>
            </w:r>
          </w:p>
        </w:tc>
        <w:tc>
          <w:tcPr>
            <w:tcW w:type="dxa" w:w="2880"/>
            <w:vAlign w:val="center"/>
            <w:shd w:fill="EAF0F8"/>
          </w:tcPr>
          <w:p>
            <w:pPr>
              <w:spacing w:after="0"/>
            </w:pPr>
            <w:r/>
            <w:r>
              <w:rPr>
                <w:rFonts w:ascii="Arial" w:hAnsi="Arial" w:eastAsia="Arial"/>
                <w:b w:val="0"/>
                <w:sz w:val="15"/>
              </w:rPr>
              <w:t>10 checkpoints replayed within 1e-12</w:t>
            </w:r>
          </w:p>
        </w:tc>
      </w:tr>
    </w:tbl>
    <w:p>
      <w:r>
        <w:t>A reproducible run record should include source-file identifiers, split membership, preprocessing configuration, mask hash, seed, optimizer settings, stopping epoch, model checkpoint hash, software environment, and final metrics. Fingerprints above identify the frozen analysis records used for the article; they are not substitutes for depositing the corresponding machine-readable files.</w:t>
      </w:r>
    </w:p>
    <w:p>
      <w:pPr>
        <w:pStyle w:val="Heading1"/>
      </w:pPr>
      <w:r>
        <w:t>S10. Data, code, sources, and submission checklist</w:t>
      </w:r>
    </w:p>
    <w:p>
      <w:pPr>
        <w:pStyle w:val="Heading2"/>
      </w:pPr>
      <w:r>
        <w:t>S10.1 Data provenance and sharing boundary</w:t>
      </w:r>
    </w:p>
    <w:p>
      <w:r>
        <w:t>RQ1 results derive from the archived trajectory cohort and split records described above. RQ2 used publicly accessible FlightSketch flight pages and downloadable CSV files. Public download access supports inspection and analysis but does not by itself establish a license to republish the raw files. Accordingly, this SI reports derived metadata, aggregate statistics, and integrity identifiers; the third-party raw CSV files are not included in the package.</w:t>
      </w:r>
    </w:p>
    <w:p>
      <w:pPr>
        <w:pStyle w:val="Heading2"/>
      </w:pPr>
      <w:r>
        <w:t>S10.2 Public code and archival identifiers</w:t>
      </w:r>
    </w:p>
    <w:p>
      <w:pPr>
        <w:pStyle w:val="ListBullet"/>
        <w:spacing w:after="30"/>
      </w:pPr>
      <w:r>
        <w:t>The public version 0.9.0 reproducibility archive is https://doi.org/10.5281/zenodo.23080487. The maintained repository is https://github.com/kaganyurtk/sparse-trajectory-reconstruction. The archived files are a frozen snapshot; this submission supplement updates availability and implementation descriptions without modifying archived numerical records.</w:t>
      </w:r>
    </w:p>
    <w:p>
      <w:pPr>
        <w:pStyle w:val="ListBullet"/>
        <w:spacing w:after="30"/>
      </w:pPr>
      <w:r>
        <w:t>FlightSketch and its flight-log contributors are acknowledged as the data sources. The public flight index is https://flightsketch.com/flight-filter/ and individual records are available at https://flightsketch.com/flights/&lt;id&gt;/. Raw telemetry is not redistributed in the package.</w:t>
      </w:r>
    </w:p>
    <w:p>
      <w:pPr>
        <w:pStyle w:val="ListBullet"/>
        <w:spacing w:after="30"/>
      </w:pPr>
      <w:r>
        <w:t>Recovered_Experiment_Records_v0.9.0.zip contains the original RQ1 final package, NEXT-5 ablation and Iridium-family packages, and RQ2 reconstruction v1.1 split, manifest, checkpoints and historical verification records. The RQ1 inner split matches the deposited implementation.</w:t>
      </w:r>
    </w:p>
    <w:p>
      <w:pPr>
        <w:pStyle w:val="ListBullet"/>
        <w:spacing w:after="30"/>
      </w:pPr>
      <w:r>
        <w:t>The repository software and documentation licenses do not extend to third-party telemetry. Source attribution and any applicable source terms continue to apply to the underlying data.</w:t>
      </w:r>
    </w:p>
    <w:p>
      <w:pPr>
        <w:pStyle w:val="ListBullet"/>
        <w:spacing w:after="30"/>
      </w:pPr>
      <w:r>
        <w:t>RECOVERED_RECORDS_VERIFICATION.json records the archive-integrity and split-consistency checks performed during package recovery. These checks do not constitute a new training run or metric replay. The later OFFLINE_REPLAY_AUDIT_2026-10-01.md recomputes saved RQ1 prediction metrics and RQ2 summary arithmetic without a fresh raw-telemetry replay.</w:t>
      </w:r>
    </w:p>
    <w:p>
      <w:r>
        <w:t>The deposited historical records retain the analysis fingerprints in Table S15. Running the recovered workflows requires permitted source data and configuration of historical paths. The assembled package has not yet undergone a clean-environment end-to-end replay.</w:t>
      </w:r>
    </w:p>
    <w:sectPr w:rsidR="00FC693F" w:rsidRPr="0006063C" w:rsidSect="00034616">
      <w:footerReference w:type="default" r:id="rId9"/>
      <w:pgSz w:w="12240" w:h="15840"/>
      <w:pgMar w:top="806" w:right="1037" w:bottom="72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Supplementary Information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pplementcaption">
    <w:name w:val="Supplement caption"/>
    <w:pPr>
      <w:keepNext/>
      <w:spacing w:before="100" w:after="40"/>
    </w:pPr>
    <w:rPr>
      <w:rFonts w:ascii="Arial" w:hAnsi="Arial" w:eastAsia="Arial"/>
      <w:b/>
      <w:color w:val="404040"/>
      <w:sz w:val="17"/>
    </w:rPr>
  </w:style>
  <w:style w:type="paragraph" w:customStyle="1" w:styleId="Supplementnote">
    <w:name w:val="Supplement note"/>
    <w:pPr>
      <w:spacing w:after="80"/>
    </w:pPr>
    <w:rPr>
      <w:rFonts w:ascii="Times New Roman" w:hAnsi="Times New Roman" w:eastAsia="Times New Roman"/>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 Sparse trajectory reconstruction across two real-flight datasets</dc:title>
  <dc:subject>Acta Astronautica supplementary information</dc:subject>
  <dc:creator>Kağan Yurtkölesi</dc:creator>
  <cp:keywords>trajectory reconstruction; kinematic constraints; sparse observations; Falcon 9; FlightSketch</cp:keywords>
  <dc:description>generated by python-docx</dc:description>
  <cp:lastModifiedBy/>
  <cp:revision>1</cp:revision>
  <dcterms:created xsi:type="dcterms:W3CDTF">2013-12-23T23:15:00Z</dcterms:created>
  <dcterms:modified xsi:type="dcterms:W3CDTF">2013-12-23T23:15:00Z</dcterms:modified>
  <cp:category/>
</cp:coreProperties>
</file>