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A64C8" w14:textId="56FA56DB" w:rsidR="00476D15" w:rsidRPr="00592EAC" w:rsidRDefault="00592EAC" w:rsidP="00592EAC">
      <w:pPr>
        <w:jc w:val="center"/>
        <w:rPr>
          <w:rStyle w:val="a3"/>
          <w:sz w:val="28"/>
          <w:szCs w:val="28"/>
        </w:rPr>
      </w:pPr>
      <w:r w:rsidRPr="00592EAC">
        <w:rPr>
          <w:rStyle w:val="a3"/>
          <w:sz w:val="28"/>
          <w:szCs w:val="28"/>
        </w:rPr>
        <w:t xml:space="preserve">Кейс </w:t>
      </w:r>
      <w:r>
        <w:rPr>
          <w:rStyle w:val="a3"/>
          <w:sz w:val="28"/>
          <w:szCs w:val="28"/>
        </w:rPr>
        <w:t>«</w:t>
      </w:r>
      <w:r w:rsidR="00B75E3F">
        <w:rPr>
          <w:rStyle w:val="a3"/>
          <w:sz w:val="28"/>
          <w:szCs w:val="28"/>
        </w:rPr>
        <w:t>Моделирование пиковых часов потребления электроэнергии</w:t>
      </w:r>
      <w:r>
        <w:rPr>
          <w:rStyle w:val="a3"/>
          <w:sz w:val="28"/>
          <w:szCs w:val="28"/>
        </w:rPr>
        <w:t>»</w:t>
      </w:r>
    </w:p>
    <w:p w14:paraId="328FF5CD" w14:textId="5EE0EDC2" w:rsidR="00592EAC" w:rsidRDefault="00592EAC" w:rsidP="00592EAC">
      <w:pPr>
        <w:tabs>
          <w:tab w:val="left" w:pos="1129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1FFBFF19" w14:textId="57D08FC5" w:rsidR="00556B18" w:rsidRDefault="00556B18" w:rsidP="00556B18">
      <w:pPr>
        <w:ind w:firstLine="567"/>
      </w:pPr>
      <w:r w:rsidRPr="00556B18">
        <w:rPr>
          <w:b/>
          <w:bCs/>
        </w:rPr>
        <w:t>Час пиковой</w:t>
      </w:r>
      <w:r w:rsidRPr="00556B18">
        <w:t xml:space="preserve"> </w:t>
      </w:r>
      <w:r w:rsidRPr="00556B18">
        <w:rPr>
          <w:b/>
          <w:bCs/>
        </w:rPr>
        <w:t>нагрузки</w:t>
      </w:r>
      <w:r w:rsidRPr="00556B18">
        <w:t xml:space="preserve"> — это час в каждом рабочем дне, в котором потребление электроэнергии в регионе было максимальным.</w:t>
      </w:r>
    </w:p>
    <w:p w14:paraId="5131DB91" w14:textId="6138EE17" w:rsidR="009B28B5" w:rsidRDefault="00556B18" w:rsidP="007326F9">
      <w:pPr>
        <w:ind w:firstLine="567"/>
      </w:pPr>
      <w:r>
        <w:t>От того, насколько много субъектов потребля</w:t>
      </w:r>
      <w:r w:rsidR="007B5FF2">
        <w:t>ю</w:t>
      </w:r>
      <w:r>
        <w:t xml:space="preserve">т электроэнергию в каждый час, зависит стоимость </w:t>
      </w:r>
      <w:proofErr w:type="spellStart"/>
      <w:r>
        <w:t>МВт.ч</w:t>
      </w:r>
      <w:proofErr w:type="spellEnd"/>
      <w:r>
        <w:t xml:space="preserve">, потребленного в этот час. </w:t>
      </w:r>
    </w:p>
    <w:p w14:paraId="760E1F9D" w14:textId="3C10CA49" w:rsidR="00E26110" w:rsidRPr="007326F9" w:rsidRDefault="00556B18" w:rsidP="007326F9">
      <w:pPr>
        <w:ind w:firstLine="567"/>
      </w:pPr>
      <w:r>
        <w:t>В случае</w:t>
      </w:r>
      <w:r w:rsidR="009B28B5">
        <w:t>,</w:t>
      </w:r>
      <w:r>
        <w:t xml:space="preserve"> если известны часы наибольшего потребления электроэнергии в сутках</w:t>
      </w:r>
      <w:r w:rsidR="009B28B5">
        <w:t>,</w:t>
      </w:r>
      <w:r>
        <w:t xml:space="preserve"> субъект </w:t>
      </w:r>
      <w:r w:rsidR="009B28B5">
        <w:t xml:space="preserve">(промышленное предприятие) </w:t>
      </w:r>
      <w:r>
        <w:t>может переносить потребление на другие часы (останавливать производство на некоторое время). Это позволяет оптимизировать расходы на оплату электроэнергии.</w:t>
      </w:r>
    </w:p>
    <w:p w14:paraId="12395829" w14:textId="6F6F0710" w:rsidR="007326F9" w:rsidRPr="007326F9" w:rsidRDefault="007326F9" w:rsidP="007326F9">
      <w:pPr>
        <w:ind w:firstLine="567"/>
      </w:pPr>
      <w:r w:rsidRPr="007326F9">
        <w:t xml:space="preserve">Предполагается использование </w:t>
      </w:r>
      <w:r w:rsidR="00556B18">
        <w:t>статистики по потреблению электроэнергии по субъектам РФ (Пермский край и Тюменская область) для прогнозирования пиковых часов потребления электроэнергии.</w:t>
      </w:r>
    </w:p>
    <w:p w14:paraId="5A677E43" w14:textId="280AD880" w:rsidR="007326F9" w:rsidRPr="00EE486A" w:rsidRDefault="00EB3090" w:rsidP="00592EAC">
      <w:pPr>
        <w:tabs>
          <w:tab w:val="left" w:pos="1129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E486A">
        <w:rPr>
          <w:rFonts w:ascii="Times New Roman" w:hAnsi="Times New Roman" w:cs="Times New Roman"/>
          <w:b/>
          <w:bCs/>
        </w:rPr>
        <w:t xml:space="preserve">Перечень </w:t>
      </w:r>
      <w:r w:rsidR="00876626">
        <w:rPr>
          <w:rFonts w:ascii="Times New Roman" w:hAnsi="Times New Roman" w:cs="Times New Roman"/>
          <w:b/>
          <w:bCs/>
        </w:rPr>
        <w:t>источников</w:t>
      </w:r>
      <w:r w:rsidRPr="00EE486A">
        <w:rPr>
          <w:rFonts w:ascii="Times New Roman" w:hAnsi="Times New Roman" w:cs="Times New Roman"/>
          <w:b/>
          <w:bCs/>
        </w:rPr>
        <w:t xml:space="preserve"> для использования:</w:t>
      </w:r>
    </w:p>
    <w:tbl>
      <w:tblPr>
        <w:tblStyle w:val="GridTableLight"/>
        <w:tblW w:w="9776" w:type="dxa"/>
        <w:tblLook w:val="04A0" w:firstRow="1" w:lastRow="0" w:firstColumn="1" w:lastColumn="0" w:noHBand="0" w:noVBand="1"/>
      </w:tblPr>
      <w:tblGrid>
        <w:gridCol w:w="346"/>
        <w:gridCol w:w="4752"/>
        <w:gridCol w:w="4678"/>
      </w:tblGrid>
      <w:tr w:rsidR="00EB3090" w:rsidRPr="00FD3EC1" w14:paraId="4E3CD33D" w14:textId="77777777" w:rsidTr="005A38EE">
        <w:trPr>
          <w:trHeight w:val="315"/>
          <w:tblHeader/>
        </w:trPr>
        <w:tc>
          <w:tcPr>
            <w:tcW w:w="346" w:type="dxa"/>
            <w:shd w:val="clear" w:color="auto" w:fill="F2F2F2" w:themeFill="background1" w:themeFillShade="F2"/>
            <w:vAlign w:val="center"/>
            <w:hideMark/>
          </w:tcPr>
          <w:p w14:paraId="550E28B7" w14:textId="77777777" w:rsidR="00EB3090" w:rsidRPr="00FD3EC1" w:rsidRDefault="00EB3090" w:rsidP="002144FF">
            <w:pPr>
              <w:rPr>
                <w:b/>
                <w:sz w:val="22"/>
                <w:szCs w:val="22"/>
              </w:rPr>
            </w:pPr>
            <w:r w:rsidRPr="00FD3EC1"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  <w:hideMark/>
          </w:tcPr>
          <w:p w14:paraId="1B3CDA29" w14:textId="56C24C7F" w:rsidR="00EB3090" w:rsidRPr="00FD3EC1" w:rsidRDefault="00EB3090" w:rsidP="002144F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Ресурс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  <w:hideMark/>
          </w:tcPr>
          <w:p w14:paraId="088A1D08" w14:textId="47369E12" w:rsidR="00EB3090" w:rsidRPr="00FD3EC1" w:rsidRDefault="00EB3090" w:rsidP="002144FF">
            <w:pPr>
              <w:rPr>
                <w:b/>
                <w:sz w:val="22"/>
                <w:szCs w:val="22"/>
              </w:rPr>
            </w:pPr>
            <w:r w:rsidRPr="00FD3EC1">
              <w:rPr>
                <w:b/>
                <w:sz w:val="22"/>
                <w:szCs w:val="22"/>
              </w:rPr>
              <w:t>Описание</w:t>
            </w:r>
          </w:p>
        </w:tc>
      </w:tr>
      <w:tr w:rsidR="00EB3090" w:rsidRPr="00FD3EC1" w14:paraId="0F3869ED" w14:textId="77777777" w:rsidTr="005A38EE">
        <w:trPr>
          <w:trHeight w:val="315"/>
        </w:trPr>
        <w:tc>
          <w:tcPr>
            <w:tcW w:w="346" w:type="dxa"/>
            <w:vAlign w:val="center"/>
            <w:hideMark/>
          </w:tcPr>
          <w:p w14:paraId="0E80A9F3" w14:textId="77777777" w:rsidR="00EB3090" w:rsidRPr="00FD3EC1" w:rsidRDefault="00EB3090" w:rsidP="002144FF">
            <w:pPr>
              <w:rPr>
                <w:sz w:val="22"/>
                <w:szCs w:val="22"/>
              </w:rPr>
            </w:pPr>
            <w:r w:rsidRPr="00FD3EC1">
              <w:rPr>
                <w:sz w:val="22"/>
                <w:szCs w:val="22"/>
              </w:rPr>
              <w:t>1</w:t>
            </w:r>
          </w:p>
        </w:tc>
        <w:tc>
          <w:tcPr>
            <w:tcW w:w="4752" w:type="dxa"/>
            <w:vAlign w:val="center"/>
            <w:hideMark/>
          </w:tcPr>
          <w:p w14:paraId="79047A22" w14:textId="1DE5D227" w:rsidR="005A38EE" w:rsidRPr="00FD3EC1" w:rsidRDefault="00876626" w:rsidP="005A38EE">
            <w:pPr>
              <w:rPr>
                <w:sz w:val="22"/>
                <w:szCs w:val="22"/>
              </w:rPr>
            </w:pPr>
            <w:r w:rsidRPr="00876626">
              <w:t>pik_chas2022.pdf</w:t>
            </w:r>
          </w:p>
        </w:tc>
        <w:tc>
          <w:tcPr>
            <w:tcW w:w="4678" w:type="dxa"/>
            <w:vAlign w:val="center"/>
            <w:hideMark/>
          </w:tcPr>
          <w:p w14:paraId="3079EBB9" w14:textId="77777777" w:rsidR="00876626" w:rsidRPr="00876626" w:rsidRDefault="00876626" w:rsidP="00876626">
            <w:pPr>
              <w:rPr>
                <w:sz w:val="22"/>
                <w:szCs w:val="22"/>
              </w:rPr>
            </w:pPr>
            <w:r w:rsidRPr="00876626">
              <w:rPr>
                <w:sz w:val="22"/>
                <w:szCs w:val="22"/>
              </w:rPr>
              <w:t>Плановые часы пиковой нагрузки на 2021 год для территорий, отнесенных к ценовым зонам оптового рынка</w:t>
            </w:r>
          </w:p>
          <w:p w14:paraId="5054DC17" w14:textId="77777777" w:rsidR="00876626" w:rsidRPr="00876626" w:rsidRDefault="00876626" w:rsidP="00876626">
            <w:pPr>
              <w:rPr>
                <w:sz w:val="22"/>
                <w:szCs w:val="22"/>
              </w:rPr>
            </w:pPr>
            <w:r w:rsidRPr="00876626">
              <w:rPr>
                <w:sz w:val="22"/>
                <w:szCs w:val="22"/>
              </w:rPr>
              <w:t>электрической энергии и мощности, и территорий, отнесенных к неценовым зонам оптового рынка</w:t>
            </w:r>
          </w:p>
          <w:p w14:paraId="3BCE66A8" w14:textId="628C4DEC" w:rsidR="00EB3090" w:rsidRPr="005A38EE" w:rsidRDefault="00876626" w:rsidP="00876626">
            <w:pPr>
              <w:rPr>
                <w:sz w:val="22"/>
                <w:szCs w:val="22"/>
              </w:rPr>
            </w:pPr>
            <w:r w:rsidRPr="00876626">
              <w:rPr>
                <w:sz w:val="22"/>
                <w:szCs w:val="22"/>
              </w:rPr>
              <w:t>электрической энергии и мощности</w:t>
            </w:r>
          </w:p>
        </w:tc>
      </w:tr>
      <w:tr w:rsidR="00D56D8B" w:rsidRPr="00FD3EC1" w14:paraId="26F4BF1C" w14:textId="77777777" w:rsidTr="005A38EE">
        <w:trPr>
          <w:trHeight w:val="315"/>
        </w:trPr>
        <w:tc>
          <w:tcPr>
            <w:tcW w:w="346" w:type="dxa"/>
            <w:vAlign w:val="center"/>
          </w:tcPr>
          <w:p w14:paraId="39FF03A5" w14:textId="24C9C174" w:rsidR="00D56D8B" w:rsidRDefault="003E6140" w:rsidP="00D56D8B">
            <w:r>
              <w:t>2</w:t>
            </w:r>
          </w:p>
        </w:tc>
        <w:tc>
          <w:tcPr>
            <w:tcW w:w="4752" w:type="dxa"/>
            <w:vAlign w:val="center"/>
          </w:tcPr>
          <w:p w14:paraId="6C1D8957" w14:textId="77777777" w:rsidR="00D56D8B" w:rsidRDefault="00D56D8B" w:rsidP="00D56D8B">
            <w:r w:rsidRPr="001277A0">
              <w:t>Плановое потребление электроэнергии_Пермский_край.csv</w:t>
            </w:r>
          </w:p>
          <w:p w14:paraId="073BA9F6" w14:textId="448DA061" w:rsidR="00D56D8B" w:rsidRDefault="00D56D8B" w:rsidP="00D56D8B">
            <w:r w:rsidRPr="001277A0">
              <w:t xml:space="preserve">Плановое потребление </w:t>
            </w:r>
            <w:proofErr w:type="spellStart"/>
            <w:r w:rsidRPr="001277A0">
              <w:t>электроэнергии_Тюменская</w:t>
            </w:r>
            <w:proofErr w:type="spellEnd"/>
            <w:r w:rsidRPr="001277A0">
              <w:t xml:space="preserve"> область.csv</w:t>
            </w:r>
          </w:p>
        </w:tc>
        <w:tc>
          <w:tcPr>
            <w:tcW w:w="4678" w:type="dxa"/>
            <w:vAlign w:val="center"/>
          </w:tcPr>
          <w:p w14:paraId="16F3EDC1" w14:textId="199F5E32" w:rsidR="00485FAE" w:rsidRPr="00485FAE" w:rsidRDefault="00D56D8B" w:rsidP="00D56D8B">
            <w:r w:rsidRPr="004853E4">
              <w:t>Отчет о торгах по субъектам РФ ЕЭС</w:t>
            </w:r>
          </w:p>
        </w:tc>
      </w:tr>
      <w:tr w:rsidR="00D56D8B" w:rsidRPr="00FD3EC1" w14:paraId="4F14B455" w14:textId="77777777" w:rsidTr="005A38EE">
        <w:trPr>
          <w:trHeight w:val="315"/>
        </w:trPr>
        <w:tc>
          <w:tcPr>
            <w:tcW w:w="346" w:type="dxa"/>
            <w:vAlign w:val="center"/>
          </w:tcPr>
          <w:p w14:paraId="36C091B2" w14:textId="41FB9EB9" w:rsidR="00D56D8B" w:rsidRDefault="003E6140" w:rsidP="00D56D8B">
            <w:r>
              <w:t>3</w:t>
            </w:r>
          </w:p>
        </w:tc>
        <w:tc>
          <w:tcPr>
            <w:tcW w:w="4752" w:type="dxa"/>
            <w:vAlign w:val="center"/>
          </w:tcPr>
          <w:p w14:paraId="2DE88F60" w14:textId="77777777" w:rsidR="00D56D8B" w:rsidRDefault="00D56D8B" w:rsidP="00D56D8B">
            <w:r w:rsidRPr="001277A0">
              <w:t>Фактическое потребление электроэнергии_Пермский_край.csv</w:t>
            </w:r>
          </w:p>
          <w:p w14:paraId="14A23621" w14:textId="7C036C82" w:rsidR="00D56D8B" w:rsidRDefault="00D56D8B" w:rsidP="00D56D8B">
            <w:r w:rsidRPr="001277A0">
              <w:t xml:space="preserve">Фактическое потребление </w:t>
            </w:r>
            <w:proofErr w:type="spellStart"/>
            <w:r w:rsidRPr="001277A0">
              <w:t>электроэнергии_Тюменская</w:t>
            </w:r>
            <w:proofErr w:type="spellEnd"/>
            <w:r w:rsidRPr="001277A0">
              <w:t xml:space="preserve"> область.csv</w:t>
            </w:r>
          </w:p>
        </w:tc>
        <w:tc>
          <w:tcPr>
            <w:tcW w:w="4678" w:type="dxa"/>
            <w:vAlign w:val="center"/>
          </w:tcPr>
          <w:p w14:paraId="2E034903" w14:textId="0912EB24" w:rsidR="00D56D8B" w:rsidRPr="000968FE" w:rsidRDefault="00D56D8B" w:rsidP="00D56D8B">
            <w:r w:rsidRPr="004853E4">
              <w:t>Суммарное фактическое потребление электрической энергии в субъекте РФ</w:t>
            </w:r>
          </w:p>
        </w:tc>
      </w:tr>
      <w:tr w:rsidR="00AB354B" w:rsidRPr="00FD3EC1" w14:paraId="34D3E201" w14:textId="77777777" w:rsidTr="005A38EE">
        <w:trPr>
          <w:trHeight w:val="315"/>
        </w:trPr>
        <w:tc>
          <w:tcPr>
            <w:tcW w:w="346" w:type="dxa"/>
            <w:vAlign w:val="center"/>
          </w:tcPr>
          <w:p w14:paraId="6BFCD1AA" w14:textId="3F91FF14" w:rsidR="00AB354B" w:rsidRDefault="00AB354B" w:rsidP="00D56D8B">
            <w:r>
              <w:t>4</w:t>
            </w:r>
          </w:p>
        </w:tc>
        <w:tc>
          <w:tcPr>
            <w:tcW w:w="4752" w:type="dxa"/>
            <w:vAlign w:val="center"/>
          </w:tcPr>
          <w:p w14:paraId="5D0445FD" w14:textId="3E1DC748" w:rsidR="00AB354B" w:rsidRPr="001277A0" w:rsidRDefault="00AB354B" w:rsidP="00D56D8B">
            <w:proofErr w:type="spellStart"/>
            <w:r w:rsidRPr="00AB354B">
              <w:t>t_calendar_days</w:t>
            </w:r>
            <w:proofErr w:type="spellEnd"/>
          </w:p>
        </w:tc>
        <w:tc>
          <w:tcPr>
            <w:tcW w:w="4678" w:type="dxa"/>
            <w:vAlign w:val="center"/>
          </w:tcPr>
          <w:p w14:paraId="07FDF605" w14:textId="37382523" w:rsidR="00AB354B" w:rsidRPr="004853E4" w:rsidRDefault="00AB354B" w:rsidP="00D56D8B">
            <w:r>
              <w:t>Трудовой календарь</w:t>
            </w:r>
          </w:p>
        </w:tc>
      </w:tr>
    </w:tbl>
    <w:p w14:paraId="3426B9DF" w14:textId="77777777" w:rsidR="00876626" w:rsidRDefault="00876626" w:rsidP="00876626">
      <w:pPr>
        <w:tabs>
          <w:tab w:val="left" w:pos="1129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3F6259F" w14:textId="4CB581B8" w:rsidR="00EB3090" w:rsidRDefault="00876626" w:rsidP="00592EAC">
      <w:pPr>
        <w:tabs>
          <w:tab w:val="left" w:pos="112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EE486A">
        <w:rPr>
          <w:rFonts w:ascii="Times New Roman" w:hAnsi="Times New Roman" w:cs="Times New Roman"/>
          <w:b/>
          <w:bCs/>
        </w:rPr>
        <w:t xml:space="preserve">Перечень </w:t>
      </w:r>
      <w:r>
        <w:rPr>
          <w:rFonts w:ascii="Times New Roman" w:hAnsi="Times New Roman" w:cs="Times New Roman"/>
          <w:b/>
          <w:bCs/>
        </w:rPr>
        <w:t xml:space="preserve">дополнительных </w:t>
      </w:r>
      <w:r w:rsidRPr="00EE486A">
        <w:rPr>
          <w:rFonts w:ascii="Times New Roman" w:hAnsi="Times New Roman" w:cs="Times New Roman"/>
          <w:b/>
          <w:bCs/>
        </w:rPr>
        <w:t xml:space="preserve">ресурсов для </w:t>
      </w:r>
      <w:r>
        <w:rPr>
          <w:rFonts w:ascii="Times New Roman" w:hAnsi="Times New Roman" w:cs="Times New Roman"/>
          <w:b/>
          <w:bCs/>
        </w:rPr>
        <w:t>информации</w:t>
      </w:r>
      <w:r w:rsidRPr="00EE486A">
        <w:rPr>
          <w:rFonts w:ascii="Times New Roman" w:hAnsi="Times New Roman" w:cs="Times New Roman"/>
          <w:b/>
          <w:bCs/>
        </w:rPr>
        <w:t>:</w:t>
      </w:r>
    </w:p>
    <w:tbl>
      <w:tblPr>
        <w:tblStyle w:val="GridTableLight"/>
        <w:tblW w:w="9776" w:type="dxa"/>
        <w:tblLook w:val="04A0" w:firstRow="1" w:lastRow="0" w:firstColumn="1" w:lastColumn="0" w:noHBand="0" w:noVBand="1"/>
      </w:tblPr>
      <w:tblGrid>
        <w:gridCol w:w="346"/>
        <w:gridCol w:w="4752"/>
        <w:gridCol w:w="4678"/>
      </w:tblGrid>
      <w:tr w:rsidR="00876626" w:rsidRPr="00FD3EC1" w14:paraId="4C262071" w14:textId="77777777" w:rsidTr="00B603B7">
        <w:trPr>
          <w:trHeight w:val="315"/>
          <w:tblHeader/>
        </w:trPr>
        <w:tc>
          <w:tcPr>
            <w:tcW w:w="346" w:type="dxa"/>
            <w:shd w:val="clear" w:color="auto" w:fill="F2F2F2" w:themeFill="background1" w:themeFillShade="F2"/>
            <w:vAlign w:val="center"/>
            <w:hideMark/>
          </w:tcPr>
          <w:p w14:paraId="7BE936F6" w14:textId="77777777" w:rsidR="00876626" w:rsidRPr="00FD3EC1" w:rsidRDefault="00876626" w:rsidP="00B603B7">
            <w:pPr>
              <w:rPr>
                <w:b/>
                <w:sz w:val="22"/>
                <w:szCs w:val="22"/>
              </w:rPr>
            </w:pPr>
            <w:r w:rsidRPr="00FD3EC1"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  <w:hideMark/>
          </w:tcPr>
          <w:p w14:paraId="3CEE7E44" w14:textId="77777777" w:rsidR="00876626" w:rsidRPr="00FD3EC1" w:rsidRDefault="00876626" w:rsidP="00B603B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Ресурс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  <w:hideMark/>
          </w:tcPr>
          <w:p w14:paraId="246EDD22" w14:textId="77777777" w:rsidR="00876626" w:rsidRPr="00FD3EC1" w:rsidRDefault="00876626" w:rsidP="00B603B7">
            <w:pPr>
              <w:rPr>
                <w:b/>
                <w:sz w:val="22"/>
                <w:szCs w:val="22"/>
              </w:rPr>
            </w:pPr>
            <w:r w:rsidRPr="00FD3EC1">
              <w:rPr>
                <w:b/>
                <w:sz w:val="22"/>
                <w:szCs w:val="22"/>
              </w:rPr>
              <w:t>Описание</w:t>
            </w:r>
          </w:p>
        </w:tc>
      </w:tr>
      <w:tr w:rsidR="00876626" w:rsidRPr="00FD3EC1" w14:paraId="05AF01F9" w14:textId="77777777" w:rsidTr="00876626">
        <w:trPr>
          <w:trHeight w:val="315"/>
        </w:trPr>
        <w:tc>
          <w:tcPr>
            <w:tcW w:w="346" w:type="dxa"/>
            <w:vAlign w:val="center"/>
            <w:hideMark/>
          </w:tcPr>
          <w:p w14:paraId="6DB766A4" w14:textId="77777777" w:rsidR="00876626" w:rsidRPr="00FD3EC1" w:rsidRDefault="00876626" w:rsidP="00B603B7">
            <w:pPr>
              <w:rPr>
                <w:sz w:val="22"/>
                <w:szCs w:val="22"/>
              </w:rPr>
            </w:pPr>
            <w:r w:rsidRPr="00FD3EC1">
              <w:rPr>
                <w:sz w:val="22"/>
                <w:szCs w:val="22"/>
              </w:rPr>
              <w:t>1</w:t>
            </w:r>
          </w:p>
        </w:tc>
        <w:tc>
          <w:tcPr>
            <w:tcW w:w="4752" w:type="dxa"/>
            <w:vAlign w:val="center"/>
          </w:tcPr>
          <w:p w14:paraId="2FE98862" w14:textId="77EB2FC5" w:rsidR="00876626" w:rsidRPr="00FD3EC1" w:rsidRDefault="00D56D8B" w:rsidP="00B603B7">
            <w:pPr>
              <w:rPr>
                <w:sz w:val="22"/>
                <w:szCs w:val="22"/>
              </w:rPr>
            </w:pPr>
            <w:r w:rsidRPr="00D56D8B">
              <w:rPr>
                <w:sz w:val="22"/>
                <w:szCs w:val="22"/>
              </w:rPr>
              <w:t>https://www.atsenergo.ru/results/market</w:t>
            </w:r>
          </w:p>
        </w:tc>
        <w:tc>
          <w:tcPr>
            <w:tcW w:w="4678" w:type="dxa"/>
            <w:vAlign w:val="center"/>
          </w:tcPr>
          <w:p w14:paraId="2D21D32C" w14:textId="669BDC11" w:rsidR="00876626" w:rsidRPr="005A38EE" w:rsidRDefault="00D56D8B" w:rsidP="00B603B7">
            <w:pPr>
              <w:rPr>
                <w:sz w:val="22"/>
                <w:szCs w:val="22"/>
              </w:rPr>
            </w:pPr>
            <w:r w:rsidRPr="00D56D8B">
              <w:rPr>
                <w:sz w:val="22"/>
                <w:szCs w:val="22"/>
              </w:rPr>
              <w:t>Отнесение регионов РФ к ценовым / неценовым зонам</w:t>
            </w:r>
          </w:p>
        </w:tc>
      </w:tr>
      <w:tr w:rsidR="00876626" w:rsidRPr="00FD3EC1" w14:paraId="65C8A0C9" w14:textId="77777777" w:rsidTr="00B603B7">
        <w:trPr>
          <w:trHeight w:val="315"/>
        </w:trPr>
        <w:tc>
          <w:tcPr>
            <w:tcW w:w="346" w:type="dxa"/>
            <w:vAlign w:val="center"/>
          </w:tcPr>
          <w:p w14:paraId="67452DE1" w14:textId="751D78A5" w:rsidR="00876626" w:rsidRDefault="003E6140" w:rsidP="00B603B7">
            <w:r>
              <w:t>2</w:t>
            </w:r>
          </w:p>
        </w:tc>
        <w:tc>
          <w:tcPr>
            <w:tcW w:w="4752" w:type="dxa"/>
            <w:vAlign w:val="center"/>
          </w:tcPr>
          <w:p w14:paraId="63FDF5BD" w14:textId="2D3D0ABE" w:rsidR="00876626" w:rsidRDefault="00D56D8B" w:rsidP="00B603B7">
            <w:r w:rsidRPr="004853E4">
              <w:t>https://www.atsenergo.ru/</w:t>
            </w:r>
            <w:r w:rsidRPr="004853E4">
              <w:br/>
            </w:r>
            <w:proofErr w:type="spellStart"/>
            <w:r w:rsidRPr="004853E4">
              <w:t>nreport?rname</w:t>
            </w:r>
            <w:proofErr w:type="spellEnd"/>
            <w:r w:rsidRPr="004853E4">
              <w:t>=</w:t>
            </w:r>
            <w:proofErr w:type="spellStart"/>
            <w:r w:rsidRPr="004853E4">
              <w:t>fact_region</w:t>
            </w:r>
            <w:proofErr w:type="spellEnd"/>
          </w:p>
        </w:tc>
        <w:tc>
          <w:tcPr>
            <w:tcW w:w="4678" w:type="dxa"/>
            <w:vAlign w:val="center"/>
          </w:tcPr>
          <w:p w14:paraId="20C94E2C" w14:textId="0F5A00D7" w:rsidR="00876626" w:rsidRPr="000968FE" w:rsidRDefault="00D56D8B" w:rsidP="00B603B7">
            <w:r w:rsidRPr="004853E4">
              <w:t>Суммарное фактическое потребление электрической энергии в субъекте РФ</w:t>
            </w:r>
          </w:p>
        </w:tc>
      </w:tr>
      <w:tr w:rsidR="00D56D8B" w:rsidRPr="00FD3EC1" w14:paraId="409AE2AD" w14:textId="77777777" w:rsidTr="00B603B7">
        <w:trPr>
          <w:trHeight w:val="315"/>
        </w:trPr>
        <w:tc>
          <w:tcPr>
            <w:tcW w:w="346" w:type="dxa"/>
            <w:vAlign w:val="center"/>
          </w:tcPr>
          <w:p w14:paraId="5AEB7E2C" w14:textId="4F912204" w:rsidR="00D56D8B" w:rsidRDefault="003E6140" w:rsidP="00B603B7">
            <w:r>
              <w:t>3</w:t>
            </w:r>
          </w:p>
        </w:tc>
        <w:tc>
          <w:tcPr>
            <w:tcW w:w="4752" w:type="dxa"/>
            <w:vAlign w:val="center"/>
          </w:tcPr>
          <w:p w14:paraId="175446D0" w14:textId="11BA5EB3" w:rsidR="00D56D8B" w:rsidRDefault="00D56D8B" w:rsidP="00B603B7">
            <w:r w:rsidRPr="004853E4">
              <w:t>https://www.atsenergo.ru/</w:t>
            </w:r>
            <w:r w:rsidRPr="004853E4">
              <w:br/>
            </w:r>
            <w:proofErr w:type="spellStart"/>
            <w:r w:rsidRPr="004853E4">
              <w:t>nreport?rname</w:t>
            </w:r>
            <w:proofErr w:type="spellEnd"/>
            <w:r w:rsidRPr="004853E4">
              <w:t>=</w:t>
            </w:r>
            <w:proofErr w:type="spellStart"/>
            <w:r w:rsidRPr="004853E4">
              <w:t>trade_region_spub</w:t>
            </w:r>
            <w:proofErr w:type="spellEnd"/>
          </w:p>
        </w:tc>
        <w:tc>
          <w:tcPr>
            <w:tcW w:w="4678" w:type="dxa"/>
            <w:vAlign w:val="center"/>
          </w:tcPr>
          <w:p w14:paraId="172D5176" w14:textId="3E0C5F9E" w:rsidR="00D56D8B" w:rsidRPr="000968FE" w:rsidRDefault="00D56D8B" w:rsidP="00B603B7">
            <w:r w:rsidRPr="004853E4">
              <w:t>Отчет о торгах по субъектам РФ ЕЭС</w:t>
            </w:r>
          </w:p>
        </w:tc>
      </w:tr>
    </w:tbl>
    <w:p w14:paraId="7001460C" w14:textId="77777777" w:rsidR="00876626" w:rsidRDefault="00876626" w:rsidP="00592EAC">
      <w:pPr>
        <w:tabs>
          <w:tab w:val="left" w:pos="1129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249F2D05" w14:textId="77777777" w:rsidR="00A153B2" w:rsidRDefault="00A153B2" w:rsidP="00592EAC">
      <w:pPr>
        <w:tabs>
          <w:tab w:val="left" w:pos="1129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443B34DE" w14:textId="77777777" w:rsidR="00EB3090" w:rsidRDefault="00EB3090" w:rsidP="00592EAC">
      <w:pPr>
        <w:tabs>
          <w:tab w:val="left" w:pos="1129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2E1E78E3" w14:textId="77777777" w:rsidR="003E6140" w:rsidRDefault="003E6140" w:rsidP="007326F9">
      <w:pPr>
        <w:ind w:firstLine="567"/>
        <w:rPr>
          <w:b/>
          <w:bCs/>
        </w:rPr>
      </w:pPr>
    </w:p>
    <w:p w14:paraId="2A4CFA64" w14:textId="77777777" w:rsidR="003E6140" w:rsidRDefault="003E6140" w:rsidP="007326F9">
      <w:pPr>
        <w:ind w:firstLine="567"/>
        <w:rPr>
          <w:b/>
          <w:bCs/>
        </w:rPr>
      </w:pPr>
    </w:p>
    <w:p w14:paraId="34A9F674" w14:textId="47575A75" w:rsidR="00592EAC" w:rsidRPr="000868E1" w:rsidRDefault="00592EAC" w:rsidP="007326F9">
      <w:pPr>
        <w:ind w:firstLine="567"/>
      </w:pPr>
      <w:r w:rsidRPr="007326F9">
        <w:rPr>
          <w:b/>
          <w:bCs/>
        </w:rPr>
        <w:lastRenderedPageBreak/>
        <w:t>Цель</w:t>
      </w:r>
      <w:r w:rsidR="00104A09" w:rsidRPr="007326F9">
        <w:rPr>
          <w:b/>
          <w:bCs/>
        </w:rPr>
        <w:t>:</w:t>
      </w:r>
      <w:r w:rsidR="00104A09" w:rsidRPr="007326F9">
        <w:t xml:space="preserve"> </w:t>
      </w:r>
      <w:r w:rsidR="00104A09">
        <w:t>создать</w:t>
      </w:r>
      <w:r w:rsidR="000868E1">
        <w:t xml:space="preserve"> модель</w:t>
      </w:r>
      <w:r w:rsidR="00950E9C">
        <w:t xml:space="preserve">, позволяющую спрогнозировать пиковые часы для регионов </w:t>
      </w:r>
      <w:r w:rsidR="00E04C18">
        <w:t>на</w:t>
      </w:r>
      <w:r w:rsidR="007B5FF2">
        <w:t xml:space="preserve"> следующий</w:t>
      </w:r>
      <w:r w:rsidR="00E04C18">
        <w:t xml:space="preserve"> месяц.</w:t>
      </w:r>
    </w:p>
    <w:p w14:paraId="7760A058" w14:textId="69BCA7C8" w:rsidR="00592EAC" w:rsidRPr="007326F9" w:rsidRDefault="00592EAC" w:rsidP="007326F9">
      <w:pPr>
        <w:ind w:firstLine="567"/>
        <w:rPr>
          <w:b/>
          <w:bCs/>
        </w:rPr>
      </w:pPr>
      <w:r w:rsidRPr="007326F9">
        <w:rPr>
          <w:b/>
          <w:bCs/>
        </w:rPr>
        <w:t>Результатом вашей работы</w:t>
      </w:r>
      <w:r w:rsidR="000D63FA">
        <w:rPr>
          <w:b/>
          <w:bCs/>
        </w:rPr>
        <w:t xml:space="preserve"> должно стать </w:t>
      </w:r>
      <w:r w:rsidR="00117DAE">
        <w:rPr>
          <w:b/>
          <w:bCs/>
        </w:rPr>
        <w:t>решение следующих задач</w:t>
      </w:r>
      <w:r w:rsidR="000D63FA">
        <w:rPr>
          <w:b/>
          <w:bCs/>
        </w:rPr>
        <w:t>:</w:t>
      </w:r>
    </w:p>
    <w:p w14:paraId="50F458DD" w14:textId="2C567134" w:rsidR="00592EAC" w:rsidRDefault="000D63FA" w:rsidP="00DD5143">
      <w:pPr>
        <w:pStyle w:val="a4"/>
        <w:numPr>
          <w:ilvl w:val="0"/>
          <w:numId w:val="13"/>
        </w:numPr>
      </w:pPr>
      <w:r>
        <w:t>Рассчитать</w:t>
      </w:r>
      <w:r w:rsidR="00104A09">
        <w:t xml:space="preserve"> </w:t>
      </w:r>
      <w:r w:rsidR="00117DAE">
        <w:t xml:space="preserve">часы </w:t>
      </w:r>
      <w:r w:rsidR="00104A09">
        <w:t>пиков</w:t>
      </w:r>
      <w:r w:rsidR="00117DAE">
        <w:t xml:space="preserve">ой нагрузки </w:t>
      </w:r>
      <w:r w:rsidR="002B66E0">
        <w:t>в регион</w:t>
      </w:r>
      <w:r>
        <w:t>ах</w:t>
      </w:r>
    </w:p>
    <w:p w14:paraId="16AB3400" w14:textId="7115B37D" w:rsidR="00117DAE" w:rsidRDefault="00117DAE" w:rsidP="00DD5143">
      <w:pPr>
        <w:pStyle w:val="a4"/>
        <w:numPr>
          <w:ilvl w:val="0"/>
          <w:numId w:val="13"/>
        </w:numPr>
      </w:pPr>
      <w:r>
        <w:t>Построить эталонную модель, позволяющую относительно простым способом спрогнозировать часы пиковой нагрузки для месяцев в 2022 году</w:t>
      </w:r>
    </w:p>
    <w:p w14:paraId="6893A371" w14:textId="60917603" w:rsidR="00117DAE" w:rsidRDefault="00117DAE" w:rsidP="001070BC">
      <w:pPr>
        <w:pStyle w:val="a4"/>
        <w:numPr>
          <w:ilvl w:val="1"/>
          <w:numId w:val="13"/>
        </w:numPr>
      </w:pPr>
      <w:r>
        <w:t>Допустимо прогнозирование диапазона из 4-х последовательных часов (</w:t>
      </w:r>
      <w:r w:rsidR="000E1F86">
        <w:t xml:space="preserve">т. е. </w:t>
      </w:r>
      <w:r>
        <w:t>хотя бы один из четырех должен совпасть с фактическим значением)</w:t>
      </w:r>
    </w:p>
    <w:p w14:paraId="3A3136DA" w14:textId="3E729CB7" w:rsidR="00104A09" w:rsidRDefault="00117DAE" w:rsidP="00DD5143">
      <w:pPr>
        <w:pStyle w:val="a4"/>
        <w:numPr>
          <w:ilvl w:val="0"/>
          <w:numId w:val="13"/>
        </w:numPr>
      </w:pPr>
      <w:r>
        <w:t>Предложить собственную мо</w:t>
      </w:r>
      <w:r w:rsidR="000D63FA">
        <w:t>дель, которая, п</w:t>
      </w:r>
      <w:r w:rsidR="00104A09">
        <w:t>озвол</w:t>
      </w:r>
      <w:r>
        <w:t>и</w:t>
      </w:r>
      <w:r w:rsidR="00104A09">
        <w:t>т осу</w:t>
      </w:r>
      <w:r>
        <w:t>ществить</w:t>
      </w:r>
      <w:r w:rsidR="00104A09">
        <w:t xml:space="preserve"> </w:t>
      </w:r>
      <w:proofErr w:type="spellStart"/>
      <w:r w:rsidR="00104A09">
        <w:t>ретропрогноз</w:t>
      </w:r>
      <w:proofErr w:type="spellEnd"/>
      <w:r w:rsidR="00104A09">
        <w:t xml:space="preserve"> за май-октябрь 2022</w:t>
      </w:r>
      <w:r w:rsidR="002B66E0">
        <w:t xml:space="preserve"> в регион</w:t>
      </w:r>
      <w:r>
        <w:t>е</w:t>
      </w:r>
    </w:p>
    <w:p w14:paraId="346173F5" w14:textId="2DBF8329" w:rsidR="005C7D9D" w:rsidRDefault="005C7D9D" w:rsidP="005C7D9D">
      <w:pPr>
        <w:pStyle w:val="a4"/>
        <w:numPr>
          <w:ilvl w:val="1"/>
          <w:numId w:val="13"/>
        </w:numPr>
      </w:pPr>
      <w:r>
        <w:t>Допустимо прогнозирование диапазона из 4-х последовательных часов</w:t>
      </w:r>
      <w:r w:rsidR="00E04C18">
        <w:t xml:space="preserve"> (</w:t>
      </w:r>
      <w:r w:rsidR="000E1F86">
        <w:t xml:space="preserve">т. е. </w:t>
      </w:r>
      <w:r w:rsidR="00E04C18">
        <w:t>хотя бы один из четырех должен совпасть с фактическим значением)</w:t>
      </w:r>
    </w:p>
    <w:p w14:paraId="3A8750DC" w14:textId="0DFC3D97" w:rsidR="0028018A" w:rsidRDefault="0028018A" w:rsidP="0028018A">
      <w:r>
        <w:t>По итогам работ необходимо представить отчет, демонстрирующий результаты моделирования и характеристики построенной модели.</w:t>
      </w:r>
    </w:p>
    <w:p w14:paraId="43B95DA0" w14:textId="636CE505" w:rsidR="00592EAC" w:rsidRDefault="00592EAC" w:rsidP="007326F9">
      <w:pPr>
        <w:ind w:firstLine="567"/>
        <w:rPr>
          <w:b/>
          <w:bCs/>
          <w:i/>
          <w:iCs/>
          <w:sz w:val="24"/>
          <w:szCs w:val="24"/>
        </w:rPr>
      </w:pPr>
      <w:r w:rsidRPr="009A04F4">
        <w:rPr>
          <w:b/>
          <w:bCs/>
          <w:i/>
          <w:iCs/>
          <w:sz w:val="24"/>
          <w:szCs w:val="24"/>
        </w:rPr>
        <w:t>Техническое задание:</w:t>
      </w:r>
    </w:p>
    <w:p w14:paraId="45EFCE99" w14:textId="77777777" w:rsidR="00936C0D" w:rsidRPr="005A38EE" w:rsidRDefault="00936C0D" w:rsidP="00936C0D">
      <w:pPr>
        <w:ind w:firstLine="567"/>
        <w:rPr>
          <w:b/>
          <w:bCs/>
        </w:rPr>
      </w:pPr>
      <w:r w:rsidRPr="005A38EE">
        <w:rPr>
          <w:b/>
          <w:bCs/>
        </w:rPr>
        <w:t>Описание исходных данных</w:t>
      </w:r>
    </w:p>
    <w:p w14:paraId="1BD59B7A" w14:textId="1625A4BF" w:rsidR="00936C0D" w:rsidRDefault="00936C0D" w:rsidP="00936C0D">
      <w:pPr>
        <w:ind w:firstLine="567"/>
      </w:pPr>
      <w:r>
        <w:t xml:space="preserve">Исходные данные содержат в себе </w:t>
      </w:r>
      <w:r w:rsidR="007B5FF2">
        <w:t>4</w:t>
      </w:r>
      <w:r>
        <w:t xml:space="preserve"> таблицы</w:t>
      </w:r>
      <w:r w:rsidR="002B66E0">
        <w:t xml:space="preserve"> по 2-м регионам (Пермский Край и Тюменская область)</w:t>
      </w:r>
      <w:r>
        <w:t>:</w:t>
      </w:r>
    </w:p>
    <w:p w14:paraId="18B0140D" w14:textId="700D8153" w:rsidR="002B66E0" w:rsidRPr="002B66E0" w:rsidRDefault="009B3027" w:rsidP="00936C0D">
      <w:pPr>
        <w:pStyle w:val="a4"/>
        <w:numPr>
          <w:ilvl w:val="0"/>
          <w:numId w:val="7"/>
        </w:numPr>
        <w:ind w:left="1134" w:hanging="207"/>
      </w:pPr>
      <w:r>
        <w:t xml:space="preserve">Таблица 1 </w:t>
      </w:r>
      <w:r w:rsidR="002B66E0" w:rsidRPr="002B66E0">
        <w:t>(</w:t>
      </w:r>
      <w:proofErr w:type="spellStart"/>
      <w:r w:rsidR="002B66E0" w:rsidRPr="002B66E0">
        <w:rPr>
          <w:lang w:val="en-US"/>
        </w:rPr>
        <w:t>pik</w:t>
      </w:r>
      <w:proofErr w:type="spellEnd"/>
      <w:r w:rsidR="002B66E0" w:rsidRPr="002B66E0">
        <w:t>_</w:t>
      </w:r>
      <w:proofErr w:type="spellStart"/>
      <w:r w:rsidR="002B66E0" w:rsidRPr="002B66E0">
        <w:rPr>
          <w:lang w:val="en-US"/>
        </w:rPr>
        <w:t>chas</w:t>
      </w:r>
      <w:proofErr w:type="spellEnd"/>
      <w:r w:rsidR="002B66E0" w:rsidRPr="002B66E0">
        <w:t>2022.</w:t>
      </w:r>
      <w:proofErr w:type="spellStart"/>
      <w:r w:rsidR="002B66E0" w:rsidRPr="002B66E0">
        <w:rPr>
          <w:lang w:val="en-US"/>
        </w:rPr>
        <w:t>pdf</w:t>
      </w:r>
      <w:proofErr w:type="spellEnd"/>
      <w:r w:rsidR="002B66E0" w:rsidRPr="002B66E0">
        <w:t xml:space="preserve">) </w:t>
      </w:r>
      <w:r w:rsidR="002B66E0">
        <w:t>–</w:t>
      </w:r>
      <w:r w:rsidR="002B66E0" w:rsidRPr="002B66E0">
        <w:t xml:space="preserve"> </w:t>
      </w:r>
      <w:r w:rsidR="002B66E0">
        <w:t xml:space="preserve">информация о </w:t>
      </w:r>
      <w:r w:rsidR="007B5FF2">
        <w:t>часовых</w:t>
      </w:r>
      <w:r w:rsidR="002B66E0">
        <w:t xml:space="preserve"> диапазонах для регионов разных ценовых зон (Пермский край и Тюменская область относятся к 1-й ценовой зоне)</w:t>
      </w:r>
    </w:p>
    <w:p w14:paraId="42332183" w14:textId="36A6B4B1" w:rsidR="00936C0D" w:rsidRDefault="00936C0D" w:rsidP="00936C0D">
      <w:pPr>
        <w:pStyle w:val="a4"/>
        <w:numPr>
          <w:ilvl w:val="0"/>
          <w:numId w:val="7"/>
        </w:numPr>
        <w:ind w:left="1134" w:hanging="207"/>
      </w:pPr>
      <w:r>
        <w:t>Таблица</w:t>
      </w:r>
      <w:r w:rsidR="009B3027">
        <w:t xml:space="preserve"> </w:t>
      </w:r>
      <w:r w:rsidR="003E6140">
        <w:t>2</w:t>
      </w:r>
      <w:r>
        <w:t xml:space="preserve"> </w:t>
      </w:r>
      <w:r w:rsidR="00E65D50">
        <w:t>(</w:t>
      </w:r>
      <w:r w:rsidR="002B66E0" w:rsidRPr="001277A0">
        <w:t>Плановое потребление электроэнергии</w:t>
      </w:r>
      <w:r w:rsidR="00E65D50">
        <w:t>)</w:t>
      </w:r>
      <w:r w:rsidR="002B66E0">
        <w:t xml:space="preserve"> </w:t>
      </w:r>
      <w:r>
        <w:t xml:space="preserve">– </w:t>
      </w:r>
      <w:r w:rsidR="0048684D">
        <w:t xml:space="preserve">файл, содержащий результаты </w:t>
      </w:r>
      <w:r w:rsidR="009B3027">
        <w:t xml:space="preserve">ежедневных торгов – показатели технологических минимумов </w:t>
      </w:r>
      <w:r w:rsidR="007B5FF2">
        <w:t>производства</w:t>
      </w:r>
      <w:r w:rsidR="009B3027">
        <w:t xml:space="preserve"> электроэнергии, плановые объемы производства</w:t>
      </w:r>
      <w:r w:rsidR="0048684D">
        <w:t xml:space="preserve"> </w:t>
      </w:r>
      <w:r w:rsidR="009B3027">
        <w:t>электроэнергии по станциям (в основном ТЭС), а также плановые объемы потребления электроэнергии</w:t>
      </w:r>
    </w:p>
    <w:p w14:paraId="6653F4C5" w14:textId="3D2DFD1E" w:rsidR="002B66E0" w:rsidRDefault="002B66E0" w:rsidP="00936C0D">
      <w:pPr>
        <w:pStyle w:val="a4"/>
        <w:numPr>
          <w:ilvl w:val="0"/>
          <w:numId w:val="7"/>
        </w:numPr>
        <w:ind w:left="1134" w:hanging="207"/>
      </w:pPr>
      <w:r>
        <w:t xml:space="preserve">Таблица </w:t>
      </w:r>
      <w:r w:rsidR="003E6140">
        <w:t>3</w:t>
      </w:r>
      <w:r>
        <w:t xml:space="preserve"> (</w:t>
      </w:r>
      <w:r w:rsidRPr="001277A0">
        <w:t>Фактическое потребление электроэнергии</w:t>
      </w:r>
      <w:r>
        <w:t>) – Фактическое потребление электроэнергии в субъекте РФ в часовой динамике</w:t>
      </w:r>
    </w:p>
    <w:p w14:paraId="2854378D" w14:textId="1F3D8EC0" w:rsidR="007B5FF2" w:rsidRDefault="007B5FF2" w:rsidP="00936C0D">
      <w:pPr>
        <w:pStyle w:val="a4"/>
        <w:numPr>
          <w:ilvl w:val="0"/>
          <w:numId w:val="7"/>
        </w:numPr>
        <w:ind w:left="1134" w:hanging="207"/>
      </w:pPr>
      <w:r>
        <w:t>Таблица 4 (Трудовой календарь) – файл, содержащий отметки о рабочих и праздничных днях в календаре</w:t>
      </w:r>
    </w:p>
    <w:p w14:paraId="5C5B7B0E" w14:textId="5828B1BF" w:rsidR="009B3027" w:rsidRDefault="009B3027" w:rsidP="009B3027">
      <w:pPr>
        <w:pStyle w:val="a5"/>
        <w:keepNext/>
      </w:pPr>
      <w:r w:rsidRPr="00D91BD3">
        <w:rPr>
          <w:b/>
          <w:bCs/>
          <w:sz w:val="22"/>
          <w:szCs w:val="22"/>
        </w:rPr>
        <w:t xml:space="preserve">Таблица </w:t>
      </w:r>
      <w:r w:rsidRPr="00D91BD3">
        <w:rPr>
          <w:b/>
          <w:bCs/>
          <w:sz w:val="22"/>
          <w:szCs w:val="22"/>
        </w:rPr>
        <w:fldChar w:fldCharType="begin"/>
      </w:r>
      <w:r w:rsidRPr="00D91BD3">
        <w:rPr>
          <w:b/>
          <w:bCs/>
          <w:sz w:val="22"/>
          <w:szCs w:val="22"/>
        </w:rPr>
        <w:instrText xml:space="preserve"> SEQ Таблица \* ARABIC </w:instrText>
      </w:r>
      <w:r w:rsidRPr="00D91BD3">
        <w:rPr>
          <w:b/>
          <w:bCs/>
          <w:sz w:val="22"/>
          <w:szCs w:val="22"/>
        </w:rPr>
        <w:fldChar w:fldCharType="separate"/>
      </w:r>
      <w:r w:rsidR="003E6140">
        <w:rPr>
          <w:b/>
          <w:bCs/>
          <w:noProof/>
          <w:sz w:val="22"/>
          <w:szCs w:val="22"/>
        </w:rPr>
        <w:t>1</w:t>
      </w:r>
      <w:r w:rsidRPr="00D91BD3">
        <w:rPr>
          <w:b/>
          <w:bCs/>
          <w:sz w:val="22"/>
          <w:szCs w:val="22"/>
        </w:rPr>
        <w:fldChar w:fldCharType="end"/>
      </w:r>
      <w:r w:rsidRPr="00D91BD3">
        <w:rPr>
          <w:b/>
          <w:bCs/>
          <w:sz w:val="22"/>
          <w:szCs w:val="22"/>
        </w:rPr>
        <w:t xml:space="preserve"> - </w:t>
      </w:r>
      <w:r w:rsidRPr="009B3027">
        <w:rPr>
          <w:b/>
          <w:bCs/>
          <w:sz w:val="22"/>
          <w:szCs w:val="22"/>
        </w:rPr>
        <w:t xml:space="preserve">информация о ценовых диапазонах </w:t>
      </w:r>
      <w:r>
        <w:rPr>
          <w:b/>
          <w:bCs/>
          <w:sz w:val="22"/>
          <w:szCs w:val="22"/>
        </w:rPr>
        <w:t>(описание полей)</w:t>
      </w:r>
    </w:p>
    <w:p w14:paraId="1FE665B3" w14:textId="49DE141A" w:rsidR="009B3027" w:rsidRDefault="009B3027" w:rsidP="009B3027">
      <w:pPr>
        <w:ind w:firstLine="567"/>
        <w:rPr>
          <w:b/>
          <w:bCs/>
        </w:rPr>
      </w:pPr>
      <w:r>
        <w:rPr>
          <w:b/>
          <w:bCs/>
        </w:rPr>
        <w:t>Описание таблицы 1:</w:t>
      </w:r>
    </w:p>
    <w:p w14:paraId="67B5F51F" w14:textId="22D93459" w:rsidR="009B3027" w:rsidRDefault="009B3027" w:rsidP="009B3027">
      <w:pPr>
        <w:ind w:firstLine="567"/>
      </w:pPr>
      <w:r w:rsidRPr="009B3027">
        <w:t xml:space="preserve">Данная таблица содержит </w:t>
      </w:r>
      <w:r w:rsidR="007B5FF2">
        <w:t>часовые</w:t>
      </w:r>
      <w:r w:rsidRPr="009B3027">
        <w:t xml:space="preserve"> диапазоны для </w:t>
      </w:r>
      <w:r>
        <w:t>регионов, входящие в ценовые зоны 1 и 2, а также для отдельных регионов, не входящих ни в какие ценовые зоны.</w:t>
      </w:r>
    </w:p>
    <w:p w14:paraId="6CFA30C6" w14:textId="3DE69BA2" w:rsidR="001974BC" w:rsidRDefault="001974BC" w:rsidP="009B3027">
      <w:pPr>
        <w:ind w:firstLine="567"/>
      </w:pPr>
      <w:r>
        <w:t xml:space="preserve">Пиковым часом может являться только час, входящий в указанные часовые диапазоны </w:t>
      </w:r>
      <w:r w:rsidR="007B5FF2">
        <w:t xml:space="preserve">соответствующих ценовых зон </w:t>
      </w:r>
      <w:r>
        <w:t>для каждого месяца.</w:t>
      </w:r>
    </w:p>
    <w:p w14:paraId="2A121845" w14:textId="4CE2A0AE" w:rsidR="001974BC" w:rsidRDefault="001974BC" w:rsidP="009B3027">
      <w:pPr>
        <w:ind w:firstLine="567"/>
      </w:pPr>
      <w:r>
        <w:t xml:space="preserve">Например, для Тюменской области в марте пиковыми </w:t>
      </w:r>
      <w:r w:rsidR="008B673C">
        <w:t>могут</w:t>
      </w:r>
      <w:r>
        <w:t xml:space="preserve"> являться только часы, входящие в диапазон с 8-го до 21-го часов.</w:t>
      </w:r>
    </w:p>
    <w:p w14:paraId="134D8F66" w14:textId="501211B4" w:rsidR="00936C0D" w:rsidRPr="009F380B" w:rsidRDefault="00936C0D" w:rsidP="00936C0D">
      <w:pPr>
        <w:pStyle w:val="a5"/>
        <w:keepNext/>
        <w:rPr>
          <w:b/>
          <w:bCs/>
          <w:sz w:val="22"/>
          <w:szCs w:val="22"/>
        </w:rPr>
      </w:pPr>
      <w:r w:rsidRPr="009F380B">
        <w:rPr>
          <w:b/>
          <w:bCs/>
          <w:sz w:val="22"/>
          <w:szCs w:val="22"/>
        </w:rPr>
        <w:t xml:space="preserve">Таблица </w:t>
      </w:r>
      <w:r w:rsidRPr="009F380B">
        <w:rPr>
          <w:b/>
          <w:bCs/>
          <w:sz w:val="22"/>
          <w:szCs w:val="22"/>
        </w:rPr>
        <w:fldChar w:fldCharType="begin"/>
      </w:r>
      <w:r w:rsidRPr="009F380B">
        <w:rPr>
          <w:b/>
          <w:bCs/>
          <w:sz w:val="22"/>
          <w:szCs w:val="22"/>
        </w:rPr>
        <w:instrText xml:space="preserve"> SEQ Таблица \* ARABIC </w:instrText>
      </w:r>
      <w:r w:rsidRPr="009F380B">
        <w:rPr>
          <w:b/>
          <w:bCs/>
          <w:sz w:val="22"/>
          <w:szCs w:val="22"/>
        </w:rPr>
        <w:fldChar w:fldCharType="separate"/>
      </w:r>
      <w:r w:rsidR="003E6140">
        <w:rPr>
          <w:b/>
          <w:bCs/>
          <w:noProof/>
          <w:sz w:val="22"/>
          <w:szCs w:val="22"/>
        </w:rPr>
        <w:t>2</w:t>
      </w:r>
      <w:r w:rsidRPr="009F380B">
        <w:rPr>
          <w:b/>
          <w:bCs/>
          <w:sz w:val="22"/>
          <w:szCs w:val="22"/>
        </w:rPr>
        <w:fldChar w:fldCharType="end"/>
      </w:r>
      <w:r w:rsidRPr="009F380B">
        <w:rPr>
          <w:b/>
          <w:bCs/>
          <w:sz w:val="22"/>
          <w:szCs w:val="22"/>
        </w:rPr>
        <w:t xml:space="preserve"> - </w:t>
      </w:r>
      <w:r w:rsidR="008B673C" w:rsidRPr="008B673C">
        <w:rPr>
          <w:b/>
          <w:bCs/>
          <w:sz w:val="22"/>
          <w:szCs w:val="22"/>
        </w:rPr>
        <w:t>Плановое потребление электроэнергии</w:t>
      </w:r>
    </w:p>
    <w:tbl>
      <w:tblPr>
        <w:tblStyle w:val="GridTableLight"/>
        <w:tblW w:w="9918" w:type="dxa"/>
        <w:tblLook w:val="04A0" w:firstRow="1" w:lastRow="0" w:firstColumn="1" w:lastColumn="0" w:noHBand="0" w:noVBand="1"/>
      </w:tblPr>
      <w:tblGrid>
        <w:gridCol w:w="440"/>
        <w:gridCol w:w="1711"/>
        <w:gridCol w:w="5215"/>
        <w:gridCol w:w="2552"/>
      </w:tblGrid>
      <w:tr w:rsidR="008B673C" w:rsidRPr="001C337A" w14:paraId="6F1F1610" w14:textId="77777777" w:rsidTr="00B603B7">
        <w:trPr>
          <w:trHeight w:val="315"/>
          <w:tblHeader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75D1B7D" w14:textId="77777777" w:rsidR="008B673C" w:rsidRPr="00FD3EC1" w:rsidRDefault="008B673C" w:rsidP="00B603B7">
            <w:pPr>
              <w:rPr>
                <w:b/>
                <w:sz w:val="22"/>
                <w:szCs w:val="22"/>
              </w:rPr>
            </w:pPr>
            <w:r w:rsidRPr="00FD3EC1">
              <w:rPr>
                <w:b/>
                <w:sz w:val="22"/>
                <w:szCs w:val="22"/>
              </w:rPr>
              <w:t>#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  <w:hideMark/>
          </w:tcPr>
          <w:p w14:paraId="59F45470" w14:textId="77777777" w:rsidR="008B673C" w:rsidRPr="00FD3EC1" w:rsidRDefault="008B673C" w:rsidP="00B603B7">
            <w:pPr>
              <w:rPr>
                <w:b/>
                <w:sz w:val="22"/>
                <w:szCs w:val="22"/>
              </w:rPr>
            </w:pPr>
            <w:r w:rsidRPr="00FD3EC1">
              <w:rPr>
                <w:b/>
                <w:sz w:val="22"/>
                <w:szCs w:val="22"/>
              </w:rPr>
              <w:t>Поле</w:t>
            </w:r>
          </w:p>
        </w:tc>
        <w:tc>
          <w:tcPr>
            <w:tcW w:w="5215" w:type="dxa"/>
            <w:shd w:val="clear" w:color="auto" w:fill="F2F2F2" w:themeFill="background1" w:themeFillShade="F2"/>
            <w:vAlign w:val="center"/>
            <w:hideMark/>
          </w:tcPr>
          <w:p w14:paraId="0D583837" w14:textId="77777777" w:rsidR="008B673C" w:rsidRPr="00FD3EC1" w:rsidRDefault="008B673C" w:rsidP="00B603B7">
            <w:pPr>
              <w:rPr>
                <w:b/>
                <w:sz w:val="22"/>
                <w:szCs w:val="22"/>
              </w:rPr>
            </w:pPr>
            <w:r w:rsidRPr="00FD3EC1">
              <w:rPr>
                <w:b/>
                <w:sz w:val="22"/>
                <w:szCs w:val="22"/>
              </w:rPr>
              <w:t>Описание поля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0C713C33" w14:textId="77777777" w:rsidR="008B673C" w:rsidRPr="00D5470D" w:rsidRDefault="008B673C" w:rsidP="00B603B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Тип данных</w:t>
            </w:r>
          </w:p>
        </w:tc>
      </w:tr>
      <w:tr w:rsidR="005D3D01" w:rsidRPr="001C337A" w14:paraId="3B026955" w14:textId="77777777" w:rsidTr="00B603B7">
        <w:trPr>
          <w:trHeight w:val="315"/>
        </w:trPr>
        <w:tc>
          <w:tcPr>
            <w:tcW w:w="0" w:type="auto"/>
            <w:vAlign w:val="center"/>
            <w:hideMark/>
          </w:tcPr>
          <w:p w14:paraId="169E6418" w14:textId="77777777" w:rsidR="005D3D01" w:rsidRPr="00FD3EC1" w:rsidRDefault="005D3D01" w:rsidP="005D3D01">
            <w:pPr>
              <w:rPr>
                <w:sz w:val="22"/>
                <w:szCs w:val="22"/>
              </w:rPr>
            </w:pPr>
            <w:r w:rsidRPr="00FD3EC1">
              <w:rPr>
                <w:sz w:val="22"/>
                <w:szCs w:val="22"/>
              </w:rPr>
              <w:t>1</w:t>
            </w:r>
          </w:p>
        </w:tc>
        <w:tc>
          <w:tcPr>
            <w:tcW w:w="1711" w:type="dxa"/>
            <w:vAlign w:val="center"/>
            <w:hideMark/>
          </w:tcPr>
          <w:p w14:paraId="55729EFF" w14:textId="68ABF326" w:rsidR="005D3D01" w:rsidRPr="00FD3EC1" w:rsidRDefault="005D3D01" w:rsidP="005D3D01">
            <w:pPr>
              <w:jc w:val="center"/>
              <w:rPr>
                <w:sz w:val="22"/>
                <w:szCs w:val="22"/>
              </w:rPr>
            </w:pPr>
            <w:proofErr w:type="spellStart"/>
            <w:r w:rsidRPr="001974BC">
              <w:rPr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5215" w:type="dxa"/>
            <w:vAlign w:val="center"/>
            <w:hideMark/>
          </w:tcPr>
          <w:p w14:paraId="294A71E8" w14:textId="2592B490" w:rsidR="005D3D01" w:rsidRPr="00FD3EC1" w:rsidRDefault="005D3D01" w:rsidP="005D3D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  <w:r w:rsidRPr="00FD3EC1">
              <w:rPr>
                <w:sz w:val="22"/>
                <w:szCs w:val="22"/>
              </w:rPr>
              <w:t> </w:t>
            </w:r>
          </w:p>
        </w:tc>
        <w:tc>
          <w:tcPr>
            <w:tcW w:w="2552" w:type="dxa"/>
          </w:tcPr>
          <w:p w14:paraId="28009FE2" w14:textId="459E4369" w:rsidR="005D3D01" w:rsidRPr="00585AE5" w:rsidRDefault="005D3D01" w:rsidP="005D3D0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timestamp</w:t>
            </w:r>
          </w:p>
        </w:tc>
      </w:tr>
      <w:tr w:rsidR="008B673C" w:rsidRPr="001C337A" w14:paraId="1BDF571B" w14:textId="77777777" w:rsidTr="005D3D01">
        <w:trPr>
          <w:trHeight w:val="315"/>
        </w:trPr>
        <w:tc>
          <w:tcPr>
            <w:tcW w:w="0" w:type="auto"/>
            <w:vAlign w:val="center"/>
            <w:hideMark/>
          </w:tcPr>
          <w:p w14:paraId="668FBF9D" w14:textId="77777777" w:rsidR="008B673C" w:rsidRPr="00FD3EC1" w:rsidRDefault="008B673C" w:rsidP="00B603B7">
            <w:pPr>
              <w:rPr>
                <w:sz w:val="22"/>
                <w:szCs w:val="22"/>
              </w:rPr>
            </w:pPr>
            <w:r w:rsidRPr="00FD3EC1">
              <w:rPr>
                <w:sz w:val="22"/>
                <w:szCs w:val="22"/>
              </w:rPr>
              <w:t>2</w:t>
            </w:r>
          </w:p>
        </w:tc>
        <w:tc>
          <w:tcPr>
            <w:tcW w:w="1711" w:type="dxa"/>
            <w:vAlign w:val="center"/>
          </w:tcPr>
          <w:p w14:paraId="33B6CCCB" w14:textId="2D6D3596" w:rsidR="008B673C" w:rsidRPr="005D3D01" w:rsidRDefault="005D3D01" w:rsidP="00B603B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P1</w:t>
            </w:r>
          </w:p>
        </w:tc>
        <w:tc>
          <w:tcPr>
            <w:tcW w:w="5215" w:type="dxa"/>
            <w:vAlign w:val="center"/>
          </w:tcPr>
          <w:p w14:paraId="06DB4AA9" w14:textId="1DB4D900" w:rsidR="008B673C" w:rsidRPr="00FD3EC1" w:rsidRDefault="005D3D01" w:rsidP="00B603B7">
            <w:pPr>
              <w:rPr>
                <w:sz w:val="22"/>
                <w:szCs w:val="22"/>
              </w:rPr>
            </w:pPr>
            <w:r w:rsidRPr="00D56D8B">
              <w:t xml:space="preserve">Плановый объем производства (по типам </w:t>
            </w:r>
            <w:r w:rsidRPr="00D56D8B">
              <w:lastRenderedPageBreak/>
              <w:t xml:space="preserve">станций), </w:t>
            </w:r>
            <w:proofErr w:type="spellStart"/>
            <w:r w:rsidRPr="00D56D8B">
              <w:t>МВт.ч</w:t>
            </w:r>
            <w:proofErr w:type="spellEnd"/>
            <w:r w:rsidRPr="00D56D8B">
              <w:t>.</w:t>
            </w:r>
            <w:r>
              <w:t xml:space="preserve"> </w:t>
            </w:r>
            <w:r w:rsidRPr="00D56D8B">
              <w:t>ТЭС</w:t>
            </w:r>
          </w:p>
        </w:tc>
        <w:tc>
          <w:tcPr>
            <w:tcW w:w="2552" w:type="dxa"/>
          </w:tcPr>
          <w:p w14:paraId="25CBF0BD" w14:textId="25260C46" w:rsidR="008B673C" w:rsidRPr="005D3D01" w:rsidRDefault="005D3D01" w:rsidP="00B603B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float</w:t>
            </w:r>
          </w:p>
        </w:tc>
      </w:tr>
      <w:tr w:rsidR="005D3D01" w:rsidRPr="001C337A" w14:paraId="354FC63E" w14:textId="77777777" w:rsidTr="005D3D01">
        <w:trPr>
          <w:trHeight w:val="315"/>
        </w:trPr>
        <w:tc>
          <w:tcPr>
            <w:tcW w:w="0" w:type="auto"/>
            <w:vAlign w:val="center"/>
            <w:hideMark/>
          </w:tcPr>
          <w:p w14:paraId="621D757B" w14:textId="77777777" w:rsidR="005D3D01" w:rsidRPr="00FD3EC1" w:rsidRDefault="005D3D01" w:rsidP="005D3D01">
            <w:pPr>
              <w:rPr>
                <w:sz w:val="22"/>
                <w:szCs w:val="22"/>
              </w:rPr>
            </w:pPr>
            <w:r w:rsidRPr="00FD3EC1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1711" w:type="dxa"/>
            <w:vAlign w:val="center"/>
          </w:tcPr>
          <w:p w14:paraId="1F30E540" w14:textId="094C1D9E" w:rsidR="005D3D01" w:rsidRPr="005D3D01" w:rsidRDefault="005D3D01" w:rsidP="005D3D0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P2</w:t>
            </w:r>
          </w:p>
        </w:tc>
        <w:tc>
          <w:tcPr>
            <w:tcW w:w="5215" w:type="dxa"/>
            <w:vAlign w:val="center"/>
          </w:tcPr>
          <w:p w14:paraId="31D77B81" w14:textId="6878F8AE" w:rsidR="005D3D01" w:rsidRPr="00FD3EC1" w:rsidRDefault="005D3D01" w:rsidP="005D3D01">
            <w:pPr>
              <w:rPr>
                <w:sz w:val="22"/>
                <w:szCs w:val="22"/>
              </w:rPr>
            </w:pPr>
            <w:r w:rsidRPr="00D56D8B">
              <w:t xml:space="preserve">Суммарные величины технического минимума  (по типам станций), </w:t>
            </w:r>
            <w:proofErr w:type="spellStart"/>
            <w:r w:rsidRPr="00D56D8B">
              <w:t>МВт</w:t>
            </w:r>
            <w:proofErr w:type="gramStart"/>
            <w:r w:rsidRPr="00D56D8B">
              <w:t>.ч</w:t>
            </w:r>
            <w:proofErr w:type="spellEnd"/>
            <w:proofErr w:type="gramEnd"/>
            <w:r w:rsidRPr="00D56D8B">
              <w:t>. ТЭС</w:t>
            </w:r>
          </w:p>
        </w:tc>
        <w:tc>
          <w:tcPr>
            <w:tcW w:w="2552" w:type="dxa"/>
          </w:tcPr>
          <w:p w14:paraId="32A9C0A2" w14:textId="143ABEDF" w:rsidR="005D3D01" w:rsidRPr="00FD3EC1" w:rsidRDefault="005D3D01" w:rsidP="005D3D01">
            <w:pPr>
              <w:rPr>
                <w:sz w:val="22"/>
                <w:szCs w:val="22"/>
              </w:rPr>
            </w:pPr>
            <w:r w:rsidRPr="008775E0">
              <w:rPr>
                <w:sz w:val="22"/>
                <w:szCs w:val="22"/>
                <w:lang w:val="en-US"/>
              </w:rPr>
              <w:t>float</w:t>
            </w:r>
          </w:p>
        </w:tc>
      </w:tr>
      <w:tr w:rsidR="005D3D01" w:rsidRPr="001C337A" w14:paraId="359CB2E5" w14:textId="77777777" w:rsidTr="005D3D01">
        <w:trPr>
          <w:trHeight w:val="315"/>
        </w:trPr>
        <w:tc>
          <w:tcPr>
            <w:tcW w:w="0" w:type="auto"/>
            <w:vAlign w:val="center"/>
            <w:hideMark/>
          </w:tcPr>
          <w:p w14:paraId="507505A0" w14:textId="77777777" w:rsidR="005D3D01" w:rsidRPr="00FD3EC1" w:rsidRDefault="005D3D01" w:rsidP="005D3D01">
            <w:pPr>
              <w:rPr>
                <w:sz w:val="22"/>
                <w:szCs w:val="22"/>
              </w:rPr>
            </w:pPr>
            <w:r w:rsidRPr="004A7E45">
              <w:rPr>
                <w:sz w:val="22"/>
                <w:szCs w:val="22"/>
              </w:rPr>
              <w:t>4</w:t>
            </w:r>
          </w:p>
        </w:tc>
        <w:tc>
          <w:tcPr>
            <w:tcW w:w="1711" w:type="dxa"/>
            <w:vAlign w:val="center"/>
          </w:tcPr>
          <w:p w14:paraId="3465A172" w14:textId="30E6E7C3" w:rsidR="005D3D01" w:rsidRPr="005D3D01" w:rsidRDefault="005D3D01" w:rsidP="005D3D0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P3</w:t>
            </w:r>
          </w:p>
        </w:tc>
        <w:tc>
          <w:tcPr>
            <w:tcW w:w="5215" w:type="dxa"/>
            <w:vAlign w:val="center"/>
          </w:tcPr>
          <w:p w14:paraId="39EF4F7B" w14:textId="6BF9FA1E" w:rsidR="005D3D01" w:rsidRPr="00FD3EC1" w:rsidRDefault="005D3D01" w:rsidP="005D3D01">
            <w:pPr>
              <w:rPr>
                <w:sz w:val="22"/>
                <w:szCs w:val="22"/>
              </w:rPr>
            </w:pPr>
            <w:r w:rsidRPr="00D56D8B">
              <w:t xml:space="preserve">Суммарные величины технологического минимума  (по типам станций), </w:t>
            </w:r>
            <w:proofErr w:type="spellStart"/>
            <w:r w:rsidRPr="00D56D8B">
              <w:t>МВт</w:t>
            </w:r>
            <w:proofErr w:type="gramStart"/>
            <w:r w:rsidRPr="00D56D8B">
              <w:t>.ч</w:t>
            </w:r>
            <w:proofErr w:type="spellEnd"/>
            <w:proofErr w:type="gramEnd"/>
            <w:r w:rsidRPr="00D56D8B">
              <w:t>. ТЭС</w:t>
            </w:r>
          </w:p>
        </w:tc>
        <w:tc>
          <w:tcPr>
            <w:tcW w:w="2552" w:type="dxa"/>
          </w:tcPr>
          <w:p w14:paraId="2CC8FCF3" w14:textId="2CB94070" w:rsidR="005D3D01" w:rsidRPr="004A7E45" w:rsidRDefault="005D3D01" w:rsidP="005D3D01">
            <w:pPr>
              <w:rPr>
                <w:sz w:val="22"/>
                <w:szCs w:val="22"/>
              </w:rPr>
            </w:pPr>
            <w:r w:rsidRPr="008775E0">
              <w:rPr>
                <w:sz w:val="22"/>
                <w:szCs w:val="22"/>
                <w:lang w:val="en-US"/>
              </w:rPr>
              <w:t>float</w:t>
            </w:r>
          </w:p>
        </w:tc>
      </w:tr>
      <w:tr w:rsidR="005D3D01" w:rsidRPr="001C337A" w14:paraId="6EF8BB43" w14:textId="77777777" w:rsidTr="00B603B7">
        <w:trPr>
          <w:trHeight w:val="315"/>
        </w:trPr>
        <w:tc>
          <w:tcPr>
            <w:tcW w:w="0" w:type="auto"/>
            <w:vAlign w:val="center"/>
          </w:tcPr>
          <w:p w14:paraId="5787D302" w14:textId="77777777" w:rsidR="005D3D01" w:rsidRPr="00FD3EC1" w:rsidRDefault="005D3D01" w:rsidP="005D3D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11" w:type="dxa"/>
            <w:vAlign w:val="center"/>
          </w:tcPr>
          <w:p w14:paraId="10B6C913" w14:textId="5C551AB7" w:rsidR="005D3D01" w:rsidRPr="005D3D01" w:rsidRDefault="005D3D01" w:rsidP="005D3D0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P4</w:t>
            </w:r>
          </w:p>
        </w:tc>
        <w:tc>
          <w:tcPr>
            <w:tcW w:w="5215" w:type="dxa"/>
            <w:vAlign w:val="center"/>
          </w:tcPr>
          <w:p w14:paraId="4F4C8D1B" w14:textId="72DBCB11" w:rsidR="005D3D01" w:rsidRPr="00FD3EC1" w:rsidRDefault="008E49B5" w:rsidP="005D3D01">
            <w:pPr>
              <w:rPr>
                <w:sz w:val="22"/>
                <w:szCs w:val="22"/>
              </w:rPr>
            </w:pPr>
            <w:r w:rsidRPr="00485FAE">
              <w:t xml:space="preserve">Суммарные величины технического максимума  (по типам станций), </w:t>
            </w:r>
            <w:proofErr w:type="spellStart"/>
            <w:r w:rsidRPr="00485FAE">
              <w:t>МВт</w:t>
            </w:r>
            <w:proofErr w:type="gramStart"/>
            <w:r w:rsidRPr="00485FAE">
              <w:t>.ч</w:t>
            </w:r>
            <w:proofErr w:type="spellEnd"/>
            <w:proofErr w:type="gramEnd"/>
            <w:r w:rsidRPr="00485FAE">
              <w:t xml:space="preserve">. </w:t>
            </w:r>
            <w:r>
              <w:t>ТЭС</w:t>
            </w:r>
          </w:p>
        </w:tc>
        <w:tc>
          <w:tcPr>
            <w:tcW w:w="2552" w:type="dxa"/>
          </w:tcPr>
          <w:p w14:paraId="46CE2F48" w14:textId="59E9D0D8" w:rsidR="005D3D01" w:rsidRDefault="005D3D01" w:rsidP="005D3D01">
            <w:pPr>
              <w:rPr>
                <w:sz w:val="22"/>
                <w:szCs w:val="22"/>
                <w:lang w:val="en-US"/>
              </w:rPr>
            </w:pPr>
            <w:r w:rsidRPr="008775E0">
              <w:rPr>
                <w:sz w:val="22"/>
                <w:szCs w:val="22"/>
                <w:lang w:val="en-US"/>
              </w:rPr>
              <w:t>float</w:t>
            </w:r>
          </w:p>
        </w:tc>
      </w:tr>
      <w:tr w:rsidR="005D3D01" w:rsidRPr="001C337A" w14:paraId="315CECBE" w14:textId="77777777" w:rsidTr="00B603B7">
        <w:trPr>
          <w:trHeight w:val="315"/>
        </w:trPr>
        <w:tc>
          <w:tcPr>
            <w:tcW w:w="0" w:type="auto"/>
            <w:vAlign w:val="center"/>
          </w:tcPr>
          <w:p w14:paraId="19C0A092" w14:textId="6907F65E" w:rsidR="005D3D01" w:rsidRPr="005D3D01" w:rsidRDefault="005D3D01" w:rsidP="005D3D0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1" w:type="dxa"/>
            <w:vAlign w:val="center"/>
          </w:tcPr>
          <w:p w14:paraId="0DDCBE55" w14:textId="7257483E" w:rsidR="005D3D01" w:rsidRDefault="005D3D01" w:rsidP="005D3D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5215" w:type="dxa"/>
            <w:vAlign w:val="center"/>
          </w:tcPr>
          <w:p w14:paraId="687E8CAE" w14:textId="09372442" w:rsidR="005D3D01" w:rsidRPr="00FD3EC1" w:rsidRDefault="008E49B5" w:rsidP="005D3D01">
            <w:r w:rsidRPr="008E49B5">
              <w:t xml:space="preserve">Плановый объём потребления, </w:t>
            </w:r>
            <w:proofErr w:type="spellStart"/>
            <w:r w:rsidRPr="008E49B5">
              <w:t>МВт.ч</w:t>
            </w:r>
            <w:proofErr w:type="spellEnd"/>
            <w:r w:rsidRPr="008E49B5">
              <w:t>.</w:t>
            </w:r>
          </w:p>
        </w:tc>
        <w:tc>
          <w:tcPr>
            <w:tcW w:w="2552" w:type="dxa"/>
          </w:tcPr>
          <w:p w14:paraId="59E7EC31" w14:textId="79FDC53C" w:rsidR="005D3D01" w:rsidRDefault="005D3D01" w:rsidP="005D3D01">
            <w:pPr>
              <w:rPr>
                <w:lang w:val="en-US"/>
              </w:rPr>
            </w:pPr>
            <w:r w:rsidRPr="008775E0">
              <w:rPr>
                <w:sz w:val="22"/>
                <w:szCs w:val="22"/>
                <w:lang w:val="en-US"/>
              </w:rPr>
              <w:t>float</w:t>
            </w:r>
          </w:p>
        </w:tc>
      </w:tr>
      <w:tr w:rsidR="005D3D01" w:rsidRPr="001C337A" w14:paraId="3C56280D" w14:textId="77777777" w:rsidTr="00B603B7">
        <w:trPr>
          <w:trHeight w:val="315"/>
        </w:trPr>
        <w:tc>
          <w:tcPr>
            <w:tcW w:w="0" w:type="auto"/>
            <w:vAlign w:val="center"/>
          </w:tcPr>
          <w:p w14:paraId="139542F5" w14:textId="71835494" w:rsidR="005D3D01" w:rsidRPr="005D3D01" w:rsidRDefault="005D3D01" w:rsidP="005D3D0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11" w:type="dxa"/>
            <w:vAlign w:val="center"/>
          </w:tcPr>
          <w:p w14:paraId="60367B68" w14:textId="4FE0401A" w:rsidR="005D3D01" w:rsidRDefault="005D3D01" w:rsidP="005D3D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5215" w:type="dxa"/>
            <w:vAlign w:val="center"/>
          </w:tcPr>
          <w:p w14:paraId="25292CC9" w14:textId="3B3703DB" w:rsidR="005D3D01" w:rsidRPr="00FD3EC1" w:rsidRDefault="005D3D01" w:rsidP="005D3D01">
            <w:r w:rsidRPr="00485FAE">
              <w:t xml:space="preserve">Полный плановый объем потребления, </w:t>
            </w:r>
            <w:proofErr w:type="spellStart"/>
            <w:r w:rsidRPr="00485FAE">
              <w:t>МВт.ч</w:t>
            </w:r>
            <w:proofErr w:type="spellEnd"/>
            <w:r w:rsidRPr="00485FAE">
              <w:t>.</w:t>
            </w:r>
          </w:p>
        </w:tc>
        <w:tc>
          <w:tcPr>
            <w:tcW w:w="2552" w:type="dxa"/>
          </w:tcPr>
          <w:p w14:paraId="37A7D2FE" w14:textId="178475AD" w:rsidR="005D3D01" w:rsidRDefault="005D3D01" w:rsidP="005D3D01">
            <w:pPr>
              <w:rPr>
                <w:lang w:val="en-US"/>
              </w:rPr>
            </w:pPr>
            <w:r w:rsidRPr="008775E0">
              <w:rPr>
                <w:sz w:val="22"/>
                <w:szCs w:val="22"/>
                <w:lang w:val="en-US"/>
              </w:rPr>
              <w:t>float</w:t>
            </w:r>
          </w:p>
        </w:tc>
      </w:tr>
      <w:tr w:rsidR="005D3D01" w:rsidRPr="001C337A" w14:paraId="77FF1A14" w14:textId="77777777" w:rsidTr="00B603B7">
        <w:trPr>
          <w:trHeight w:val="1104"/>
        </w:trPr>
        <w:tc>
          <w:tcPr>
            <w:tcW w:w="0" w:type="auto"/>
            <w:vAlign w:val="center"/>
          </w:tcPr>
          <w:p w14:paraId="4B86B752" w14:textId="2BF3C86E" w:rsidR="005D3D01" w:rsidRPr="005D3D01" w:rsidRDefault="005D3D01" w:rsidP="005D3D0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11" w:type="dxa"/>
            <w:vAlign w:val="center"/>
          </w:tcPr>
          <w:p w14:paraId="0A33A4DA" w14:textId="087ED255" w:rsidR="005D3D01" w:rsidRPr="008E56B4" w:rsidRDefault="005D3D01" w:rsidP="005D3D01">
            <w:pPr>
              <w:jc w:val="center"/>
              <w:rPr>
                <w:lang w:val="en-US"/>
              </w:rPr>
            </w:pPr>
            <w:proofErr w:type="spellStart"/>
            <w:r w:rsidRPr="001974BC">
              <w:rPr>
                <w:sz w:val="22"/>
                <w:szCs w:val="22"/>
              </w:rPr>
              <w:t>subject</w:t>
            </w:r>
            <w:proofErr w:type="spellEnd"/>
          </w:p>
        </w:tc>
        <w:tc>
          <w:tcPr>
            <w:tcW w:w="5215" w:type="dxa"/>
            <w:vAlign w:val="center"/>
          </w:tcPr>
          <w:p w14:paraId="7A48046D" w14:textId="322822AA" w:rsidR="005D3D01" w:rsidRDefault="005D3D01" w:rsidP="005D3D01">
            <w:r>
              <w:rPr>
                <w:sz w:val="22"/>
                <w:szCs w:val="22"/>
              </w:rPr>
              <w:t>Регион РФ</w:t>
            </w:r>
          </w:p>
        </w:tc>
        <w:tc>
          <w:tcPr>
            <w:tcW w:w="2552" w:type="dxa"/>
          </w:tcPr>
          <w:p w14:paraId="37DEC382" w14:textId="0A184B95" w:rsidR="005D3D01" w:rsidRDefault="005D3D01" w:rsidP="005D3D01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</w:tr>
    </w:tbl>
    <w:p w14:paraId="08714EFF" w14:textId="51FF6957" w:rsidR="008B673C" w:rsidRPr="009F380B" w:rsidRDefault="008B673C" w:rsidP="008B673C">
      <w:pPr>
        <w:pStyle w:val="a5"/>
        <w:keepNext/>
        <w:rPr>
          <w:b/>
          <w:bCs/>
          <w:sz w:val="22"/>
          <w:szCs w:val="22"/>
        </w:rPr>
      </w:pPr>
      <w:r w:rsidRPr="009F380B">
        <w:rPr>
          <w:b/>
          <w:bCs/>
          <w:sz w:val="22"/>
          <w:szCs w:val="22"/>
        </w:rPr>
        <w:t xml:space="preserve">Таблица </w:t>
      </w:r>
      <w:r w:rsidRPr="009F380B">
        <w:rPr>
          <w:b/>
          <w:bCs/>
          <w:sz w:val="22"/>
          <w:szCs w:val="22"/>
        </w:rPr>
        <w:fldChar w:fldCharType="begin"/>
      </w:r>
      <w:r w:rsidRPr="009F380B">
        <w:rPr>
          <w:b/>
          <w:bCs/>
          <w:sz w:val="22"/>
          <w:szCs w:val="22"/>
        </w:rPr>
        <w:instrText xml:space="preserve"> SEQ Таблица \* ARABIC </w:instrText>
      </w:r>
      <w:r w:rsidRPr="009F380B">
        <w:rPr>
          <w:b/>
          <w:bCs/>
          <w:sz w:val="22"/>
          <w:szCs w:val="22"/>
        </w:rPr>
        <w:fldChar w:fldCharType="separate"/>
      </w:r>
      <w:r w:rsidR="003E6140">
        <w:rPr>
          <w:b/>
          <w:bCs/>
          <w:noProof/>
          <w:sz w:val="22"/>
          <w:szCs w:val="22"/>
        </w:rPr>
        <w:t>3</w:t>
      </w:r>
      <w:r w:rsidRPr="009F380B">
        <w:rPr>
          <w:b/>
          <w:bCs/>
          <w:sz w:val="22"/>
          <w:szCs w:val="22"/>
        </w:rPr>
        <w:fldChar w:fldCharType="end"/>
      </w:r>
      <w:r w:rsidRPr="009F380B">
        <w:rPr>
          <w:b/>
          <w:bCs/>
          <w:sz w:val="22"/>
          <w:szCs w:val="22"/>
        </w:rPr>
        <w:t xml:space="preserve"> - </w:t>
      </w:r>
      <w:r w:rsidRPr="008B673C">
        <w:rPr>
          <w:b/>
          <w:bCs/>
          <w:sz w:val="22"/>
          <w:szCs w:val="22"/>
        </w:rPr>
        <w:t>Фактическое потребление электроэнергии</w:t>
      </w:r>
    </w:p>
    <w:tbl>
      <w:tblPr>
        <w:tblStyle w:val="GridTableLight"/>
        <w:tblW w:w="9918" w:type="dxa"/>
        <w:tblLook w:val="04A0" w:firstRow="1" w:lastRow="0" w:firstColumn="1" w:lastColumn="0" w:noHBand="0" w:noVBand="1"/>
      </w:tblPr>
      <w:tblGrid>
        <w:gridCol w:w="338"/>
        <w:gridCol w:w="2286"/>
        <w:gridCol w:w="4879"/>
        <w:gridCol w:w="2415"/>
      </w:tblGrid>
      <w:tr w:rsidR="008B673C" w:rsidRPr="001C337A" w14:paraId="61E6ECD0" w14:textId="77777777" w:rsidTr="00DA6E15">
        <w:trPr>
          <w:trHeight w:val="315"/>
          <w:tblHeader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DF04A99" w14:textId="77777777" w:rsidR="008B673C" w:rsidRPr="00FD3EC1" w:rsidRDefault="008B673C" w:rsidP="00B603B7">
            <w:pPr>
              <w:rPr>
                <w:b/>
                <w:sz w:val="22"/>
                <w:szCs w:val="22"/>
              </w:rPr>
            </w:pPr>
            <w:r w:rsidRPr="00FD3EC1">
              <w:rPr>
                <w:b/>
                <w:sz w:val="22"/>
                <w:szCs w:val="22"/>
              </w:rPr>
              <w:t>#</w:t>
            </w:r>
          </w:p>
        </w:tc>
        <w:tc>
          <w:tcPr>
            <w:tcW w:w="2286" w:type="dxa"/>
            <w:shd w:val="clear" w:color="auto" w:fill="F2F2F2" w:themeFill="background1" w:themeFillShade="F2"/>
            <w:vAlign w:val="center"/>
            <w:hideMark/>
          </w:tcPr>
          <w:p w14:paraId="066AD81B" w14:textId="77777777" w:rsidR="008B673C" w:rsidRPr="00FD3EC1" w:rsidRDefault="008B673C" w:rsidP="00B603B7">
            <w:pPr>
              <w:rPr>
                <w:b/>
                <w:sz w:val="22"/>
                <w:szCs w:val="22"/>
              </w:rPr>
            </w:pPr>
            <w:r w:rsidRPr="00FD3EC1">
              <w:rPr>
                <w:b/>
                <w:sz w:val="22"/>
                <w:szCs w:val="22"/>
              </w:rPr>
              <w:t>Поле</w:t>
            </w:r>
          </w:p>
        </w:tc>
        <w:tc>
          <w:tcPr>
            <w:tcW w:w="4879" w:type="dxa"/>
            <w:shd w:val="clear" w:color="auto" w:fill="F2F2F2" w:themeFill="background1" w:themeFillShade="F2"/>
            <w:vAlign w:val="center"/>
            <w:hideMark/>
          </w:tcPr>
          <w:p w14:paraId="4BF1357C" w14:textId="77777777" w:rsidR="008B673C" w:rsidRPr="00FD3EC1" w:rsidRDefault="008B673C" w:rsidP="00B603B7">
            <w:pPr>
              <w:rPr>
                <w:b/>
                <w:sz w:val="22"/>
                <w:szCs w:val="22"/>
              </w:rPr>
            </w:pPr>
            <w:r w:rsidRPr="00FD3EC1">
              <w:rPr>
                <w:b/>
                <w:sz w:val="22"/>
                <w:szCs w:val="22"/>
              </w:rPr>
              <w:t>Описание поля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7F9DC04B" w14:textId="77777777" w:rsidR="008B673C" w:rsidRPr="00D5470D" w:rsidRDefault="008B673C" w:rsidP="00B603B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Тип данных</w:t>
            </w:r>
          </w:p>
        </w:tc>
      </w:tr>
      <w:tr w:rsidR="008B673C" w:rsidRPr="001C337A" w14:paraId="0C70D3EC" w14:textId="77777777" w:rsidTr="00DA6E15">
        <w:trPr>
          <w:trHeight w:val="315"/>
        </w:trPr>
        <w:tc>
          <w:tcPr>
            <w:tcW w:w="0" w:type="auto"/>
            <w:vAlign w:val="center"/>
            <w:hideMark/>
          </w:tcPr>
          <w:p w14:paraId="61B75547" w14:textId="4F44D3FF" w:rsidR="008B673C" w:rsidRPr="00FD3EC1" w:rsidRDefault="005D3D01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86" w:type="dxa"/>
            <w:vAlign w:val="center"/>
            <w:hideMark/>
          </w:tcPr>
          <w:p w14:paraId="514F7BDA" w14:textId="77777777" w:rsidR="008B673C" w:rsidRPr="00FD3EC1" w:rsidRDefault="008B673C" w:rsidP="00B603B7">
            <w:pPr>
              <w:jc w:val="center"/>
              <w:rPr>
                <w:sz w:val="22"/>
                <w:szCs w:val="22"/>
              </w:rPr>
            </w:pPr>
            <w:proofErr w:type="spellStart"/>
            <w:r w:rsidRPr="001974BC">
              <w:rPr>
                <w:sz w:val="22"/>
                <w:szCs w:val="22"/>
              </w:rPr>
              <w:t>subject</w:t>
            </w:r>
            <w:proofErr w:type="spellEnd"/>
          </w:p>
        </w:tc>
        <w:tc>
          <w:tcPr>
            <w:tcW w:w="4879" w:type="dxa"/>
            <w:vAlign w:val="center"/>
            <w:hideMark/>
          </w:tcPr>
          <w:p w14:paraId="714F4C15" w14:textId="77777777" w:rsidR="008B673C" w:rsidRPr="00FD3EC1" w:rsidRDefault="008B673C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 РФ</w:t>
            </w:r>
          </w:p>
        </w:tc>
        <w:tc>
          <w:tcPr>
            <w:tcW w:w="2415" w:type="dxa"/>
          </w:tcPr>
          <w:p w14:paraId="0A26C56E" w14:textId="77777777" w:rsidR="008B673C" w:rsidRPr="00FD3EC1" w:rsidRDefault="008B673C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</w:tr>
      <w:tr w:rsidR="008B673C" w:rsidRPr="001C337A" w14:paraId="730C505D" w14:textId="77777777" w:rsidTr="00DA6E15">
        <w:trPr>
          <w:trHeight w:val="315"/>
        </w:trPr>
        <w:tc>
          <w:tcPr>
            <w:tcW w:w="0" w:type="auto"/>
            <w:vAlign w:val="center"/>
            <w:hideMark/>
          </w:tcPr>
          <w:p w14:paraId="5F7EB8BC" w14:textId="0DD372DA" w:rsidR="008B673C" w:rsidRPr="00FD3EC1" w:rsidRDefault="005D3D01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86" w:type="dxa"/>
            <w:vAlign w:val="center"/>
            <w:hideMark/>
          </w:tcPr>
          <w:p w14:paraId="1B81E063" w14:textId="77777777" w:rsidR="008B673C" w:rsidRPr="00FD3EC1" w:rsidRDefault="008B673C" w:rsidP="00B603B7">
            <w:pPr>
              <w:jc w:val="center"/>
              <w:rPr>
                <w:sz w:val="22"/>
                <w:szCs w:val="22"/>
              </w:rPr>
            </w:pPr>
            <w:proofErr w:type="spellStart"/>
            <w:r w:rsidRPr="001974BC">
              <w:rPr>
                <w:sz w:val="22"/>
                <w:szCs w:val="22"/>
              </w:rPr>
              <w:t>period</w:t>
            </w:r>
            <w:proofErr w:type="spellEnd"/>
          </w:p>
        </w:tc>
        <w:tc>
          <w:tcPr>
            <w:tcW w:w="4879" w:type="dxa"/>
            <w:vAlign w:val="center"/>
            <w:hideMark/>
          </w:tcPr>
          <w:p w14:paraId="6089F281" w14:textId="77777777" w:rsidR="008B673C" w:rsidRPr="00FD3EC1" w:rsidRDefault="008B673C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Месяц, в котором производятся измерения</w:t>
            </w:r>
          </w:p>
        </w:tc>
        <w:tc>
          <w:tcPr>
            <w:tcW w:w="2415" w:type="dxa"/>
          </w:tcPr>
          <w:p w14:paraId="27293613" w14:textId="4DBD7D0C" w:rsidR="008B673C" w:rsidRPr="004A7E45" w:rsidRDefault="007B5FF2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</w:tr>
      <w:tr w:rsidR="008B673C" w:rsidRPr="001C337A" w14:paraId="5480EB88" w14:textId="77777777" w:rsidTr="00DA6E15">
        <w:trPr>
          <w:trHeight w:val="1104"/>
        </w:trPr>
        <w:tc>
          <w:tcPr>
            <w:tcW w:w="0" w:type="auto"/>
            <w:vAlign w:val="center"/>
            <w:hideMark/>
          </w:tcPr>
          <w:p w14:paraId="63906165" w14:textId="3E61D684" w:rsidR="008B673C" w:rsidRPr="00FD3EC1" w:rsidRDefault="005D3D01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86" w:type="dxa"/>
            <w:vAlign w:val="center"/>
            <w:hideMark/>
          </w:tcPr>
          <w:p w14:paraId="34F55149" w14:textId="77777777" w:rsidR="008B673C" w:rsidRPr="00FD3EC1" w:rsidRDefault="008B673C" w:rsidP="00B603B7">
            <w:pPr>
              <w:jc w:val="center"/>
              <w:rPr>
                <w:sz w:val="22"/>
                <w:szCs w:val="22"/>
              </w:rPr>
            </w:pPr>
            <w:proofErr w:type="spellStart"/>
            <w:r w:rsidRPr="001974BC">
              <w:rPr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4879" w:type="dxa"/>
            <w:vAlign w:val="center"/>
            <w:hideMark/>
          </w:tcPr>
          <w:p w14:paraId="423C1F15" w14:textId="77777777" w:rsidR="008B673C" w:rsidRPr="00FD3EC1" w:rsidRDefault="008B673C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  <w:r w:rsidRPr="00FD3EC1">
              <w:rPr>
                <w:sz w:val="22"/>
                <w:szCs w:val="22"/>
              </w:rPr>
              <w:t> </w:t>
            </w:r>
          </w:p>
        </w:tc>
        <w:tc>
          <w:tcPr>
            <w:tcW w:w="2415" w:type="dxa"/>
          </w:tcPr>
          <w:p w14:paraId="17814000" w14:textId="3BD7912B" w:rsidR="008B673C" w:rsidRPr="00FD3EC1" w:rsidRDefault="005D3D01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timestamp</w:t>
            </w:r>
          </w:p>
        </w:tc>
      </w:tr>
      <w:tr w:rsidR="008B673C" w:rsidRPr="001C337A" w14:paraId="3665AAC2" w14:textId="77777777" w:rsidTr="00DA6E15">
        <w:trPr>
          <w:trHeight w:val="1104"/>
        </w:trPr>
        <w:tc>
          <w:tcPr>
            <w:tcW w:w="0" w:type="auto"/>
            <w:vAlign w:val="center"/>
          </w:tcPr>
          <w:p w14:paraId="70D8AEB3" w14:textId="2A456840" w:rsidR="008B673C" w:rsidRDefault="005D3D01" w:rsidP="00B603B7">
            <w:r>
              <w:t>4</w:t>
            </w:r>
          </w:p>
        </w:tc>
        <w:tc>
          <w:tcPr>
            <w:tcW w:w="2286" w:type="dxa"/>
            <w:vAlign w:val="center"/>
          </w:tcPr>
          <w:p w14:paraId="43B2F141" w14:textId="24B8BA2C" w:rsidR="008B673C" w:rsidRPr="008E56B4" w:rsidRDefault="005D3D01" w:rsidP="00B603B7">
            <w:pPr>
              <w:jc w:val="center"/>
              <w:rPr>
                <w:lang w:val="en-US"/>
              </w:rPr>
            </w:pPr>
            <w:proofErr w:type="spellStart"/>
            <w:r w:rsidRPr="005D3D01">
              <w:rPr>
                <w:lang w:val="en-US"/>
              </w:rPr>
              <w:t>energy_consumption</w:t>
            </w:r>
            <w:proofErr w:type="spellEnd"/>
          </w:p>
        </w:tc>
        <w:tc>
          <w:tcPr>
            <w:tcW w:w="4879" w:type="dxa"/>
            <w:vAlign w:val="center"/>
          </w:tcPr>
          <w:p w14:paraId="42DE1791" w14:textId="7A29B8C6" w:rsidR="008B673C" w:rsidRPr="005D3D01" w:rsidRDefault="005D3D01" w:rsidP="00B603B7">
            <w:r>
              <w:t>Суммарное фактическое потребление электроэнергии в субъекте</w:t>
            </w:r>
            <w:r w:rsidRPr="005D3D01">
              <w:t xml:space="preserve"> </w:t>
            </w:r>
            <w:r>
              <w:t xml:space="preserve">РФ, </w:t>
            </w:r>
            <w:proofErr w:type="spellStart"/>
            <w:r>
              <w:t>МВт.ч</w:t>
            </w:r>
            <w:proofErr w:type="spellEnd"/>
            <w:r>
              <w:t>.</w:t>
            </w:r>
          </w:p>
        </w:tc>
        <w:tc>
          <w:tcPr>
            <w:tcW w:w="2415" w:type="dxa"/>
          </w:tcPr>
          <w:p w14:paraId="5D3ADE0E" w14:textId="4286E4B3" w:rsidR="008B673C" w:rsidRDefault="005D3D01" w:rsidP="00B603B7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</w:tr>
    </w:tbl>
    <w:p w14:paraId="083E362D" w14:textId="7AB104FF" w:rsidR="00DA6E15" w:rsidRPr="009F380B" w:rsidRDefault="00DA6E15" w:rsidP="00DA6E15">
      <w:pPr>
        <w:pStyle w:val="a5"/>
        <w:keepNext/>
        <w:rPr>
          <w:b/>
          <w:bCs/>
          <w:sz w:val="22"/>
          <w:szCs w:val="22"/>
        </w:rPr>
      </w:pPr>
      <w:r w:rsidRPr="009F380B">
        <w:rPr>
          <w:b/>
          <w:bCs/>
          <w:sz w:val="22"/>
          <w:szCs w:val="22"/>
        </w:rPr>
        <w:t xml:space="preserve">Таблица </w:t>
      </w:r>
      <w:r w:rsidRPr="009F380B">
        <w:rPr>
          <w:b/>
          <w:bCs/>
          <w:sz w:val="22"/>
          <w:szCs w:val="22"/>
        </w:rPr>
        <w:fldChar w:fldCharType="begin"/>
      </w:r>
      <w:r w:rsidRPr="009F380B">
        <w:rPr>
          <w:b/>
          <w:bCs/>
          <w:sz w:val="22"/>
          <w:szCs w:val="22"/>
        </w:rPr>
        <w:instrText xml:space="preserve"> SEQ Таблица \* ARABIC </w:instrText>
      </w:r>
      <w:r w:rsidRPr="009F380B">
        <w:rPr>
          <w:b/>
          <w:bCs/>
          <w:sz w:val="22"/>
          <w:szCs w:val="22"/>
        </w:rPr>
        <w:fldChar w:fldCharType="separate"/>
      </w:r>
      <w:r>
        <w:rPr>
          <w:b/>
          <w:bCs/>
          <w:noProof/>
          <w:sz w:val="22"/>
          <w:szCs w:val="22"/>
        </w:rPr>
        <w:t>4</w:t>
      </w:r>
      <w:r w:rsidRPr="009F380B">
        <w:rPr>
          <w:b/>
          <w:bCs/>
          <w:sz w:val="22"/>
          <w:szCs w:val="22"/>
        </w:rPr>
        <w:fldChar w:fldCharType="end"/>
      </w:r>
      <w:r w:rsidRPr="009F380B">
        <w:rPr>
          <w:b/>
          <w:bCs/>
          <w:sz w:val="22"/>
          <w:szCs w:val="22"/>
        </w:rPr>
        <w:t xml:space="preserve"> </w:t>
      </w:r>
      <w:r w:rsidR="001A0B0E">
        <w:rPr>
          <w:b/>
          <w:bCs/>
          <w:sz w:val="22"/>
          <w:szCs w:val="22"/>
        </w:rPr>
        <w:t>–</w:t>
      </w:r>
      <w:r w:rsidRPr="009F380B">
        <w:rPr>
          <w:b/>
          <w:bCs/>
          <w:sz w:val="22"/>
          <w:szCs w:val="22"/>
        </w:rPr>
        <w:t xml:space="preserve"> </w:t>
      </w:r>
      <w:r w:rsidR="001A0B0E">
        <w:rPr>
          <w:b/>
          <w:bCs/>
          <w:sz w:val="22"/>
          <w:szCs w:val="22"/>
        </w:rPr>
        <w:t>Трудовой календарь</w:t>
      </w:r>
    </w:p>
    <w:tbl>
      <w:tblPr>
        <w:tblStyle w:val="GridTableLight"/>
        <w:tblW w:w="9918" w:type="dxa"/>
        <w:tblLook w:val="04A0" w:firstRow="1" w:lastRow="0" w:firstColumn="1" w:lastColumn="0" w:noHBand="0" w:noVBand="1"/>
      </w:tblPr>
      <w:tblGrid>
        <w:gridCol w:w="440"/>
        <w:gridCol w:w="1711"/>
        <w:gridCol w:w="5215"/>
        <w:gridCol w:w="2552"/>
      </w:tblGrid>
      <w:tr w:rsidR="00DA6E15" w:rsidRPr="001C337A" w14:paraId="1C95173B" w14:textId="77777777" w:rsidTr="00B603B7">
        <w:trPr>
          <w:trHeight w:val="315"/>
          <w:tblHeader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5B11764" w14:textId="77777777" w:rsidR="00DA6E15" w:rsidRPr="00FD3EC1" w:rsidRDefault="00DA6E15" w:rsidP="00B603B7">
            <w:pPr>
              <w:rPr>
                <w:b/>
                <w:sz w:val="22"/>
                <w:szCs w:val="22"/>
              </w:rPr>
            </w:pPr>
            <w:r w:rsidRPr="00FD3EC1">
              <w:rPr>
                <w:b/>
                <w:sz w:val="22"/>
                <w:szCs w:val="22"/>
              </w:rPr>
              <w:t>#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  <w:hideMark/>
          </w:tcPr>
          <w:p w14:paraId="05DB3644" w14:textId="77777777" w:rsidR="00DA6E15" w:rsidRPr="00FD3EC1" w:rsidRDefault="00DA6E15" w:rsidP="00B603B7">
            <w:pPr>
              <w:rPr>
                <w:b/>
                <w:sz w:val="22"/>
                <w:szCs w:val="22"/>
              </w:rPr>
            </w:pPr>
            <w:r w:rsidRPr="00FD3EC1">
              <w:rPr>
                <w:b/>
                <w:sz w:val="22"/>
                <w:szCs w:val="22"/>
              </w:rPr>
              <w:t>Поле</w:t>
            </w:r>
          </w:p>
        </w:tc>
        <w:tc>
          <w:tcPr>
            <w:tcW w:w="5215" w:type="dxa"/>
            <w:shd w:val="clear" w:color="auto" w:fill="F2F2F2" w:themeFill="background1" w:themeFillShade="F2"/>
            <w:vAlign w:val="center"/>
            <w:hideMark/>
          </w:tcPr>
          <w:p w14:paraId="45BD8780" w14:textId="77777777" w:rsidR="00DA6E15" w:rsidRPr="00FD3EC1" w:rsidRDefault="00DA6E15" w:rsidP="00B603B7">
            <w:pPr>
              <w:rPr>
                <w:b/>
                <w:sz w:val="22"/>
                <w:szCs w:val="22"/>
              </w:rPr>
            </w:pPr>
            <w:r w:rsidRPr="00FD3EC1">
              <w:rPr>
                <w:b/>
                <w:sz w:val="22"/>
                <w:szCs w:val="22"/>
              </w:rPr>
              <w:t>Описание поля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3040734" w14:textId="77777777" w:rsidR="00DA6E15" w:rsidRPr="00D5470D" w:rsidRDefault="00DA6E15" w:rsidP="00B603B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Тип данных</w:t>
            </w:r>
          </w:p>
        </w:tc>
      </w:tr>
      <w:tr w:rsidR="00DA6E15" w:rsidRPr="001C337A" w14:paraId="540102B8" w14:textId="77777777" w:rsidTr="00B603B7">
        <w:trPr>
          <w:trHeight w:val="315"/>
        </w:trPr>
        <w:tc>
          <w:tcPr>
            <w:tcW w:w="0" w:type="auto"/>
            <w:vAlign w:val="center"/>
            <w:hideMark/>
          </w:tcPr>
          <w:p w14:paraId="1EA8F4E6" w14:textId="77777777" w:rsidR="00DA6E15" w:rsidRPr="00FD3EC1" w:rsidRDefault="00DA6E15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11" w:type="dxa"/>
            <w:vAlign w:val="center"/>
            <w:hideMark/>
          </w:tcPr>
          <w:p w14:paraId="52C7D373" w14:textId="097869BD" w:rsidR="00DA6E15" w:rsidRPr="001A0B0E" w:rsidRDefault="001A0B0E" w:rsidP="00B603B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5215" w:type="dxa"/>
            <w:vAlign w:val="center"/>
            <w:hideMark/>
          </w:tcPr>
          <w:p w14:paraId="5707CFF2" w14:textId="65202800" w:rsidR="00DA6E15" w:rsidRPr="00FD3EC1" w:rsidRDefault="001A0B0E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552" w:type="dxa"/>
          </w:tcPr>
          <w:p w14:paraId="61C169B4" w14:textId="4C173FBB" w:rsidR="00DA6E15" w:rsidRPr="00FD3EC1" w:rsidRDefault="001A0B0E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</w:tr>
      <w:tr w:rsidR="00DA6E15" w:rsidRPr="001C337A" w14:paraId="2393AE88" w14:textId="77777777" w:rsidTr="00B603B7">
        <w:trPr>
          <w:trHeight w:val="315"/>
        </w:trPr>
        <w:tc>
          <w:tcPr>
            <w:tcW w:w="0" w:type="auto"/>
            <w:vAlign w:val="center"/>
            <w:hideMark/>
          </w:tcPr>
          <w:p w14:paraId="45D22F00" w14:textId="77777777" w:rsidR="00DA6E15" w:rsidRPr="00FD3EC1" w:rsidRDefault="00DA6E15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11" w:type="dxa"/>
            <w:vAlign w:val="center"/>
            <w:hideMark/>
          </w:tcPr>
          <w:p w14:paraId="2B61EAE4" w14:textId="6E328E0A" w:rsidR="00DA6E15" w:rsidRPr="001A0B0E" w:rsidRDefault="001A0B0E" w:rsidP="00B603B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dt</w:t>
            </w:r>
          </w:p>
        </w:tc>
        <w:tc>
          <w:tcPr>
            <w:tcW w:w="5215" w:type="dxa"/>
            <w:vAlign w:val="center"/>
            <w:hideMark/>
          </w:tcPr>
          <w:p w14:paraId="667D0923" w14:textId="44AF29B5" w:rsidR="00DA6E15" w:rsidRPr="00FD3EC1" w:rsidRDefault="001A0B0E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552" w:type="dxa"/>
          </w:tcPr>
          <w:p w14:paraId="65D47B86" w14:textId="1DE8456B" w:rsidR="00DA6E15" w:rsidRPr="004A7E45" w:rsidRDefault="001A0B0E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timestamp</w:t>
            </w:r>
          </w:p>
        </w:tc>
      </w:tr>
      <w:tr w:rsidR="00DA6E15" w:rsidRPr="001C337A" w14:paraId="3CC5C8E5" w14:textId="77777777" w:rsidTr="00B603B7">
        <w:trPr>
          <w:trHeight w:val="1104"/>
        </w:trPr>
        <w:tc>
          <w:tcPr>
            <w:tcW w:w="0" w:type="auto"/>
            <w:vAlign w:val="center"/>
            <w:hideMark/>
          </w:tcPr>
          <w:p w14:paraId="739B4BA1" w14:textId="77777777" w:rsidR="00DA6E15" w:rsidRPr="00FD3EC1" w:rsidRDefault="00DA6E15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11" w:type="dxa"/>
            <w:vAlign w:val="center"/>
            <w:hideMark/>
          </w:tcPr>
          <w:p w14:paraId="27B1507B" w14:textId="2651FB1B" w:rsidR="00DA6E15" w:rsidRPr="001A0B0E" w:rsidRDefault="001A0B0E" w:rsidP="00B603B7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isworkday</w:t>
            </w:r>
            <w:proofErr w:type="spellEnd"/>
          </w:p>
        </w:tc>
        <w:tc>
          <w:tcPr>
            <w:tcW w:w="5215" w:type="dxa"/>
            <w:vAlign w:val="center"/>
            <w:hideMark/>
          </w:tcPr>
          <w:p w14:paraId="58695539" w14:textId="55F978DD" w:rsidR="00DA6E15" w:rsidRPr="00763E52" w:rsidRDefault="001A0B0E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Отметка о рабочем дне (</w:t>
            </w:r>
            <w:r w:rsidR="00763E52">
              <w:rPr>
                <w:sz w:val="22"/>
                <w:szCs w:val="22"/>
              </w:rPr>
              <w:t xml:space="preserve">Если день рабочий = </w:t>
            </w:r>
            <w:r w:rsidR="00763E52">
              <w:rPr>
                <w:sz w:val="22"/>
                <w:szCs w:val="22"/>
                <w:lang w:val="en-US"/>
              </w:rPr>
              <w:t>true</w:t>
            </w:r>
            <w:r w:rsidR="00763E52" w:rsidRPr="00763E52">
              <w:rPr>
                <w:sz w:val="22"/>
                <w:szCs w:val="22"/>
              </w:rPr>
              <w:t>)</w:t>
            </w:r>
          </w:p>
        </w:tc>
        <w:tc>
          <w:tcPr>
            <w:tcW w:w="2552" w:type="dxa"/>
          </w:tcPr>
          <w:p w14:paraId="5BF7640A" w14:textId="08424D36" w:rsidR="00DA6E15" w:rsidRPr="00FD3EC1" w:rsidRDefault="001A0B0E" w:rsidP="00B60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bool</w:t>
            </w:r>
          </w:p>
        </w:tc>
      </w:tr>
      <w:tr w:rsidR="00DA6E15" w:rsidRPr="001C337A" w14:paraId="6F39D185" w14:textId="77777777" w:rsidTr="00B603B7">
        <w:trPr>
          <w:trHeight w:val="1104"/>
        </w:trPr>
        <w:tc>
          <w:tcPr>
            <w:tcW w:w="0" w:type="auto"/>
            <w:vAlign w:val="center"/>
          </w:tcPr>
          <w:p w14:paraId="0AB8DD4D" w14:textId="77777777" w:rsidR="00DA6E15" w:rsidRDefault="00DA6E15" w:rsidP="00B603B7">
            <w:r>
              <w:t>4</w:t>
            </w:r>
          </w:p>
        </w:tc>
        <w:tc>
          <w:tcPr>
            <w:tcW w:w="1711" w:type="dxa"/>
            <w:vAlign w:val="center"/>
          </w:tcPr>
          <w:p w14:paraId="710E79DC" w14:textId="3DAE3A50" w:rsidR="00DA6E15" w:rsidRPr="008E56B4" w:rsidRDefault="001A0B0E" w:rsidP="00B603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isholiday</w:t>
            </w:r>
            <w:proofErr w:type="spellEnd"/>
          </w:p>
        </w:tc>
        <w:tc>
          <w:tcPr>
            <w:tcW w:w="5215" w:type="dxa"/>
            <w:vAlign w:val="center"/>
          </w:tcPr>
          <w:p w14:paraId="5365D12D" w14:textId="0A6EA6BD" w:rsidR="00DA6E15" w:rsidRPr="005D3D01" w:rsidRDefault="00763E52" w:rsidP="00B603B7">
            <w:r>
              <w:rPr>
                <w:sz w:val="22"/>
                <w:szCs w:val="22"/>
              </w:rPr>
              <w:t xml:space="preserve">Отметка о праздничном дне (Если день праздничный = </w:t>
            </w:r>
            <w:r>
              <w:rPr>
                <w:sz w:val="22"/>
                <w:szCs w:val="22"/>
                <w:lang w:val="en-US"/>
              </w:rPr>
              <w:t>true</w:t>
            </w:r>
            <w:r w:rsidRPr="00763E52">
              <w:rPr>
                <w:sz w:val="22"/>
                <w:szCs w:val="22"/>
              </w:rPr>
              <w:t>)</w:t>
            </w:r>
          </w:p>
        </w:tc>
        <w:tc>
          <w:tcPr>
            <w:tcW w:w="2552" w:type="dxa"/>
          </w:tcPr>
          <w:p w14:paraId="041686B0" w14:textId="4CF97940" w:rsidR="00DA6E15" w:rsidRDefault="001A0B0E" w:rsidP="00B603B7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bool</w:t>
            </w:r>
          </w:p>
        </w:tc>
      </w:tr>
    </w:tbl>
    <w:p w14:paraId="3A5921C5" w14:textId="77777777" w:rsidR="008B673C" w:rsidRDefault="008B673C" w:rsidP="007326F9">
      <w:pPr>
        <w:ind w:firstLine="567"/>
        <w:rPr>
          <w:b/>
          <w:bCs/>
          <w:i/>
          <w:iCs/>
          <w:sz w:val="24"/>
          <w:szCs w:val="24"/>
        </w:rPr>
      </w:pPr>
    </w:p>
    <w:p w14:paraId="4BE876EE" w14:textId="57814B0B" w:rsidR="009A04F4" w:rsidRDefault="00E65D50" w:rsidP="007326F9">
      <w:pPr>
        <w:ind w:firstLine="567"/>
        <w:rPr>
          <w:b/>
          <w:bCs/>
        </w:rPr>
      </w:pPr>
      <w:r>
        <w:rPr>
          <w:b/>
          <w:bCs/>
        </w:rPr>
        <w:t xml:space="preserve">Часть 1: </w:t>
      </w:r>
      <w:r w:rsidR="00117DAE">
        <w:rPr>
          <w:b/>
          <w:bCs/>
        </w:rPr>
        <w:t>Предварительная обработка данных</w:t>
      </w:r>
    </w:p>
    <w:p w14:paraId="2FF8D17C" w14:textId="4B3D270D" w:rsidR="00117DAE" w:rsidRDefault="00DF2B84" w:rsidP="00117DAE">
      <w:pPr>
        <w:ind w:firstLine="567"/>
      </w:pPr>
      <w:r>
        <w:t>Необходимо р</w:t>
      </w:r>
      <w:r w:rsidR="000D63FA" w:rsidRPr="00117DAE">
        <w:t>ассчитать пиковые часы</w:t>
      </w:r>
      <w:r w:rsidR="00117DAE" w:rsidRPr="00117DAE">
        <w:t>, используя данные о фактическом потреблении электроэнергии и интервалы из документа «Плановые</w:t>
      </w:r>
      <w:r w:rsidR="00117DAE">
        <w:t xml:space="preserve"> часы пиковой нагрузки на 2021 год для территорий, отнесенных к ценовым зонам оптово</w:t>
      </w:r>
      <w:bookmarkStart w:id="0" w:name="_GoBack"/>
      <w:bookmarkEnd w:id="0"/>
      <w:r w:rsidR="00117DAE">
        <w:t>го рынка»</w:t>
      </w:r>
      <w:r>
        <w:t>.</w:t>
      </w:r>
    </w:p>
    <w:p w14:paraId="63AED145" w14:textId="01015326" w:rsidR="00DF2B84" w:rsidRDefault="00DF2B84" w:rsidP="00DF2B84">
      <w:pPr>
        <w:ind w:firstLine="567"/>
      </w:pPr>
      <w:r>
        <w:t xml:space="preserve">Для этого следует вычислить максимальное значение фактического потребления электроэнергии для каждого дня внутри диапазона, доступного в документе </w:t>
      </w:r>
      <w:r w:rsidRPr="00117DAE">
        <w:t>«Плановые</w:t>
      </w:r>
      <w:r>
        <w:t xml:space="preserve"> часы пиковой нагрузки на 2021 год для территорий, отнесенных к ценовым зонам оптового рынка».</w:t>
      </w:r>
    </w:p>
    <w:p w14:paraId="5C3DE187" w14:textId="4C3E1B73" w:rsidR="00807F8A" w:rsidRDefault="00807F8A" w:rsidP="00807F8A">
      <w:r>
        <w:lastRenderedPageBreak/>
        <w:t>Таким образом, час пиковой нагрузки это:</w:t>
      </w:r>
    </w:p>
    <w:p w14:paraId="4D01DF1B" w14:textId="77777777" w:rsidR="00807F8A" w:rsidRDefault="00807F8A" w:rsidP="00807F8A">
      <w:pPr>
        <w:pStyle w:val="a4"/>
        <w:numPr>
          <w:ilvl w:val="0"/>
          <w:numId w:val="15"/>
        </w:numPr>
      </w:pPr>
      <w:r>
        <w:t>Час с наибольшим значением фактического потребления энергии в течение дня</w:t>
      </w:r>
    </w:p>
    <w:p w14:paraId="5BD8F5E9" w14:textId="77777777" w:rsidR="00807F8A" w:rsidRDefault="00807F8A" w:rsidP="00807F8A">
      <w:pPr>
        <w:pStyle w:val="a4"/>
        <w:numPr>
          <w:ilvl w:val="0"/>
          <w:numId w:val="15"/>
        </w:numPr>
      </w:pPr>
      <w:r>
        <w:t>Находящийся в часовом диапазоне для ценовой зоны, соответствующем моделируемому региону</w:t>
      </w:r>
    </w:p>
    <w:p w14:paraId="7501C6B1" w14:textId="42BF67EB" w:rsidR="008E49B5" w:rsidRDefault="003E6140" w:rsidP="008E49B5">
      <w:pPr>
        <w:ind w:firstLine="567"/>
      </w:pPr>
      <w:r>
        <w:t>В итоге</w:t>
      </w:r>
      <w:r w:rsidR="008E49B5">
        <w:t xml:space="preserve"> необходимо</w:t>
      </w:r>
      <w:r>
        <w:t xml:space="preserve"> получить </w:t>
      </w:r>
      <w:r w:rsidR="00232DB6">
        <w:t xml:space="preserve">данные </w:t>
      </w:r>
      <w:r>
        <w:t>в виде</w:t>
      </w:r>
      <w:r w:rsidR="00232DB6">
        <w:t xml:space="preserve"> временн</w:t>
      </w:r>
      <w:r>
        <w:t>ого</w:t>
      </w:r>
      <w:r w:rsidR="00232DB6">
        <w:t xml:space="preserve"> ряд</w:t>
      </w:r>
      <w:r>
        <w:t>а</w:t>
      </w:r>
      <w:r w:rsidR="00232DB6">
        <w:t xml:space="preserve"> вида:</w:t>
      </w:r>
    </w:p>
    <w:p w14:paraId="29A2C62A" w14:textId="0411C4A4" w:rsidR="00232DB6" w:rsidRDefault="00232DB6" w:rsidP="008E49B5">
      <w:pPr>
        <w:ind w:firstLine="567"/>
        <w:rPr>
          <w:b/>
          <w:bCs/>
          <w:color w:val="70AD47" w:themeColor="accent6"/>
        </w:rPr>
      </w:pPr>
      <w:r w:rsidRPr="00232DB6">
        <w:rPr>
          <w:b/>
          <w:bCs/>
          <w:color w:val="FF0000"/>
        </w:rPr>
        <w:t>Регион РФ</w:t>
      </w:r>
      <w:r w:rsidRPr="00232DB6">
        <w:rPr>
          <w:color w:val="FF0000"/>
        </w:rPr>
        <w:t xml:space="preserve"> </w:t>
      </w:r>
      <w:r>
        <w:t>-</w:t>
      </w:r>
      <w:r w:rsidRPr="00232DB6">
        <w:t xml:space="preserve">&gt; </w:t>
      </w:r>
      <w:r w:rsidRPr="00232DB6">
        <w:rPr>
          <w:b/>
          <w:bCs/>
          <w:color w:val="4472C4" w:themeColor="accent1"/>
        </w:rPr>
        <w:t>Дата</w:t>
      </w:r>
      <w:r>
        <w:t xml:space="preserve"> -</w:t>
      </w:r>
      <w:r w:rsidRPr="00232DB6">
        <w:t xml:space="preserve">&gt; </w:t>
      </w:r>
      <w:r w:rsidRPr="00232DB6">
        <w:rPr>
          <w:b/>
          <w:bCs/>
          <w:color w:val="70AD47" w:themeColor="accent6"/>
        </w:rPr>
        <w:t>Номер часа пиковой нагрузки</w:t>
      </w:r>
    </w:p>
    <w:p w14:paraId="0E73DB1C" w14:textId="2AD62B17" w:rsidR="003E6140" w:rsidRPr="005C7D9D" w:rsidRDefault="003E6140" w:rsidP="003E6140">
      <w:pPr>
        <w:ind w:left="360"/>
        <w:rPr>
          <w:b/>
          <w:bCs/>
        </w:rPr>
      </w:pPr>
      <w:r w:rsidRPr="005C7D9D">
        <w:rPr>
          <w:b/>
          <w:bCs/>
        </w:rPr>
        <w:t xml:space="preserve">Часть </w:t>
      </w:r>
      <w:r>
        <w:rPr>
          <w:b/>
          <w:bCs/>
        </w:rPr>
        <w:t>2</w:t>
      </w:r>
      <w:r w:rsidRPr="005C7D9D">
        <w:rPr>
          <w:b/>
          <w:bCs/>
        </w:rPr>
        <w:t xml:space="preserve">: </w:t>
      </w:r>
      <w:r>
        <w:rPr>
          <w:b/>
          <w:bCs/>
        </w:rPr>
        <w:t>Эталонная модель</w:t>
      </w:r>
    </w:p>
    <w:p w14:paraId="3BF7D2EE" w14:textId="1D0A71D0" w:rsidR="003E6140" w:rsidRDefault="003E6140" w:rsidP="003E6140">
      <w:pPr>
        <w:ind w:left="360"/>
      </w:pPr>
      <w:r>
        <w:t>Эталонная модель – способ прогнозирования, при котором в качестве прогноза для пиковых часов используются наиболее часто встречающиеся значения соответствующего месяца прошлого года, объединенные в 4-часовой диапазон.</w:t>
      </w:r>
    </w:p>
    <w:p w14:paraId="34BCFC26" w14:textId="797CAFD4" w:rsidR="003E6140" w:rsidRDefault="003E6140" w:rsidP="003E6140">
      <w:pPr>
        <w:ind w:left="360"/>
      </w:pPr>
      <w:r>
        <w:t>Для построения эталонной модели необходимо:</w:t>
      </w:r>
    </w:p>
    <w:p w14:paraId="3F724616" w14:textId="00ED25C0" w:rsidR="003E6140" w:rsidRDefault="003E6140" w:rsidP="003E6140">
      <w:pPr>
        <w:pStyle w:val="a4"/>
        <w:numPr>
          <w:ilvl w:val="0"/>
          <w:numId w:val="17"/>
        </w:numPr>
      </w:pPr>
      <w:r>
        <w:t>Вычислить статистику по пиковым часам за предыдущий год (доля значений пиковых часов за весь месяц, соответствующих каждому часу</w:t>
      </w:r>
      <w:r w:rsidR="007B5FF2">
        <w:t xml:space="preserve"> с 0-го по 23-й</w:t>
      </w:r>
      <w:r>
        <w:t>)</w:t>
      </w:r>
    </w:p>
    <w:p w14:paraId="44EE37F3" w14:textId="5747E06F" w:rsidR="003E6140" w:rsidRDefault="003E6140" w:rsidP="003E6140">
      <w:pPr>
        <w:pStyle w:val="a4"/>
        <w:numPr>
          <w:ilvl w:val="0"/>
          <w:numId w:val="17"/>
        </w:numPr>
      </w:pPr>
      <w:r>
        <w:t>Определить 4-часовой диапазон для месяца, для которого сумма долей максимальна</w:t>
      </w:r>
    </w:p>
    <w:p w14:paraId="3A0ED026" w14:textId="0A85B91C" w:rsidR="007B5FF2" w:rsidRDefault="007B5FF2" w:rsidP="00D162FB">
      <w:pPr>
        <w:pStyle w:val="a4"/>
        <w:numPr>
          <w:ilvl w:val="0"/>
          <w:numId w:val="17"/>
        </w:numPr>
      </w:pPr>
      <w:r>
        <w:t>Если пиковое значение попадает на единственный час, то для диапазона необходимо брать значения, предшествующие ему.</w:t>
      </w:r>
    </w:p>
    <w:p w14:paraId="7B79EAD9" w14:textId="0C7ACEB5" w:rsidR="003E6140" w:rsidRDefault="003E6140" w:rsidP="003E6140">
      <w:pPr>
        <w:pStyle w:val="a4"/>
        <w:numPr>
          <w:ilvl w:val="0"/>
          <w:numId w:val="17"/>
        </w:numPr>
      </w:pPr>
      <w:r>
        <w:t>Использовать данный диапазон для прогнозирования значений за соответствующие месяцы 2022 г.</w:t>
      </w:r>
    </w:p>
    <w:p w14:paraId="5E589FCA" w14:textId="77777777" w:rsidR="007B5FF2" w:rsidRDefault="007B5FF2" w:rsidP="007B5FF2"/>
    <w:p w14:paraId="07FBAE55" w14:textId="68FB5A51" w:rsidR="003E6140" w:rsidRPr="00D91BD3" w:rsidRDefault="003E6140" w:rsidP="003E6140">
      <w:pPr>
        <w:pStyle w:val="a5"/>
        <w:keepNext/>
        <w:rPr>
          <w:b/>
          <w:bCs/>
          <w:sz w:val="22"/>
          <w:szCs w:val="22"/>
        </w:rPr>
      </w:pPr>
      <w:r w:rsidRPr="00D91BD3">
        <w:rPr>
          <w:b/>
          <w:bCs/>
          <w:sz w:val="22"/>
          <w:szCs w:val="22"/>
        </w:rPr>
        <w:t xml:space="preserve">Таблица </w:t>
      </w:r>
      <w:r w:rsidRPr="00D91BD3">
        <w:rPr>
          <w:b/>
          <w:bCs/>
          <w:sz w:val="22"/>
          <w:szCs w:val="22"/>
        </w:rPr>
        <w:fldChar w:fldCharType="begin"/>
      </w:r>
      <w:r w:rsidRPr="00D91BD3">
        <w:rPr>
          <w:b/>
          <w:bCs/>
          <w:sz w:val="22"/>
          <w:szCs w:val="22"/>
        </w:rPr>
        <w:instrText xml:space="preserve"> SEQ Таблица \* ARABIC </w:instrText>
      </w:r>
      <w:r w:rsidRPr="00D91BD3">
        <w:rPr>
          <w:b/>
          <w:bCs/>
          <w:sz w:val="22"/>
          <w:szCs w:val="22"/>
        </w:rPr>
        <w:fldChar w:fldCharType="separate"/>
      </w:r>
      <w:r>
        <w:rPr>
          <w:b/>
          <w:bCs/>
          <w:noProof/>
          <w:sz w:val="22"/>
          <w:szCs w:val="22"/>
        </w:rPr>
        <w:t>4</w:t>
      </w:r>
      <w:r w:rsidRPr="00D91BD3">
        <w:rPr>
          <w:b/>
          <w:bCs/>
          <w:sz w:val="22"/>
          <w:szCs w:val="22"/>
        </w:rPr>
        <w:fldChar w:fldCharType="end"/>
      </w:r>
      <w:r w:rsidRPr="00D91BD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–</w:t>
      </w:r>
      <w:r w:rsidRPr="00D91BD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Статистика по пиковым часам региона в 2021 г. (пример)</w:t>
      </w:r>
    </w:p>
    <w:tbl>
      <w:tblPr>
        <w:tblW w:w="4900" w:type="dxa"/>
        <w:tblLook w:val="04A0" w:firstRow="1" w:lastRow="0" w:firstColumn="1" w:lastColumn="0" w:noHBand="0" w:noVBand="1"/>
      </w:tblPr>
      <w:tblGrid>
        <w:gridCol w:w="960"/>
        <w:gridCol w:w="1060"/>
        <w:gridCol w:w="960"/>
        <w:gridCol w:w="960"/>
        <w:gridCol w:w="960"/>
      </w:tblGrid>
      <w:tr w:rsidR="003E6140" w:rsidRPr="00AE13FE" w14:paraId="4BB5B93B" w14:textId="77777777" w:rsidTr="00B603B7">
        <w:trPr>
          <w:trHeight w:val="30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BB663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E70F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март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DDEC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апрель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9EC4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май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C4F5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июнь</w:t>
            </w:r>
          </w:p>
        </w:tc>
      </w:tr>
      <w:tr w:rsidR="003E6140" w:rsidRPr="00AE13FE" w14:paraId="1F2A6967" w14:textId="77777777" w:rsidTr="00B603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D830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756A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4464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84D9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4E7A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1AEF35D3" w14:textId="77777777" w:rsidTr="00B603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480B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AD9B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E476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2B7C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D265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50C63732" w14:textId="77777777" w:rsidTr="00B603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AC4D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FF35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6A0D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275F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5F9F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5DCEF4E0" w14:textId="77777777" w:rsidTr="00B603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4A3C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CE2B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1074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FAE5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0B58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30314B3F" w14:textId="77777777" w:rsidTr="00B603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2145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437C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C9B4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008B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9B9B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61F62FFB" w14:textId="77777777" w:rsidTr="00B603B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83BB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8096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EACF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EBD5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FBAE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4E5D4182" w14:textId="77777777" w:rsidTr="00B603B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8E12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12DE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AFAF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688AB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6985D585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077C7F6E" w14:textId="77777777" w:rsidTr="00B603B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EB2B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98D3BF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10%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1B48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36B46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5ED75FA1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0FB889C7" w14:textId="77777777" w:rsidTr="00B603B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14D91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12" w:space="0" w:color="FF0000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000000" w:fill="E2EFDA"/>
            <w:noWrap/>
            <w:vAlign w:val="bottom"/>
            <w:hideMark/>
          </w:tcPr>
          <w:p w14:paraId="54798CC4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17%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13EB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AFA9C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000000" w:fill="E2EFDA"/>
            <w:noWrap/>
            <w:vAlign w:val="bottom"/>
            <w:hideMark/>
          </w:tcPr>
          <w:p w14:paraId="25ECFD27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70%</w:t>
            </w:r>
          </w:p>
        </w:tc>
      </w:tr>
      <w:tr w:rsidR="003E6140" w:rsidRPr="00AE13FE" w14:paraId="3E3127EB" w14:textId="77777777" w:rsidTr="00B603B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A4B25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15719898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F7C401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15%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72A76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E2EFDA"/>
            <w:noWrap/>
            <w:vAlign w:val="bottom"/>
            <w:hideMark/>
          </w:tcPr>
          <w:p w14:paraId="4E94D160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5%</w:t>
            </w:r>
          </w:p>
        </w:tc>
      </w:tr>
      <w:tr w:rsidR="003E6140" w:rsidRPr="00AE13FE" w14:paraId="29F2179D" w14:textId="77777777" w:rsidTr="00B603B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52641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000000" w:fill="E2EFDA"/>
            <w:noWrap/>
            <w:vAlign w:val="bottom"/>
            <w:hideMark/>
          </w:tcPr>
          <w:p w14:paraId="52297B2E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677F63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AD1D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1B90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479C9EB6" w14:textId="77777777" w:rsidTr="00B603B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0B3A2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E2EFDA"/>
            <w:noWrap/>
            <w:vAlign w:val="bottom"/>
            <w:hideMark/>
          </w:tcPr>
          <w:p w14:paraId="2F782BC7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15%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42BE3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5C847EF3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2829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0131390A" w14:textId="77777777" w:rsidTr="00B603B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8295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7B7F7F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6FE29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2FE12843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631D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2EAAE1ED" w14:textId="77777777" w:rsidTr="00B603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DE84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5C66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39052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28245668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AB9A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06468FBB" w14:textId="77777777" w:rsidTr="00B603B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16AA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623B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94F9E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E2EFDA"/>
            <w:noWrap/>
            <w:vAlign w:val="bottom"/>
            <w:hideMark/>
          </w:tcPr>
          <w:p w14:paraId="1260469B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94%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527F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03C7F96F" w14:textId="77777777" w:rsidTr="00B603B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B83F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3562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95CB0A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14%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21B0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3BB9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61EEA9A7" w14:textId="77777777" w:rsidTr="00B603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C6E8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72DF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9E84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0F10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9BE0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051EC54D" w14:textId="77777777" w:rsidTr="00B603B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5E3C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F338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99DC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8A0D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FBBF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3E15D1D7" w14:textId="77777777" w:rsidTr="00B603B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D891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517F1FD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23%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42AB6368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6738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B266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794D7895" w14:textId="77777777" w:rsidTr="00B603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F653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9CA75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0B18D175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3F28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D093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1A9420B7" w14:textId="77777777" w:rsidTr="00B603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7DC99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6A5C9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000000" w:fill="E2EFDA"/>
            <w:noWrap/>
            <w:vAlign w:val="bottom"/>
            <w:hideMark/>
          </w:tcPr>
          <w:p w14:paraId="24C2DF72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30%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E091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6E17CF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10%</w:t>
            </w:r>
          </w:p>
        </w:tc>
      </w:tr>
      <w:tr w:rsidR="003E6140" w:rsidRPr="00AE13FE" w14:paraId="0C586A43" w14:textId="77777777" w:rsidTr="00B603B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CF05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98DBD30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E2EFDA"/>
            <w:noWrap/>
            <w:vAlign w:val="bottom"/>
            <w:hideMark/>
          </w:tcPr>
          <w:p w14:paraId="1D9F8573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16%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CF4A4C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6%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61FDF5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eastAsia="ru-RU"/>
              </w:rPr>
              <w:t>15%</w:t>
            </w:r>
          </w:p>
        </w:tc>
      </w:tr>
      <w:tr w:rsidR="003E6140" w:rsidRPr="00AE13FE" w14:paraId="2FD24E37" w14:textId="77777777" w:rsidTr="00B603B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400B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A635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32A6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B34A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0570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  <w:tr w:rsidR="003E6140" w:rsidRPr="00AE13FE" w14:paraId="00033384" w14:textId="77777777" w:rsidTr="00B603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541F" w14:textId="77777777" w:rsidR="003E6140" w:rsidRPr="00AE13FE" w:rsidRDefault="003E6140" w:rsidP="00B60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EF53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F042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FB27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E594" w14:textId="77777777" w:rsidR="003E6140" w:rsidRPr="00AE13FE" w:rsidRDefault="003E6140" w:rsidP="00B6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AE13FE">
              <w:rPr>
                <w:rFonts w:ascii="Calibri" w:eastAsia="Times New Roman" w:hAnsi="Calibri" w:cs="Calibri"/>
                <w:color w:val="A6A6A6"/>
                <w:lang w:eastAsia="ru-RU"/>
              </w:rPr>
              <w:t>0%</w:t>
            </w:r>
          </w:p>
        </w:tc>
      </w:tr>
    </w:tbl>
    <w:p w14:paraId="15DBECC7" w14:textId="77777777" w:rsidR="003E6140" w:rsidRDefault="003E6140" w:rsidP="003E6140">
      <w:pPr>
        <w:ind w:left="360"/>
      </w:pPr>
    </w:p>
    <w:p w14:paraId="31174D03" w14:textId="77777777" w:rsidR="003E6140" w:rsidRDefault="003E6140" w:rsidP="003E6140">
      <w:pPr>
        <w:ind w:left="360"/>
      </w:pPr>
      <w:r>
        <w:t>Согласно данной таблице прогнозом для марта 2022 года будет диапазон от 8-го до 10-го часов (так как в сумме это 57% всех значений марта 2021).</w:t>
      </w:r>
    </w:p>
    <w:p w14:paraId="65F22EA9" w14:textId="77777777" w:rsidR="003E6140" w:rsidRDefault="003E6140" w:rsidP="003E6140">
      <w:pPr>
        <w:ind w:left="360"/>
      </w:pPr>
      <w:r>
        <w:t>Прогноз для апреля – часы с 18-го до 21-го (46% всех значений апреля 2021).</w:t>
      </w:r>
    </w:p>
    <w:p w14:paraId="16F5054B" w14:textId="77777777" w:rsidR="003E6140" w:rsidRDefault="003E6140" w:rsidP="003E6140">
      <w:pPr>
        <w:ind w:left="360"/>
      </w:pPr>
      <w:r>
        <w:t>Прогноз для мая – часы с 11-го до 14-го (94% всех значений мая 2021).</w:t>
      </w:r>
    </w:p>
    <w:p w14:paraId="50D8BBA7" w14:textId="77777777" w:rsidR="003E6140" w:rsidRDefault="003E6140" w:rsidP="003E6140">
      <w:pPr>
        <w:ind w:left="360"/>
      </w:pPr>
      <w:r>
        <w:t>Прогноз для июня – часы с 6-го до 9-го (75% всех значений июня 2021).</w:t>
      </w:r>
    </w:p>
    <w:p w14:paraId="25A3D25B" w14:textId="77777777" w:rsidR="003E6140" w:rsidRDefault="003E6140" w:rsidP="003E6140">
      <w:pPr>
        <w:ind w:left="360"/>
      </w:pPr>
      <w:r>
        <w:t>Тот прогноз, который выдает эталонная модель – это константа, неизменная в течение всего месяца.</w:t>
      </w:r>
    </w:p>
    <w:p w14:paraId="48882612" w14:textId="4DF076CD" w:rsidR="00232DB6" w:rsidRDefault="00232DB6" w:rsidP="00232DB6">
      <w:pPr>
        <w:ind w:firstLine="567"/>
        <w:rPr>
          <w:b/>
          <w:bCs/>
        </w:rPr>
      </w:pPr>
      <w:r>
        <w:rPr>
          <w:b/>
          <w:bCs/>
        </w:rPr>
        <w:t xml:space="preserve">Часть </w:t>
      </w:r>
      <w:r w:rsidR="003E6140">
        <w:rPr>
          <w:b/>
          <w:bCs/>
        </w:rPr>
        <w:t>3</w:t>
      </w:r>
      <w:r>
        <w:rPr>
          <w:b/>
          <w:bCs/>
        </w:rPr>
        <w:t xml:space="preserve">: Моделирование </w:t>
      </w:r>
      <w:r w:rsidR="005C7036">
        <w:rPr>
          <w:b/>
          <w:bCs/>
        </w:rPr>
        <w:t xml:space="preserve">и прогнозирование </w:t>
      </w:r>
      <w:r>
        <w:rPr>
          <w:b/>
          <w:bCs/>
        </w:rPr>
        <w:t>часов пиковой нагрузки</w:t>
      </w:r>
    </w:p>
    <w:p w14:paraId="07AB7DF5" w14:textId="1A16B59F" w:rsidR="005C7D9D" w:rsidRDefault="005C7D9D" w:rsidP="00592EAC">
      <w:r>
        <w:t xml:space="preserve">Необходимо </w:t>
      </w:r>
      <w:r w:rsidR="0086061C">
        <w:t xml:space="preserve">предложить модель, способную </w:t>
      </w:r>
      <w:r>
        <w:t>спрогнозировать час пиковой нагрузки, а также диапазон из 4-х последовательно расположенных часов.</w:t>
      </w:r>
    </w:p>
    <w:p w14:paraId="54A779F8" w14:textId="4F720E86" w:rsidR="0086061C" w:rsidRDefault="00AE13FE" w:rsidP="00592EAC">
      <w:r>
        <w:t xml:space="preserve">Прогноз необходимо построить </w:t>
      </w:r>
      <w:r w:rsidR="0086061C">
        <w:t xml:space="preserve">в дневной динамике </w:t>
      </w:r>
      <w:r>
        <w:t>на месяц вперед</w:t>
      </w:r>
      <w:r w:rsidR="0086061C">
        <w:t>.</w:t>
      </w:r>
    </w:p>
    <w:p w14:paraId="2849AD0B" w14:textId="5F4809CE" w:rsidR="0086061C" w:rsidRDefault="0086061C" w:rsidP="00592EAC">
      <w:r>
        <w:t xml:space="preserve">Для оценки качества построенной модели предлагается осуществить </w:t>
      </w:r>
      <w:proofErr w:type="spellStart"/>
      <w:r>
        <w:t>ретропрогноз</w:t>
      </w:r>
      <w:proofErr w:type="spellEnd"/>
      <w:r>
        <w:t xml:space="preserve"> на май, июнь, июль,</w:t>
      </w:r>
      <w:r w:rsidR="006D7F9B">
        <w:t xml:space="preserve"> </w:t>
      </w:r>
      <w:r>
        <w:t>август, сентябрь и октябрь 2022 года.</w:t>
      </w:r>
    </w:p>
    <w:p w14:paraId="5BA46235" w14:textId="57D6B431" w:rsidR="0086061C" w:rsidRDefault="0086061C" w:rsidP="00592EAC">
      <w:r>
        <w:t>Для этого необходимо рассчитать прогноз для рассматриваемого месяца оценив модель на данных до него.</w:t>
      </w:r>
    </w:p>
    <w:p w14:paraId="28F42699" w14:textId="2A1A0DD7" w:rsidR="005C7D9D" w:rsidRDefault="005C7D9D" w:rsidP="00592EAC">
      <w:r w:rsidRPr="0086061C">
        <w:rPr>
          <w:b/>
          <w:bCs/>
          <w:u w:val="single"/>
        </w:rPr>
        <w:t>Прогноз считается точным</w:t>
      </w:r>
      <w:r>
        <w:t>, если фактическое значение часа пиковой нагрузки совпало с одним</w:t>
      </w:r>
      <w:r w:rsidR="0086061C">
        <w:t xml:space="preserve"> из четырех</w:t>
      </w:r>
      <w:r>
        <w:t xml:space="preserve"> подряд идущи</w:t>
      </w:r>
      <w:r w:rsidR="0086061C">
        <w:t>х</w:t>
      </w:r>
      <w:r>
        <w:t xml:space="preserve"> час</w:t>
      </w:r>
      <w:r w:rsidR="0086061C">
        <w:t>ов</w:t>
      </w:r>
      <w:r>
        <w:t xml:space="preserve"> из прогнозируемого диапазона (прогнозируемый час пиковой нагрузки + 3 соседних часа).</w:t>
      </w:r>
    </w:p>
    <w:p w14:paraId="0B0FC515" w14:textId="400E825A" w:rsidR="00CD2EAC" w:rsidRPr="005C7D9D" w:rsidRDefault="00232DB6" w:rsidP="00592EAC">
      <w:pPr>
        <w:rPr>
          <w:i/>
          <w:iCs/>
        </w:rPr>
      </w:pPr>
      <w:r w:rsidRPr="005C7D9D">
        <w:rPr>
          <w:i/>
          <w:iCs/>
        </w:rPr>
        <w:t>Предлагается несколько способов моделирования часов пиковой нагрузки:</w:t>
      </w:r>
    </w:p>
    <w:p w14:paraId="72D3A33A" w14:textId="56603FD2" w:rsidR="00232DB6" w:rsidRDefault="00232DB6" w:rsidP="00232DB6">
      <w:pPr>
        <w:pStyle w:val="a4"/>
        <w:numPr>
          <w:ilvl w:val="0"/>
          <w:numId w:val="14"/>
        </w:numPr>
      </w:pPr>
      <w:r>
        <w:t xml:space="preserve">Моделирование </w:t>
      </w:r>
      <w:r w:rsidR="005C7036">
        <w:t xml:space="preserve">и прогнозирование </w:t>
      </w:r>
      <w:r>
        <w:t>пиковых часов напрямую через модели машинного обучения</w:t>
      </w:r>
    </w:p>
    <w:p w14:paraId="7D826767" w14:textId="1FFDF3B5" w:rsidR="00232DB6" w:rsidRDefault="005C7036" w:rsidP="00232DB6">
      <w:pPr>
        <w:pStyle w:val="a4"/>
        <w:numPr>
          <w:ilvl w:val="0"/>
          <w:numId w:val="14"/>
        </w:numPr>
      </w:pPr>
      <w:r>
        <w:t xml:space="preserve">Моделирование и прогнозирование </w:t>
      </w:r>
      <w:r w:rsidR="00232DB6">
        <w:t>классов (утро, день, вечер и т.</w:t>
      </w:r>
      <w:r w:rsidR="000D63FA">
        <w:t xml:space="preserve"> </w:t>
      </w:r>
      <w:r w:rsidR="00232DB6">
        <w:t>д.)</w:t>
      </w:r>
    </w:p>
    <w:p w14:paraId="7F09FA7F" w14:textId="50BC9CE0" w:rsidR="005C7D9D" w:rsidRDefault="005C7036" w:rsidP="00232DB6">
      <w:pPr>
        <w:pStyle w:val="a4"/>
        <w:numPr>
          <w:ilvl w:val="0"/>
          <w:numId w:val="14"/>
        </w:numPr>
      </w:pPr>
      <w:r>
        <w:t>Моделирование и прогнозирование фактического потребления электроэнергии</w:t>
      </w:r>
      <w:r w:rsidR="005C7D9D">
        <w:t xml:space="preserve"> и вычисление на основе этого показателя часов пиковой нагрузки</w:t>
      </w:r>
    </w:p>
    <w:p w14:paraId="6EDB1F74" w14:textId="6C2B61F0" w:rsidR="005C7D9D" w:rsidRDefault="005C7D9D" w:rsidP="00232DB6">
      <w:pPr>
        <w:pStyle w:val="a4"/>
        <w:numPr>
          <w:ilvl w:val="0"/>
          <w:numId w:val="14"/>
        </w:numPr>
      </w:pPr>
      <w:r>
        <w:t>Другие способы</w:t>
      </w:r>
    </w:p>
    <w:p w14:paraId="6DF58A06" w14:textId="32D06D64" w:rsidR="0086061C" w:rsidRPr="0086061C" w:rsidRDefault="00232DB6" w:rsidP="0086061C">
      <w:pPr>
        <w:rPr>
          <w:b/>
          <w:bCs/>
        </w:rPr>
      </w:pPr>
      <w:r>
        <w:t xml:space="preserve"> </w:t>
      </w:r>
      <w:r w:rsidR="0086061C" w:rsidRPr="0086061C">
        <w:rPr>
          <w:b/>
          <w:bCs/>
        </w:rPr>
        <w:t xml:space="preserve">Часть </w:t>
      </w:r>
      <w:r w:rsidR="0086061C">
        <w:rPr>
          <w:b/>
          <w:bCs/>
        </w:rPr>
        <w:t>4</w:t>
      </w:r>
      <w:r w:rsidR="0086061C" w:rsidRPr="0086061C">
        <w:rPr>
          <w:b/>
          <w:bCs/>
        </w:rPr>
        <w:t xml:space="preserve">: </w:t>
      </w:r>
      <w:r w:rsidR="0086061C">
        <w:rPr>
          <w:b/>
          <w:bCs/>
        </w:rPr>
        <w:t>Отчет о моделировании часов пиковой нагрузки</w:t>
      </w:r>
    </w:p>
    <w:p w14:paraId="2C720BA1" w14:textId="64F47456" w:rsidR="0086061C" w:rsidRDefault="0086061C" w:rsidP="0086061C">
      <w:r>
        <w:t>По результатам выполнения задач из частей 1</w:t>
      </w:r>
      <w:r w:rsidR="00903CC4">
        <w:t xml:space="preserve"> </w:t>
      </w:r>
      <w:r>
        <w:t>-</w:t>
      </w:r>
      <w:r w:rsidR="00903CC4">
        <w:t xml:space="preserve"> </w:t>
      </w:r>
      <w:r>
        <w:t>3 предлагается написать отчет, в котором необходимо описать особенности построенных моделей и сравнить их качество с качеством эталонной модели.</w:t>
      </w:r>
    </w:p>
    <w:p w14:paraId="55344208" w14:textId="6C3366D7" w:rsidR="005A0022" w:rsidRPr="005A0022" w:rsidRDefault="005A0022" w:rsidP="0086061C">
      <w:r>
        <w:t>Качество модели для каждого месяца</w:t>
      </w:r>
      <w:r w:rsidR="00D22A51">
        <w:t xml:space="preserve"> (</w:t>
      </w:r>
      <w:r w:rsidR="00D22A51">
        <w:rPr>
          <w:lang w:val="en-US"/>
        </w:rPr>
        <w:t>Q</w:t>
      </w:r>
      <w:r w:rsidR="007B5FF2" w:rsidRPr="00D22A51">
        <w:rPr>
          <w:rFonts w:eastAsiaTheme="minorEastAsia"/>
          <w:vertAlign w:val="subscript"/>
          <w:lang w:val="en-US"/>
        </w:rPr>
        <w:t>i</w:t>
      </w:r>
      <w:r w:rsidR="00D22A51" w:rsidRPr="00D22A51">
        <w:t>)</w:t>
      </w:r>
      <w:r>
        <w:t xml:space="preserve"> вычисляется как: </w:t>
      </w:r>
    </w:p>
    <w:p w14:paraId="54E3492E" w14:textId="5FA204FC" w:rsidR="005A0022" w:rsidRPr="005A0022" w:rsidRDefault="00A153B2" w:rsidP="005A0022">
      <w:pPr>
        <w:jc w:val="center"/>
        <w:rPr>
          <w:rFonts w:eastAsiaTheme="minorEastAsia"/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i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</m:oMath>
      <w:r w:rsidR="005A0022" w:rsidRPr="005A0022">
        <w:rPr>
          <w:rFonts w:eastAsiaTheme="minorEastAsia"/>
          <w:sz w:val="40"/>
          <w:szCs w:val="40"/>
        </w:rPr>
        <w:t>,</w:t>
      </w:r>
    </w:p>
    <w:p w14:paraId="0296A5BB" w14:textId="28AEB67C" w:rsidR="005A0022" w:rsidRDefault="005A0022" w:rsidP="0086061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>
        <w:rPr>
          <w:rFonts w:eastAsiaTheme="minorEastAsia"/>
          <w:lang w:val="en-US"/>
        </w:rPr>
        <w:t>x</w:t>
      </w:r>
      <w:r w:rsidRPr="00D22A51">
        <w:rPr>
          <w:rFonts w:eastAsiaTheme="minorEastAsia"/>
          <w:vertAlign w:val="subscript"/>
          <w:lang w:val="en-US"/>
        </w:rPr>
        <w:t>i</w:t>
      </w:r>
      <w:r w:rsidRPr="005A0022">
        <w:rPr>
          <w:rFonts w:eastAsiaTheme="minorEastAsia"/>
        </w:rPr>
        <w:t xml:space="preserve"> – </w:t>
      </w:r>
      <w:r>
        <w:rPr>
          <w:rFonts w:eastAsiaTheme="minorEastAsia"/>
        </w:rPr>
        <w:t>число рабочих дней</w:t>
      </w:r>
      <w:r w:rsidR="007B5FF2">
        <w:rPr>
          <w:rFonts w:eastAsiaTheme="minorEastAsia"/>
        </w:rPr>
        <w:t xml:space="preserve"> в </w:t>
      </w:r>
      <w:r w:rsidR="007B5FF2">
        <w:rPr>
          <w:rFonts w:eastAsiaTheme="minorEastAsia"/>
          <w:lang w:val="en-US"/>
        </w:rPr>
        <w:t>i</w:t>
      </w:r>
      <w:r w:rsidR="007B5FF2" w:rsidRPr="007B5FF2">
        <w:rPr>
          <w:rFonts w:eastAsiaTheme="minorEastAsia"/>
        </w:rPr>
        <w:t>-</w:t>
      </w:r>
      <w:r w:rsidR="007B5FF2">
        <w:rPr>
          <w:rFonts w:eastAsiaTheme="minorEastAsia"/>
        </w:rPr>
        <w:t>м месяце</w:t>
      </w:r>
      <w:r>
        <w:rPr>
          <w:rFonts w:eastAsiaTheme="minorEastAsia"/>
        </w:rPr>
        <w:t>, для которых хотя бы 1 из 4-х спрогнозированных часов совпал с фактическим пиковым часом,</w:t>
      </w:r>
    </w:p>
    <w:p w14:paraId="442DF676" w14:textId="713E9EEA" w:rsidR="005A0022" w:rsidRPr="00D22A51" w:rsidRDefault="005A0022" w:rsidP="0086061C">
      <w:r>
        <w:rPr>
          <w:rFonts w:eastAsiaTheme="minorEastAsia"/>
          <w:lang w:val="en-US"/>
        </w:rPr>
        <w:t>Y</w:t>
      </w:r>
      <w:r w:rsidRPr="00D22A51">
        <w:rPr>
          <w:rFonts w:eastAsiaTheme="minorEastAsia"/>
          <w:vertAlign w:val="subscript"/>
          <w:lang w:val="en-US"/>
        </w:rPr>
        <w:t>i</w:t>
      </w:r>
      <w:r w:rsidRPr="005A0022">
        <w:rPr>
          <w:rFonts w:eastAsiaTheme="minorEastAsia"/>
        </w:rPr>
        <w:t xml:space="preserve"> – </w:t>
      </w:r>
      <w:r>
        <w:rPr>
          <w:rFonts w:eastAsiaTheme="minorEastAsia"/>
        </w:rPr>
        <w:t>общее число рабочих дней в</w:t>
      </w:r>
      <w:r w:rsidR="007B5FF2" w:rsidRPr="007B5FF2">
        <w:rPr>
          <w:rFonts w:eastAsiaTheme="minorEastAsia"/>
        </w:rPr>
        <w:t xml:space="preserve"> </w:t>
      </w:r>
      <w:r w:rsidR="007B5FF2">
        <w:rPr>
          <w:rFonts w:eastAsiaTheme="minorEastAsia"/>
          <w:lang w:val="en-US"/>
        </w:rPr>
        <w:t>i</w:t>
      </w:r>
      <w:r w:rsidR="007B5FF2" w:rsidRPr="007B5FF2">
        <w:rPr>
          <w:rFonts w:eastAsiaTheme="minorEastAsia"/>
        </w:rPr>
        <w:t>-</w:t>
      </w:r>
      <w:r w:rsidR="007B5FF2">
        <w:rPr>
          <w:rFonts w:eastAsiaTheme="minorEastAsia"/>
        </w:rPr>
        <w:t>м</w:t>
      </w:r>
      <w:r>
        <w:rPr>
          <w:rFonts w:eastAsiaTheme="minorEastAsia"/>
        </w:rPr>
        <w:t xml:space="preserve"> месяце</w:t>
      </w:r>
      <w:r w:rsidR="00D22A51" w:rsidRPr="00D22A51">
        <w:rPr>
          <w:rFonts w:eastAsiaTheme="minorEastAsia"/>
        </w:rPr>
        <w:t>.</w:t>
      </w:r>
    </w:p>
    <w:sectPr w:rsidR="005A0022" w:rsidRPr="00D22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4293"/>
    <w:multiLevelType w:val="hybridMultilevel"/>
    <w:tmpl w:val="8A347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F47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D955A8"/>
    <w:multiLevelType w:val="hybridMultilevel"/>
    <w:tmpl w:val="AE043E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1036EB9"/>
    <w:multiLevelType w:val="hybridMultilevel"/>
    <w:tmpl w:val="B18252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B3E7BFB"/>
    <w:multiLevelType w:val="hybridMultilevel"/>
    <w:tmpl w:val="D70C8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335F6"/>
    <w:multiLevelType w:val="hybridMultilevel"/>
    <w:tmpl w:val="A6882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4345176"/>
    <w:multiLevelType w:val="hybridMultilevel"/>
    <w:tmpl w:val="ED243678"/>
    <w:lvl w:ilvl="0" w:tplc="E3B2CB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63C3186"/>
    <w:multiLevelType w:val="hybridMultilevel"/>
    <w:tmpl w:val="443C1C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85F2295"/>
    <w:multiLevelType w:val="hybridMultilevel"/>
    <w:tmpl w:val="FFC4A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83546"/>
    <w:multiLevelType w:val="hybridMultilevel"/>
    <w:tmpl w:val="1C261F98"/>
    <w:lvl w:ilvl="0" w:tplc="12409D5A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28F75EB"/>
    <w:multiLevelType w:val="hybridMultilevel"/>
    <w:tmpl w:val="B18252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5A577672"/>
    <w:multiLevelType w:val="hybridMultilevel"/>
    <w:tmpl w:val="A4222D94"/>
    <w:lvl w:ilvl="0" w:tplc="1AB4DE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B103C9F"/>
    <w:multiLevelType w:val="hybridMultilevel"/>
    <w:tmpl w:val="45125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84C51"/>
    <w:multiLevelType w:val="hybridMultilevel"/>
    <w:tmpl w:val="FFF6267E"/>
    <w:lvl w:ilvl="0" w:tplc="12409D5A">
      <w:start w:val="1"/>
      <w:numFmt w:val="decimal"/>
      <w:lvlText w:val="%1."/>
      <w:lvlJc w:val="left"/>
      <w:pPr>
        <w:ind w:left="176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367677"/>
    <w:multiLevelType w:val="hybridMultilevel"/>
    <w:tmpl w:val="55C6EA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9562BA8"/>
    <w:multiLevelType w:val="hybridMultilevel"/>
    <w:tmpl w:val="176020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F611179"/>
    <w:multiLevelType w:val="hybridMultilevel"/>
    <w:tmpl w:val="499EC4E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13"/>
  </w:num>
  <w:num w:numId="8">
    <w:abstractNumId w:val="5"/>
  </w:num>
  <w:num w:numId="9">
    <w:abstractNumId w:val="1"/>
  </w:num>
  <w:num w:numId="10">
    <w:abstractNumId w:val="11"/>
  </w:num>
  <w:num w:numId="11">
    <w:abstractNumId w:val="14"/>
  </w:num>
  <w:num w:numId="12">
    <w:abstractNumId w:val="7"/>
  </w:num>
  <w:num w:numId="13">
    <w:abstractNumId w:val="16"/>
  </w:num>
  <w:num w:numId="14">
    <w:abstractNumId w:val="8"/>
  </w:num>
  <w:num w:numId="15">
    <w:abstractNumId w:val="12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AC"/>
    <w:rsid w:val="000714E1"/>
    <w:rsid w:val="00073975"/>
    <w:rsid w:val="000868E1"/>
    <w:rsid w:val="000968FE"/>
    <w:rsid w:val="000B4A42"/>
    <w:rsid w:val="000B7A35"/>
    <w:rsid w:val="000D63FA"/>
    <w:rsid w:val="000E1F86"/>
    <w:rsid w:val="000E3F8F"/>
    <w:rsid w:val="00104A09"/>
    <w:rsid w:val="00117DAE"/>
    <w:rsid w:val="001277A0"/>
    <w:rsid w:val="0015472D"/>
    <w:rsid w:val="001974BC"/>
    <w:rsid w:val="001A0B0E"/>
    <w:rsid w:val="00205EB6"/>
    <w:rsid w:val="00232DB6"/>
    <w:rsid w:val="00233B44"/>
    <w:rsid w:val="0024146C"/>
    <w:rsid w:val="002675E7"/>
    <w:rsid w:val="00270045"/>
    <w:rsid w:val="0028018A"/>
    <w:rsid w:val="002A2574"/>
    <w:rsid w:val="002B66E0"/>
    <w:rsid w:val="00364821"/>
    <w:rsid w:val="003E6140"/>
    <w:rsid w:val="00466E51"/>
    <w:rsid w:val="00476D15"/>
    <w:rsid w:val="00485FAE"/>
    <w:rsid w:val="0048684D"/>
    <w:rsid w:val="00556B18"/>
    <w:rsid w:val="0057249E"/>
    <w:rsid w:val="00586935"/>
    <w:rsid w:val="00592EAC"/>
    <w:rsid w:val="00594700"/>
    <w:rsid w:val="005A0022"/>
    <w:rsid w:val="005A38EE"/>
    <w:rsid w:val="005A3A09"/>
    <w:rsid w:val="005C7036"/>
    <w:rsid w:val="005C7D9D"/>
    <w:rsid w:val="005D3D01"/>
    <w:rsid w:val="005E0781"/>
    <w:rsid w:val="00655299"/>
    <w:rsid w:val="00670A64"/>
    <w:rsid w:val="00671F59"/>
    <w:rsid w:val="006D7F9B"/>
    <w:rsid w:val="006E5C7B"/>
    <w:rsid w:val="007326F9"/>
    <w:rsid w:val="00733350"/>
    <w:rsid w:val="00763E52"/>
    <w:rsid w:val="0078059F"/>
    <w:rsid w:val="007B5FF2"/>
    <w:rsid w:val="00807F8A"/>
    <w:rsid w:val="0084788C"/>
    <w:rsid w:val="0086061C"/>
    <w:rsid w:val="0086206E"/>
    <w:rsid w:val="00876626"/>
    <w:rsid w:val="008B673C"/>
    <w:rsid w:val="008D5858"/>
    <w:rsid w:val="008E1004"/>
    <w:rsid w:val="008E49B5"/>
    <w:rsid w:val="008E56B4"/>
    <w:rsid w:val="00903CC4"/>
    <w:rsid w:val="00936C0D"/>
    <w:rsid w:val="00950E9C"/>
    <w:rsid w:val="009A04F4"/>
    <w:rsid w:val="009B28B5"/>
    <w:rsid w:val="009B3027"/>
    <w:rsid w:val="009F380B"/>
    <w:rsid w:val="00A153B2"/>
    <w:rsid w:val="00A21BD6"/>
    <w:rsid w:val="00A25D28"/>
    <w:rsid w:val="00A507EE"/>
    <w:rsid w:val="00AB354B"/>
    <w:rsid w:val="00AE13FE"/>
    <w:rsid w:val="00AE1962"/>
    <w:rsid w:val="00B20AFB"/>
    <w:rsid w:val="00B536A0"/>
    <w:rsid w:val="00B75E3F"/>
    <w:rsid w:val="00BC6CDE"/>
    <w:rsid w:val="00BD4E9E"/>
    <w:rsid w:val="00C27464"/>
    <w:rsid w:val="00C41539"/>
    <w:rsid w:val="00CD2EAC"/>
    <w:rsid w:val="00CE4B8E"/>
    <w:rsid w:val="00CE6BA8"/>
    <w:rsid w:val="00D22A51"/>
    <w:rsid w:val="00D56D8B"/>
    <w:rsid w:val="00D91BD3"/>
    <w:rsid w:val="00D93B69"/>
    <w:rsid w:val="00DA6E15"/>
    <w:rsid w:val="00DD5143"/>
    <w:rsid w:val="00DF2B84"/>
    <w:rsid w:val="00E00711"/>
    <w:rsid w:val="00E04C18"/>
    <w:rsid w:val="00E26110"/>
    <w:rsid w:val="00E50135"/>
    <w:rsid w:val="00E54802"/>
    <w:rsid w:val="00E65D50"/>
    <w:rsid w:val="00EA2677"/>
    <w:rsid w:val="00EB3090"/>
    <w:rsid w:val="00EC435D"/>
    <w:rsid w:val="00EE486A"/>
    <w:rsid w:val="00EF02B3"/>
    <w:rsid w:val="00F9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2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2EAC"/>
    <w:rPr>
      <w:b/>
      <w:bCs/>
    </w:rPr>
  </w:style>
  <w:style w:type="paragraph" w:styleId="a4">
    <w:name w:val="List Paragraph"/>
    <w:basedOn w:val="a"/>
    <w:uiPriority w:val="34"/>
    <w:qFormat/>
    <w:rsid w:val="00670A64"/>
    <w:pPr>
      <w:ind w:left="720"/>
      <w:contextualSpacing/>
    </w:pPr>
  </w:style>
  <w:style w:type="table" w:customStyle="1" w:styleId="GridTableLight">
    <w:name w:val="Grid Table Light"/>
    <w:basedOn w:val="a1"/>
    <w:uiPriority w:val="40"/>
    <w:rsid w:val="00D91BD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D91B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5A38E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38EE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E50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5A002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15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5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2EAC"/>
    <w:rPr>
      <w:b/>
      <w:bCs/>
    </w:rPr>
  </w:style>
  <w:style w:type="paragraph" w:styleId="a4">
    <w:name w:val="List Paragraph"/>
    <w:basedOn w:val="a"/>
    <w:uiPriority w:val="34"/>
    <w:qFormat/>
    <w:rsid w:val="00670A64"/>
    <w:pPr>
      <w:ind w:left="720"/>
      <w:contextualSpacing/>
    </w:pPr>
  </w:style>
  <w:style w:type="table" w:customStyle="1" w:styleId="GridTableLight">
    <w:name w:val="Grid Table Light"/>
    <w:basedOn w:val="a1"/>
    <w:uiPriority w:val="40"/>
    <w:rsid w:val="00D91BD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D91B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5A38E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38EE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E50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5A002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15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5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Прудский Михаил Владимирович</dc:creator>
  <cp:lastModifiedBy>Erik.K</cp:lastModifiedBy>
  <cp:revision>2</cp:revision>
  <dcterms:created xsi:type="dcterms:W3CDTF">2024-04-24T21:11:00Z</dcterms:created>
  <dcterms:modified xsi:type="dcterms:W3CDTF">2024-04-24T21:11:00Z</dcterms:modified>
</cp:coreProperties>
</file>