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A67C2F"/>
          <w:sz w:val="52"/>
        </w:rPr>
        <w:t>TRUTHSEEKERS</w:t>
      </w:r>
    </w:p>
    <w:p>
      <w:pPr>
        <w:jc w:val="center"/>
      </w:pPr>
      <w:r>
        <w:rPr>
          <w:i/>
          <w:color w:val="6B5E4A"/>
          <w:sz w:val="22"/>
        </w:rPr>
        <w:t>Engine for Evidence-Grounded Knowledge</w:t>
      </w:r>
    </w:p>
    <w:p/>
    <w:p>
      <w:r>
        <w:rPr>
          <w:i/>
        </w:rPr>
        <w:t>Truthseekers is a knowledge construction engine — it produces structured, evidence-grounded encyclopedia articles across all truth categories (confirmed, contested, suppressed, speculative), exposes framing and structural distortion, and refuses to treat the absence of evidence as silence.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
              <w:rPr>
                <w:rFonts w:ascii="Georgia" w:hAnsi="Georgia"/>
                <w:b/>
                <w:color w:val="A67C2F"/>
                <w:sz w:val="36"/>
              </w:rPr>
              <w:t>3</w:t>
            </w:r>
          </w:p>
          <w:p>
            <w:r>
              <w:rPr>
                <w:rFonts w:ascii="Georgia" w:hAnsi="Georgia"/>
                <w:color w:val="6B5E4A"/>
                <w:sz w:val="14"/>
              </w:rPr>
              <w:t>Strict Epistemic Layers</w:t>
            </w:r>
          </w:p>
        </w:tc>
        <w:tc>
          <w:tcPr>
            <w:tcW w:type="dxa" w:w="2484"/>
          </w:tcPr>
          <w:p>
            <w:r/>
            <w:r>
              <w:rPr>
                <w:rFonts w:ascii="Georgia" w:hAnsi="Georgia"/>
                <w:b/>
                <w:color w:val="A67C2F"/>
                <w:sz w:val="36"/>
              </w:rPr>
              <w:t>9</w:t>
            </w:r>
          </w:p>
          <w:p>
            <w:r>
              <w:rPr>
                <w:rFonts w:ascii="Georgia" w:hAnsi="Georgia"/>
                <w:color w:val="6B5E4A"/>
                <w:sz w:val="14"/>
              </w:rPr>
              <w:t>Pipeline Nodes</w:t>
            </w:r>
          </w:p>
        </w:tc>
        <w:tc>
          <w:tcPr>
            <w:tcW w:type="dxa" w:w="2484"/>
          </w:tcPr>
          <w:p>
            <w:r/>
            <w:r>
              <w:rPr>
                <w:rFonts w:ascii="Georgia" w:hAnsi="Georgia"/>
                <w:b/>
                <w:color w:val="A67C2F"/>
                <w:sz w:val="36"/>
              </w:rPr>
              <w:t>14</w:t>
            </w:r>
          </w:p>
          <w:p>
            <w:r>
              <w:rPr>
                <w:rFonts w:ascii="Georgia" w:hAnsi="Georgia"/>
                <w:color w:val="6B5E4A"/>
                <w:sz w:val="14"/>
              </w:rPr>
              <w:t>Agent Tools</w:t>
            </w:r>
          </w:p>
        </w:tc>
        <w:tc>
          <w:tcPr>
            <w:tcW w:type="dxa" w:w="2484"/>
          </w:tcPr>
          <w:p>
            <w:r/>
            <w:r>
              <w:rPr>
                <w:rFonts w:ascii="Georgia" w:hAnsi="Georgia"/>
                <w:b/>
                <w:color w:val="A67C2F"/>
                <w:sz w:val="36"/>
              </w:rPr>
              <w:t>23</w:t>
            </w:r>
          </w:p>
          <w:p>
            <w:r>
              <w:rPr>
                <w:rFonts w:ascii="Georgia" w:hAnsi="Georgia"/>
                <w:color w:val="6B5E4A"/>
                <w:sz w:val="14"/>
              </w:rPr>
              <w:t>Storage CRUD Ops</w:t>
            </w:r>
          </w:p>
        </w:tc>
      </w:tr>
    </w:tbl>
    <w:p>
      <w:pPr>
        <w:pStyle w:val="Heading1"/>
      </w:pPr>
      <w:r>
        <w:t>The Problem</w:t>
      </w:r>
    </w:p>
    <w:p>
      <w:r>
        <w:t>Every knowledge platform today is a chatbot with a search query — fluent but flat, unable to distinguish consensus from suppression. Conventional systems cannot separate evidence quality from narrative fluency, detect missing evidence as signal, trace provenance, or surface suppressed evidence. Truthseekers solves all six by design: strict three-layer epistemic separation, gap detection as a first-class signal, dual-output language mapping, six-axis confidence vectors (evidence strength, corroboration, source diversity, recency, contradiction level, bias risk), and four explicit truth categories.</w:t>
      </w:r>
    </w:p>
    <w:p>
      <w:pPr>
        <w:pStyle w:val="Heading1"/>
      </w:pPr>
      <w:r>
        <w:t>Architecture in Brief</w:t>
      </w:r>
    </w:p>
    <w:p>
      <w:r>
        <w:t>The system has three layers: a Go HTTP orchestrator (stdlib net/http, no frameworks, port 4097) with a native agent loop (25 iterations, 14 tools, 90k token budget) and a DAG engine; Python workers (9 stateless epistemic nodes over a JSON subprocess bridge with 4-provider LLM fallback and mock mode); and a Next.js 15 frontend with React 19, Framer Motion, TanStack Query, and an editorial design system. Full zero-infrastructure local development.</w:t>
      </w:r>
    </w:p>
    <w:p>
      <w:r>
        <w:t>Zero-framework Go backend on port 4097. 9 Python nodes with shared LLM client and 4-provider fallback chain (Groq → DO Inference → NVIDIA NIM → OpenAI). React 19 frontend with editorial gold-and-ink design, structured block renderer, SSE streaming, 3D maps, interactive timelines. Full local demo from go run ./cmd/server — no Docker, no cloud account, no API keys required.</w:t>
      </w:r>
    </w:p>
    <w:p>
      <w:pPr>
        <w:pStyle w:val="Heading1"/>
      </w:pPr>
      <w:r>
        <w:t>Technical Differentiation</w:t>
      </w:r>
    </w:p>
    <w:p>
      <w:r>
        <w:t>Strict epistemic layers: three layers with typed I/O contracts, enumerated permissions, and hard prohibitions at code level. - Claim Graph architecture: articles are generated views over an atomic claim graph with six-axis confidence vectors. - Gap detection: identifies structural evidence gaps as a meaningful epistemic signal. - Language mapping: dual-channel output preserving original framing alongside precision upgrades. - Multi-provider LLM routing with graceful degradation. - Zero-infrastructure mock mode: every dependency has a fallback.</w:t>
      </w:r>
    </w:p>
    <w:p>
      <w:pPr>
        <w:pStyle w:val="Heading1"/>
      </w:pPr>
      <w:r>
        <w:t>Market Position</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tcPr>
          <w:p>
            <w:pPr>
              <w:spacing w:before="40" w:after="40"/>
            </w:pPr>
            <w:r/>
            <w:r>
              <w:rPr>
                <w:b/>
                <w:color w:val="8B6D2A"/>
                <w:sz w:val="16"/>
              </w:rPr>
              <w:t>Feature</w:t>
            </w:r>
          </w:p>
        </w:tc>
        <w:tc>
          <w:tcPr>
            <w:tcW w:type="dxa" w:w="1987"/>
          </w:tcPr>
          <w:p>
            <w:pPr>
              <w:spacing w:before="40" w:after="40"/>
            </w:pPr>
            <w:r/>
            <w:r>
              <w:rPr>
                <w:b/>
                <w:color w:val="8B6D2A"/>
                <w:sz w:val="16"/>
              </w:rPr>
              <w:t>Truthseekers</w:t>
            </w:r>
          </w:p>
        </w:tc>
        <w:tc>
          <w:tcPr>
            <w:tcW w:type="dxa" w:w="1987"/>
          </w:tcPr>
          <w:p>
            <w:pPr>
              <w:spacing w:before="40" w:after="40"/>
            </w:pPr>
            <w:r/>
            <w:r>
              <w:rPr>
                <w:b/>
                <w:color w:val="8B6D2A"/>
                <w:sz w:val="16"/>
              </w:rPr>
              <w:t>Wikipedia</w:t>
            </w:r>
          </w:p>
        </w:tc>
        <w:tc>
          <w:tcPr>
            <w:tcW w:type="dxa" w:w="1987"/>
          </w:tcPr>
          <w:p>
            <w:pPr>
              <w:spacing w:before="40" w:after="40"/>
            </w:pPr>
            <w:r/>
            <w:r>
              <w:rPr>
                <w:b/>
                <w:color w:val="8B6D2A"/>
                <w:sz w:val="16"/>
              </w:rPr>
              <w:t>ChatGPT/Claude</w:t>
            </w:r>
          </w:p>
        </w:tc>
        <w:tc>
          <w:tcPr>
            <w:tcW w:type="dxa" w:w="1987"/>
          </w:tcPr>
          <w:p>
            <w:pPr>
              <w:spacing w:before="40" w:after="40"/>
            </w:pPr>
            <w:r/>
            <w:r>
              <w:rPr>
                <w:b/>
                <w:color w:val="8B6D2A"/>
                <w:sz w:val="16"/>
              </w:rPr>
              <w:t>Perplexity</w:t>
            </w:r>
          </w:p>
        </w:tc>
      </w:tr>
      <w:tr>
        <w:tc>
          <w:tcPr>
            <w:tcW w:type="dxa" w:w="1987"/>
          </w:tcPr>
          <w:p>
            <w:pPr>
              <w:spacing w:before="40" w:after="40"/>
            </w:pPr>
            <w:r>
              <w:rPr>
                <w:color w:val="6B5E4A"/>
                <w:sz w:val="18"/>
              </w:rPr>
              <w:t>Epistemic layer separation</w:t>
            </w:r>
          </w:p>
        </w:tc>
        <w:tc>
          <w:tcPr>
            <w:tcW w:type="dxa" w:w="1987"/>
          </w:tcPr>
          <w:p>
            <w:pPr>
              <w:spacing w:before="40" w:after="40"/>
            </w:pPr>
            <w:r>
              <w:rPr>
                <w:color w:val="6B5E4A"/>
                <w:sz w:val="18"/>
              </w:rPr>
              <w:t>✓ Code-level</w:t>
            </w:r>
          </w:p>
        </w:tc>
        <w:tc>
          <w:tcPr>
            <w:tcW w:type="dxa" w:w="1987"/>
          </w:tcPr>
          <w:p>
            <w:pPr>
              <w:spacing w:before="40" w:after="40"/>
            </w:pPr>
            <w:r>
              <w:rPr>
                <w:color w:val="6B5E4A"/>
                <w:sz w:val="18"/>
              </w:rPr>
              <w:t>✗ Editorial only</w:t>
            </w:r>
          </w:p>
        </w:tc>
        <w:tc>
          <w:tcPr>
            <w:tcW w:type="dxa" w:w="1987"/>
          </w:tcPr>
          <w:p>
            <w:pPr>
              <w:spacing w:before="40" w:after="40"/>
            </w:pPr>
            <w:r>
              <w:rPr>
                <w:color w:val="6B5E4A"/>
                <w:sz w:val="18"/>
              </w:rPr>
              <w:t>✗ None</w:t>
            </w:r>
          </w:p>
        </w:tc>
        <w:tc>
          <w:tcPr>
            <w:tcW w:type="dxa" w:w="1987"/>
          </w:tcPr>
          <w:p>
            <w:pPr>
              <w:spacing w:before="40" w:after="40"/>
            </w:pPr>
            <w:r>
              <w:rPr>
                <w:color w:val="6B5E4A"/>
                <w:sz w:val="18"/>
              </w:rPr>
              <w:t>✗ None</w:t>
            </w:r>
          </w:p>
        </w:tc>
      </w:tr>
      <w:tr>
        <w:tc>
          <w:tcPr>
            <w:tcW w:type="dxa" w:w="1987"/>
          </w:tcPr>
          <w:p>
            <w:pPr>
              <w:spacing w:before="40" w:after="40"/>
            </w:pPr>
            <w:r>
              <w:rPr>
                <w:color w:val="6B5E4A"/>
                <w:sz w:val="18"/>
              </w:rPr>
              <w:t>Evidence gap detection</w:t>
            </w:r>
          </w:p>
        </w:tc>
        <w:tc>
          <w:tcPr>
            <w:tcW w:type="dxa" w:w="1987"/>
          </w:tcPr>
          <w:p>
            <w:pPr>
              <w:spacing w:before="40" w:after="40"/>
            </w:pPr>
            <w:r>
              <w:rPr>
                <w:color w:val="6B5E4A"/>
                <w:sz w:val="18"/>
              </w:rPr>
              <w:t>✓ First-class</w:t>
            </w:r>
          </w:p>
        </w:tc>
        <w:tc>
          <w:tcPr>
            <w:tcW w:type="dxa" w:w="1987"/>
          </w:tcPr>
          <w:p>
            <w:pPr>
              <w:spacing w:before="40" w:after="40"/>
            </w:pPr>
            <w:r>
              <w:rPr>
                <w:color w:val="6B5E4A"/>
                <w:sz w:val="18"/>
              </w:rPr>
              <w:t>✗ Not modeled</w:t>
            </w:r>
          </w:p>
        </w:tc>
        <w:tc>
          <w:tcPr>
            <w:tcW w:type="dxa" w:w="1987"/>
          </w:tcPr>
          <w:p>
            <w:pPr>
              <w:spacing w:before="40" w:after="40"/>
            </w:pPr>
            <w:r>
              <w:rPr>
                <w:color w:val="6B5E4A"/>
                <w:sz w:val="18"/>
              </w:rPr>
              <w:t>✗ Not modeled</w:t>
            </w:r>
          </w:p>
        </w:tc>
        <w:tc>
          <w:tcPr>
            <w:tcW w:type="dxa" w:w="1987"/>
          </w:tcPr>
          <w:p>
            <w:pPr>
              <w:spacing w:before="40" w:after="40"/>
            </w:pPr>
            <w:r>
              <w:rPr>
                <w:color w:val="6B5E4A"/>
                <w:sz w:val="18"/>
              </w:rPr>
              <w:t>✗ Not modeled</w:t>
            </w:r>
          </w:p>
        </w:tc>
      </w:tr>
      <w:tr>
        <w:tc>
          <w:tcPr>
            <w:tcW w:type="dxa" w:w="1987"/>
          </w:tcPr>
          <w:p>
            <w:pPr>
              <w:spacing w:before="40" w:after="40"/>
            </w:pPr>
            <w:r>
              <w:rPr>
                <w:color w:val="6B5E4A"/>
                <w:sz w:val="18"/>
              </w:rPr>
              <w:t>Lang. framing detection</w:t>
            </w:r>
          </w:p>
        </w:tc>
        <w:tc>
          <w:tcPr>
            <w:tcW w:type="dxa" w:w="1987"/>
          </w:tcPr>
          <w:p>
            <w:pPr>
              <w:spacing w:before="40" w:after="40"/>
            </w:pPr>
            <w:r>
              <w:rPr>
                <w:color w:val="6B5E4A"/>
                <w:sz w:val="18"/>
              </w:rPr>
              <w:t>✓ Dual-channel</w:t>
            </w:r>
          </w:p>
        </w:tc>
        <w:tc>
          <w:tcPr>
            <w:tcW w:type="dxa" w:w="1987"/>
          </w:tcPr>
          <w:p>
            <w:pPr>
              <w:spacing w:before="40" w:after="40"/>
            </w:pPr>
            <w:r>
              <w:rPr>
                <w:color w:val="6B5E4A"/>
                <w:sz w:val="18"/>
              </w:rPr>
              <w:t>✗ None</w:t>
            </w:r>
          </w:p>
        </w:tc>
        <w:tc>
          <w:tcPr>
            <w:tcW w:type="dxa" w:w="1987"/>
          </w:tcPr>
          <w:p>
            <w:pPr>
              <w:spacing w:before="40" w:after="40"/>
            </w:pPr>
            <w:r>
              <w:rPr>
                <w:color w:val="6B5E4A"/>
                <w:sz w:val="18"/>
              </w:rPr>
              <w:t>✗ Reproduces</w:t>
            </w:r>
          </w:p>
        </w:tc>
        <w:tc>
          <w:tcPr>
            <w:tcW w:type="dxa" w:w="1987"/>
          </w:tcPr>
          <w:p>
            <w:pPr>
              <w:spacing w:before="40" w:after="40"/>
            </w:pPr>
            <w:r>
              <w:rPr>
                <w:color w:val="6B5E4A"/>
                <w:sz w:val="18"/>
              </w:rPr>
              <w:t>✗ Reproduces</w:t>
            </w:r>
          </w:p>
        </w:tc>
      </w:tr>
      <w:tr>
        <w:tc>
          <w:tcPr>
            <w:tcW w:type="dxa" w:w="1987"/>
          </w:tcPr>
          <w:p>
            <w:pPr>
              <w:spacing w:before="40" w:after="40"/>
            </w:pPr>
            <w:r>
              <w:rPr>
                <w:color w:val="6B5E4A"/>
                <w:sz w:val="18"/>
              </w:rPr>
              <w:t>Multi-dim confidence</w:t>
            </w:r>
          </w:p>
        </w:tc>
        <w:tc>
          <w:tcPr>
            <w:tcW w:type="dxa" w:w="1987"/>
          </w:tcPr>
          <w:p>
            <w:pPr>
              <w:spacing w:before="40" w:after="40"/>
            </w:pPr>
            <w:r>
              <w:rPr>
                <w:color w:val="6B5E4A"/>
                <w:sz w:val="18"/>
              </w:rPr>
              <w:t>✓ 6-axis</w:t>
            </w:r>
          </w:p>
        </w:tc>
        <w:tc>
          <w:tcPr>
            <w:tcW w:type="dxa" w:w="1987"/>
          </w:tcPr>
          <w:p>
            <w:pPr>
              <w:spacing w:before="40" w:after="40"/>
            </w:pPr>
            <w:r>
              <w:rPr>
                <w:color w:val="6B5E4A"/>
                <w:sz w:val="18"/>
              </w:rPr>
              <w:t>✗ Binary</w:t>
            </w:r>
          </w:p>
        </w:tc>
        <w:tc>
          <w:tcPr>
            <w:tcW w:type="dxa" w:w="1987"/>
          </w:tcPr>
          <w:p>
            <w:pPr>
              <w:spacing w:before="40" w:after="40"/>
            </w:pPr>
            <w:r>
              <w:rPr>
                <w:color w:val="6B5E4A"/>
                <w:sz w:val="18"/>
              </w:rPr>
              <w:t>✗ Scalar</w:t>
            </w:r>
          </w:p>
        </w:tc>
        <w:tc>
          <w:tcPr>
            <w:tcW w:type="dxa" w:w="1987"/>
          </w:tcPr>
          <w:p>
            <w:pPr>
              <w:spacing w:before="40" w:after="40"/>
            </w:pPr>
            <w:r>
              <w:rPr>
                <w:color w:val="6B5E4A"/>
                <w:sz w:val="18"/>
              </w:rPr>
              <w:t>✗ None</w:t>
            </w:r>
          </w:p>
        </w:tc>
      </w:tr>
      <w:tr>
        <w:tc>
          <w:tcPr>
            <w:tcW w:type="dxa" w:w="1987"/>
          </w:tcPr>
          <w:p>
            <w:pPr>
              <w:spacing w:before="40" w:after="40"/>
            </w:pPr>
            <w:r>
              <w:rPr>
                <w:color w:val="6B5E4A"/>
                <w:sz w:val="18"/>
              </w:rPr>
              <w:t>Suppressed evidence</w:t>
            </w:r>
          </w:p>
        </w:tc>
        <w:tc>
          <w:tcPr>
            <w:tcW w:type="dxa" w:w="1987"/>
          </w:tcPr>
          <w:p>
            <w:pPr>
              <w:spacing w:before="40" w:after="40"/>
            </w:pPr>
            <w:r>
              <w:rPr>
                <w:color w:val="6B5E4A"/>
                <w:sz w:val="18"/>
              </w:rPr>
              <w:t>✓ Explicit cat.</w:t>
            </w:r>
          </w:p>
        </w:tc>
        <w:tc>
          <w:tcPr>
            <w:tcW w:type="dxa" w:w="1987"/>
          </w:tcPr>
          <w:p>
            <w:pPr>
              <w:spacing w:before="40" w:after="40"/>
            </w:pPr>
            <w:r>
              <w:rPr>
                <w:color w:val="6B5E4A"/>
                <w:sz w:val="18"/>
              </w:rPr>
              <w:t>✗ Gated</w:t>
            </w:r>
          </w:p>
        </w:tc>
        <w:tc>
          <w:tcPr>
            <w:tcW w:type="dxa" w:w="1987"/>
          </w:tcPr>
          <w:p>
            <w:pPr>
              <w:spacing w:before="40" w:after="40"/>
            </w:pPr>
            <w:r>
              <w:rPr>
                <w:color w:val="6B5E4A"/>
                <w:sz w:val="18"/>
              </w:rPr>
              <w:t>✗ Bias</w:t>
            </w:r>
          </w:p>
        </w:tc>
        <w:tc>
          <w:tcPr>
            <w:tcW w:type="dxa" w:w="1987"/>
          </w:tcPr>
          <w:p>
            <w:pPr>
              <w:spacing w:before="40" w:after="40"/>
            </w:pPr>
            <w:r>
              <w:rPr>
                <w:color w:val="6B5E4A"/>
                <w:sz w:val="18"/>
              </w:rPr>
              <w:t>✗ Bias</w:t>
            </w:r>
          </w:p>
        </w:tc>
      </w:tr>
      <w:tr>
        <w:tc>
          <w:tcPr>
            <w:tcW w:type="dxa" w:w="1987"/>
          </w:tcPr>
          <w:p>
            <w:pPr>
              <w:spacing w:before="40" w:after="40"/>
            </w:pPr>
            <w:r>
              <w:rPr>
                <w:color w:val="6B5E4A"/>
                <w:sz w:val="18"/>
              </w:rPr>
              <w:t>Full provenance</w:t>
            </w:r>
          </w:p>
        </w:tc>
        <w:tc>
          <w:tcPr>
            <w:tcW w:type="dxa" w:w="1987"/>
          </w:tcPr>
          <w:p>
            <w:pPr>
              <w:spacing w:before="40" w:after="40"/>
            </w:pPr>
            <w:r>
              <w:rPr>
                <w:color w:val="6B5E4A"/>
                <w:sz w:val="18"/>
              </w:rPr>
              <w:t>✓ Full chain</w:t>
            </w:r>
          </w:p>
        </w:tc>
        <w:tc>
          <w:tcPr>
            <w:tcW w:type="dxa" w:w="1987"/>
          </w:tcPr>
          <w:p>
            <w:pPr>
              <w:spacing w:before="40" w:after="40"/>
            </w:pPr>
            <w:r>
              <w:rPr>
                <w:color w:val="6B5E4A"/>
                <w:sz w:val="18"/>
              </w:rPr>
              <w:t>✓ Per sentence</w:t>
            </w:r>
          </w:p>
        </w:tc>
        <w:tc>
          <w:tcPr>
            <w:tcW w:type="dxa" w:w="1987"/>
          </w:tcPr>
          <w:p>
            <w:pPr>
              <w:spacing w:before="40" w:after="40"/>
            </w:pPr>
            <w:r>
              <w:rPr>
                <w:color w:val="6B5E4A"/>
                <w:sz w:val="18"/>
              </w:rPr>
              <w:t>✗ Hallucinated</w:t>
            </w:r>
          </w:p>
        </w:tc>
        <w:tc>
          <w:tcPr>
            <w:tcW w:type="dxa" w:w="1987"/>
          </w:tcPr>
          <w:p>
            <w:pPr>
              <w:spacing w:before="40" w:after="40"/>
            </w:pPr>
            <w:r>
              <w:rPr>
                <w:color w:val="6B5E4A"/>
                <w:sz w:val="18"/>
              </w:rPr>
              <w:t>✓ URLs</w:t>
            </w:r>
          </w:p>
        </w:tc>
      </w:tr>
      <w:tr>
        <w:tc>
          <w:tcPr>
            <w:tcW w:type="dxa" w:w="1987"/>
          </w:tcPr>
          <w:p>
            <w:pPr>
              <w:spacing w:before="40" w:after="40"/>
            </w:pPr>
            <w:r>
              <w:rPr>
                <w:color w:val="6B5E4A"/>
                <w:sz w:val="18"/>
              </w:rPr>
              <w:t>Open source</w:t>
            </w:r>
          </w:p>
        </w:tc>
        <w:tc>
          <w:tcPr>
            <w:tcW w:type="dxa" w:w="1987"/>
          </w:tcPr>
          <w:p>
            <w:pPr>
              <w:spacing w:before="40" w:after="40"/>
            </w:pPr>
            <w:r>
              <w:rPr>
                <w:color w:val="6B5E4A"/>
                <w:sz w:val="18"/>
              </w:rPr>
              <w:t>✓ MIT</w:t>
            </w:r>
          </w:p>
        </w:tc>
        <w:tc>
          <w:tcPr>
            <w:tcW w:type="dxa" w:w="1987"/>
          </w:tcPr>
          <w:p>
            <w:pPr>
              <w:spacing w:before="40" w:after="40"/>
            </w:pPr>
            <w:r>
              <w:rPr>
                <w:color w:val="6B5E4A"/>
                <w:sz w:val="18"/>
              </w:rPr>
              <w:t>✓ CC-BY-SA</w:t>
            </w:r>
          </w:p>
        </w:tc>
        <w:tc>
          <w:tcPr>
            <w:tcW w:type="dxa" w:w="1987"/>
          </w:tcPr>
          <w:p>
            <w:pPr>
              <w:spacing w:before="40" w:after="40"/>
            </w:pPr>
            <w:r>
              <w:rPr>
                <w:color w:val="6B5E4A"/>
                <w:sz w:val="18"/>
              </w:rPr>
              <w:t>✗ Proprietary</w:t>
            </w:r>
          </w:p>
        </w:tc>
        <w:tc>
          <w:tcPr>
            <w:tcW w:type="dxa" w:w="1987"/>
          </w:tcPr>
          <w:p>
            <w:pPr>
              <w:spacing w:before="40" w:after="40"/>
            </w:pPr>
            <w:r>
              <w:rPr>
                <w:color w:val="6B5E4A"/>
                <w:sz w:val="18"/>
              </w:rPr>
              <w:t>✗ Proprietary</w:t>
            </w:r>
          </w:p>
        </w:tc>
      </w:tr>
      <w:tr>
        <w:tc>
          <w:tcPr>
            <w:tcW w:type="dxa" w:w="1987"/>
          </w:tcPr>
          <w:p>
            <w:pPr>
              <w:spacing w:before="40" w:after="40"/>
            </w:pPr>
            <w:r>
              <w:rPr>
                <w:color w:val="6B5E4A"/>
                <w:sz w:val="18"/>
              </w:rPr>
              <w:t>Local dev</w:t>
            </w:r>
          </w:p>
        </w:tc>
        <w:tc>
          <w:tcPr>
            <w:tcW w:type="dxa" w:w="1987"/>
          </w:tcPr>
          <w:p>
            <w:pPr>
              <w:spacing w:before="40" w:after="40"/>
            </w:pPr>
            <w:r>
              <w:rPr>
                <w:color w:val="6B5E4A"/>
                <w:sz w:val="18"/>
              </w:rPr>
              <w:t>✓ Zero infra</w:t>
            </w:r>
          </w:p>
        </w:tc>
        <w:tc>
          <w:tcPr>
            <w:tcW w:type="dxa" w:w="1987"/>
          </w:tcPr>
          <w:p>
            <w:pPr>
              <w:spacing w:before="40" w:after="40"/>
            </w:pPr>
            <w:r>
              <w:rPr>
                <w:color w:val="6B5E4A"/>
                <w:sz w:val="18"/>
              </w:rPr>
              <w:t>✓ Needs stack</w:t>
            </w:r>
          </w:p>
        </w:tc>
        <w:tc>
          <w:tcPr>
            <w:tcW w:type="dxa" w:w="1987"/>
          </w:tcPr>
          <w:p>
            <w:pPr>
              <w:spacing w:before="40" w:after="40"/>
            </w:pPr>
            <w:r>
              <w:rPr>
                <w:color w:val="6B5E4A"/>
                <w:sz w:val="18"/>
              </w:rPr>
              <w:t>✗ API only</w:t>
            </w:r>
          </w:p>
        </w:tc>
        <w:tc>
          <w:tcPr>
            <w:tcW w:type="dxa" w:w="1987"/>
          </w:tcPr>
          <w:p>
            <w:pPr>
              <w:spacing w:before="40" w:after="40"/>
            </w:pPr>
            <w:r>
              <w:rPr>
                <w:color w:val="6B5E4A"/>
                <w:sz w:val="18"/>
              </w:rPr>
              <w:t>✗ API only</w:t>
            </w:r>
          </w:p>
        </w:tc>
      </w:tr>
    </w:tbl>
    <w:p>
      <w:r>
        <w:t>Reference markets: knowledge management ($57B by 2027), AI content generation ($18B by 2028), research intelligence platforms ($12B by 2026). Truthseekers sits at the intersection.</w:t>
      </w:r>
    </w:p>
    <w:p>
      <w:pPr>
        <w:pStyle w:val="Heading1"/>
      </w:pPr>
      <w:r>
        <w:t>Current Status &amp; Trajectory</w:t>
      </w:r>
    </w:p>
    <w:p>
      <w:r>
        <w:t>Go backend: live. Python workers: complete. Frontend: live, with SSE streaming fixed, loading/error states implemented, block rendering fixed, and React.memo optimizations. DAG-to-HTTP integration is the remaining engineering milestone (standard task with known interfaces). Infrastructure, testing, and documentation are well-established.</w:t>
      </w:r>
    </w:p>
    <w:p>
      <w:r>
        <w:t>The system works end-to-end today. The DAG pipeline produces valid article output. The agent holds conversations with 14 tools. The frontend streams real-time progress. The remaining integration is a standard engineering task with known interfaces on both sides.</w:t>
      </w:r>
    </w:p>
    <w:p>
      <w:pPr>
        <w:pStyle w:val="Heading1"/>
      </w:pPr>
      <w:r>
        <w:t>Technology Stack</w:t>
      </w:r>
    </w:p>
    <w:p>
      <w:r>
        <w:t>Go 1.22+ with stdlib net/http, MongoDB with in-memory mock, HMAC-SHA256 JWT auth, OpenAI-compatible API (Groq + DO Inference), Python 3.11+ subprocesses. Frontend: Next.js 15.5.19, React 19, Tailwind CSS 4, TanStack Query, Framer Motion 11, Mermaid.js, Leaflet, React Three Fiber.</w:t>
      </w:r>
    </w:p>
    <w:p>
      <w:r>
        <w:t>The Go backend uses zero web frameworks — deliberate choice for small, stable API surface, reduced attack surface, and sub-10-second compile times.</w:t>
      </w:r>
    </w:p>
    <w:p>
      <w:pPr>
        <w:pStyle w:val="Heading1"/>
      </w:pPr>
      <w:r>
        <w:t>Team</w:t>
      </w:r>
    </w:p>
    <w:p>
      <w:r>
        <w:t>Solo-built across the full stack: Go systems programming, Python ML/LLM pipelines, and React frontend architecture. Custom editorial design system built from scratch. Novel three-layer epistemic architecture with typed I/O contracts and hard prohibitions at code level.</w:t>
      </w:r>
    </w:p>
    <w:p>
      <w:pPr>
        <w:pStyle w:val="Heading1"/>
      </w:pPr>
      <w:r>
        <w:t>Roadmap</w:t>
      </w:r>
    </w:p>
    <w:p>
      <w:r>
        <w:t>Phase 1 (Architecture Design): Done. Phase 2 (Core Implementation): Done. Phase 3 (Frontend Integration): ~70% done, 2 weeks remaining. Phase 4 (Epistemic Tuning): Pending, 3 weeks. Phase 5 (PostgreSQL Migration): Pending, 2 weeks. Phase 6 (Production Hardening): Pending, 3 weeks.</w:t>
      </w:r>
    </w:p>
    <w:p>
      <w:pPr>
        <w:pStyle w:val="Heading1"/>
      </w:pPr>
      <w:r>
        <w:t>Key Metrics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
              <w:rPr>
                <w:rFonts w:ascii="Georgia" w:hAnsi="Georgia"/>
                <w:b/>
                <w:color w:val="A67C2F"/>
                <w:sz w:val="36"/>
              </w:rPr>
              <w:t>~15k</w:t>
            </w:r>
          </w:p>
          <w:p>
            <w:r>
              <w:rPr>
                <w:rFonts w:ascii="Georgia" w:hAnsi="Georgia"/>
                <w:color w:val="6B5E4A"/>
                <w:sz w:val="14"/>
              </w:rPr>
              <w:t>Lines of Go</w:t>
            </w:r>
          </w:p>
        </w:tc>
        <w:tc>
          <w:tcPr>
            <w:tcW w:type="dxa" w:w="2484"/>
          </w:tcPr>
          <w:p>
            <w:r/>
            <w:r>
              <w:rPr>
                <w:rFonts w:ascii="Georgia" w:hAnsi="Georgia"/>
                <w:b/>
                <w:color w:val="A67C2F"/>
                <w:sz w:val="36"/>
              </w:rPr>
              <w:t>~8k</w:t>
            </w:r>
          </w:p>
          <w:p>
            <w:r>
              <w:rPr>
                <w:rFonts w:ascii="Georgia" w:hAnsi="Georgia"/>
                <w:color w:val="6B5E4A"/>
                <w:sz w:val="14"/>
              </w:rPr>
              <w:t>Lines of Python</w:t>
            </w:r>
          </w:p>
        </w:tc>
        <w:tc>
          <w:tcPr>
            <w:tcW w:type="dxa" w:w="2484"/>
          </w:tcPr>
          <w:p>
            <w:r/>
            <w:r>
              <w:rPr>
                <w:rFonts w:ascii="Georgia" w:hAnsi="Georgia"/>
                <w:b/>
                <w:color w:val="A67C2F"/>
                <w:sz w:val="36"/>
              </w:rPr>
              <w:t>~25k</w:t>
            </w:r>
          </w:p>
          <w:p>
            <w:r>
              <w:rPr>
                <w:rFonts w:ascii="Georgia" w:hAnsi="Georgia"/>
                <w:color w:val="6B5E4A"/>
                <w:sz w:val="14"/>
              </w:rPr>
              <w:t>Lines of TS/JS</w:t>
            </w:r>
          </w:p>
        </w:tc>
        <w:tc>
          <w:tcPr>
            <w:tcW w:type="dxa" w:w="2484"/>
          </w:tcPr>
          <w:p>
            <w:r/>
            <w:r>
              <w:rPr>
                <w:rFonts w:ascii="Georgia" w:hAnsi="Georgia"/>
                <w:b/>
                <w:color w:val="A67C2F"/>
                <w:sz w:val="36"/>
              </w:rPr>
              <w:t>19</w:t>
            </w:r>
          </w:p>
          <w:p>
            <w:r>
              <w:rPr>
                <w:rFonts w:ascii="Georgia" w:hAnsi="Georgia"/>
                <w:color w:val="6B5E4A"/>
                <w:sz w:val="14"/>
              </w:rPr>
              <w:t>Go Source Files</w:t>
            </w:r>
          </w:p>
        </w:tc>
      </w:tr>
    </w:tbl>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
              <w:rPr>
                <w:rFonts w:ascii="Georgia" w:hAnsi="Georgia"/>
                <w:b/>
                <w:color w:val="A67C2F"/>
                <w:sz w:val="36"/>
              </w:rPr>
              <w:t>14</w:t>
            </w:r>
          </w:p>
          <w:p>
            <w:r>
              <w:rPr>
                <w:rFonts w:ascii="Georgia" w:hAnsi="Georgia"/>
                <w:color w:val="6B5E4A"/>
                <w:sz w:val="14"/>
              </w:rPr>
              <w:t>Agent Tools</w:t>
            </w:r>
          </w:p>
        </w:tc>
        <w:tc>
          <w:tcPr>
            <w:tcW w:type="dxa" w:w="2484"/>
          </w:tcPr>
          <w:p>
            <w:r/>
            <w:r>
              <w:rPr>
                <w:rFonts w:ascii="Georgia" w:hAnsi="Georgia"/>
                <w:b/>
                <w:color w:val="A67C2F"/>
                <w:sz w:val="36"/>
              </w:rPr>
              <w:t>10</w:t>
            </w:r>
          </w:p>
          <w:p>
            <w:r>
              <w:rPr>
                <w:rFonts w:ascii="Georgia" w:hAnsi="Georgia"/>
                <w:color w:val="6B5E4A"/>
                <w:sz w:val="14"/>
              </w:rPr>
              <w:t>Python Scripts</w:t>
            </w:r>
          </w:p>
        </w:tc>
        <w:tc>
          <w:tcPr>
            <w:tcW w:type="dxa" w:w="2484"/>
          </w:tcPr>
          <w:p>
            <w:r/>
            <w:r>
              <w:rPr>
                <w:rFonts w:ascii="Georgia" w:hAnsi="Georgia"/>
                <w:b/>
                <w:color w:val="A67C2F"/>
                <w:sz w:val="36"/>
              </w:rPr>
              <w:t>23</w:t>
            </w:r>
          </w:p>
          <w:p>
            <w:r>
              <w:rPr>
                <w:rFonts w:ascii="Georgia" w:hAnsi="Georgia"/>
                <w:color w:val="6B5E4A"/>
                <w:sz w:val="14"/>
              </w:rPr>
              <w:t>DB CRUD Methods</w:t>
            </w:r>
          </w:p>
        </w:tc>
        <w:tc>
          <w:tcPr>
            <w:tcW w:type="dxa" w:w="2484"/>
          </w:tcPr>
          <w:p>
            <w:r/>
            <w:r>
              <w:rPr>
                <w:rFonts w:ascii="Georgia" w:hAnsi="Georgia"/>
                <w:b/>
                <w:color w:val="A67C2F"/>
                <w:sz w:val="36"/>
              </w:rPr>
              <w:t>4</w:t>
            </w:r>
          </w:p>
          <w:p>
            <w:r>
              <w:rPr>
                <w:rFonts w:ascii="Georgia" w:hAnsi="Georgia"/>
                <w:color w:val="6B5E4A"/>
                <w:sz w:val="14"/>
              </w:rPr>
              <w:t>LLM Providers</w:t>
            </w:r>
          </w:p>
        </w:tc>
      </w:tr>
    </w:tbl>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
              <w:rPr>
                <w:rFonts w:ascii="Georgia" w:hAnsi="Georgia"/>
                <w:b/>
                <w:color w:val="A67C2F"/>
                <w:sz w:val="36"/>
              </w:rPr>
              <w:t>4</w:t>
            </w:r>
          </w:p>
          <w:p>
            <w:r>
              <w:rPr>
                <w:rFonts w:ascii="Georgia" w:hAnsi="Georgia"/>
                <w:color w:val="6B5E4A"/>
                <w:sz w:val="14"/>
              </w:rPr>
              <w:t>Truth Categories</w:t>
            </w:r>
          </w:p>
        </w:tc>
        <w:tc>
          <w:tcPr>
            <w:tcW w:type="dxa" w:w="2484"/>
          </w:tcPr>
          <w:p>
            <w:r/>
            <w:r>
              <w:rPr>
                <w:rFonts w:ascii="Georgia" w:hAnsi="Georgia"/>
                <w:b/>
                <w:color w:val="A67C2F"/>
                <w:sz w:val="36"/>
              </w:rPr>
              <w:t>6</w:t>
            </w:r>
          </w:p>
          <w:p>
            <w:r>
              <w:rPr>
                <w:rFonts w:ascii="Georgia" w:hAnsi="Georgia"/>
                <w:color w:val="6B5E4A"/>
                <w:sz w:val="14"/>
              </w:rPr>
              <w:t>Confidence Axes</w:t>
            </w:r>
          </w:p>
        </w:tc>
        <w:tc>
          <w:tcPr>
            <w:tcW w:type="dxa" w:w="2484"/>
          </w:tcPr>
          <w:p>
            <w:r/>
            <w:r>
              <w:rPr>
                <w:rFonts w:ascii="Georgia" w:hAnsi="Georgia"/>
                <w:b/>
                <w:color w:val="A67C2F"/>
                <w:sz w:val="36"/>
              </w:rPr>
              <w:t>9</w:t>
            </w:r>
          </w:p>
          <w:p>
            <w:r>
              <w:rPr>
                <w:rFonts w:ascii="Georgia" w:hAnsi="Georgia"/>
                <w:color w:val="6B5E4A"/>
                <w:sz w:val="14"/>
              </w:rPr>
              <w:t>DAG Nodes</w:t>
            </w:r>
          </w:p>
        </w:tc>
        <w:tc>
          <w:tcPr>
            <w:tcW w:type="dxa" w:w="2484"/>
          </w:tcPr>
          <w:p>
            <w:r/>
            <w:r>
              <w:rPr>
                <w:rFonts w:ascii="Georgia" w:hAnsi="Georgia"/>
                <w:b/>
                <w:color w:val="A67C2F"/>
                <w:sz w:val="36"/>
              </w:rPr>
              <w:t>3</w:t>
            </w:r>
          </w:p>
          <w:p>
            <w:r>
              <w:rPr>
                <w:rFonts w:ascii="Georgia" w:hAnsi="Georgia"/>
                <w:color w:val="6B5E4A"/>
                <w:sz w:val="14"/>
              </w:rPr>
              <w:t>Epistemic Layers</w:t>
            </w:r>
          </w:p>
        </w:tc>
      </w:tr>
    </w:tbl>
    <w:p/>
    <w:p>
      <w:pPr>
        <w:jc w:val="center"/>
      </w:pPr>
      <w:r>
        <w:rPr>
          <w:color w:val="6B5E4A"/>
          <w:sz w:val="18"/>
        </w:rPr>
        <w:t>Truthseekers - System Overview - June 2026</w:t>
      </w:r>
    </w:p>
    <w:sectPr w:rsidR="00FC693F" w:rsidRPr="0006063C"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Georgia" w:hAnsi="Georgia"/>
      <w:b/>
      <w:bCs/>
      <w:color w:val="A67C2F"/>
      <w:sz w:val="44"/>
      <w:szCs w:val="28"/>
    </w:rPr>
  </w:style>
  <w:style w:type="paragraph" w:styleId="Heading2">
    <w:name w:val="heading 2"/>
    <w:basedOn w:val="Normal"/>
    <w:next w:val="Normal"/>
    <w:link w:val="Heading2Char"/>
    <w:uiPriority w:val="9"/>
    <w:unhideWhenUsed/>
    <w:qFormat/>
    <w:rsid w:val="00FC693F"/>
    <w:pPr>
      <w:keepNext/>
      <w:keepLines/>
      <w:spacing w:before="480" w:after="80"/>
      <w:outlineLvl w:val="1"/>
    </w:pPr>
    <w:rPr>
      <w:rFonts w:asciiTheme="majorHAnsi" w:eastAsiaTheme="majorEastAsia" w:hAnsiTheme="majorHAnsi" w:cstheme="majorBidi" w:ascii="Georgia" w:hAnsi="Georgia"/>
      <w:b/>
      <w:bCs/>
      <w:color w:val="6B5E4A"/>
      <w:sz w:val="32"/>
      <w:szCs w:val="26"/>
    </w:rPr>
  </w:style>
  <w:style w:type="paragraph" w:styleId="Heading3">
    <w:name w:val="heading 3"/>
    <w:basedOn w:val="Normal"/>
    <w:next w:val="Normal"/>
    <w:link w:val="Heading3Char"/>
    <w:uiPriority w:val="9"/>
    <w:unhideWhenUsed/>
    <w:qFormat/>
    <w:rsid w:val="00FC693F"/>
    <w:pPr>
      <w:keepNext/>
      <w:keepLines/>
      <w:spacing w:before="720" w:after="8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960" w:after="80"/>
      <w:outlineLvl w:val="3"/>
    </w:pPr>
    <w:rPr>
      <w:rFonts w:asciiTheme="majorHAnsi" w:eastAsiaTheme="majorEastAsia" w:hAnsiTheme="majorHAnsi" w:cstheme="majorBidi" w:ascii="Georgia" w:hAnsi="Georgia"/>
      <w:b/>
      <w:bCs/>
      <w:i/>
      <w:iCs/>
      <w:color w:val="A67C2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