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SEED RECOMMENDATION SYSTEM</w:t>
        <w:br/>
        <w:t>EVALUATION SUMMARY REPORT</w:t>
      </w:r>
    </w:p>
    <w:p/>
    <w:p>
      <w:pPr>
        <w:jc w:val="center"/>
      </w:pPr>
      <w:r>
        <w:rPr>
          <w:i/>
          <w:sz w:val="22"/>
        </w:rPr>
        <w:t>Kagheni Jenner Maximillien — Cavendish University Uganda</w:t>
      </w:r>
    </w:p>
    <w:p>
      <w:pPr>
        <w:jc w:val="center"/>
      </w:pPr>
      <w:r>
        <w:rPr>
          <w:i/>
          <w:color w:val="707070"/>
          <w:sz w:val="20"/>
        </w:rPr>
        <w:t>Master's Dissertation Artefact — Explainable ML for Seed Variety Selection</w:t>
      </w:r>
    </w:p>
    <w:p/>
    <w:p>
      <w:r>
        <w:t>Purpose: This document summarises the full model comparison, explains why XGBoost was selected as the dissertation hero model, reports both random-split and grouped (spatial-temporal) cross-validation results, and documents ranking performance, explainability outputs, and fairness analysis.</w:t>
      </w:r>
    </w:p>
    <w:p>
      <w:pPr>
        <w:pStyle w:val="Heading2"/>
      </w:pPr>
      <w:r>
        <w:t>Project Resources</w:t>
      </w:r>
    </w:p>
    <w:p>
      <w:pPr>
        <w:pStyle w:val="ListBullet"/>
      </w:pPr>
      <w:r>
        <w:t>Live application: https://seedrecommender.streamlit.app/</w:t>
      </w:r>
    </w:p>
    <w:p>
      <w:pPr>
        <w:pStyle w:val="ListBullet"/>
      </w:pPr>
      <w:r>
        <w:t>GitHub repository: https://github.com/kaghenijenner/seedrecommandation</w:t>
      </w:r>
    </w:p>
    <w:p>
      <w:pPr>
        <w:pStyle w:val="ListBullet"/>
      </w:pPr>
      <w:r>
        <w:t>Datasets: Google Drive folder (linked in dissertation appendix)</w:t>
      </w:r>
    </w:p>
    <w:p>
      <w:pPr>
        <w:pStyle w:val="Heading2"/>
      </w:pPr>
      <w:r>
        <w:t>Executive Summary</w:t>
      </w:r>
    </w:p>
    <w:p>
      <w:r>
        <w:t>The selected model is XGBoost (selection score 0.9969). XGBoost is the dissertation's intended hero model because it delivers the best balance of predictive performance and native explainability — its feature importance, SHAP values, and LIME approximations allow agronomists and farmers to understand every recommendation. While Extra Trees achieved marginally higher raw accuracy under random-split cross-validation, XGBoost was chosen deliberately per the research proposal.</w:t>
      </w:r>
    </w:p>
    <w:p>
      <w:r>
        <w:t>Under random-split evaluation, XGBoost achieved accuracy 0.9964, balanced accuracy 0.9958, precision 0.9975, recall 0.9932, F1 0.9954, and ROC AUC 0.9995 at a decision threshold of 0.55.</w:t>
      </w:r>
    </w:p>
    <w:p>
      <w:r>
        <w:t>Important note on random-split metrics: because suitability labels are derived from the scoring function applied to the same dataset, a model trained and tested on random splits of the same rows is largely reconstructing its own labels — hence the high accuracy figures across most models. The credible generalization numbers are the grouped cross-validation results in Section 5.</w:t>
      </w:r>
    </w:p>
    <w:p>
      <w:r>
        <w:t>The training dataset contained 8,256 rows with a positive (suitable) rate of 39.3%.</w:t>
      </w:r>
    </w:p>
    <w:p>
      <w:pPr>
        <w:pStyle w:val="Heading2"/>
      </w:pPr>
      <w:r>
        <w:t>Full Model Comparison (Random-Split Cross-Validation)</w:t>
      </w:r>
    </w:p>
    <w:p>
      <w:r>
        <w:t>Table 1 reports all five candidate models evaluated on a stratified random split. The highlighted row is XGBoost, the selected model.</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4B5"/>
          </w:tcPr>
          <w:p>
            <w:pPr>
              <w:jc w:val="center"/>
            </w:pPr>
            <w:r>
              <w:rPr>
                <w:b/>
                <w:color w:val="FFFFFF"/>
                <w:sz w:val="20"/>
              </w:rPr>
              <w:t>Model</w:t>
            </w:r>
          </w:p>
        </w:tc>
        <w:tc>
          <w:tcPr>
            <w:tcW w:type="dxa" w:w="1080"/>
            <w:shd w:val="clear" w:color="auto" w:fill="2E74B5"/>
          </w:tcPr>
          <w:p>
            <w:pPr>
              <w:jc w:val="center"/>
            </w:pPr>
            <w:r>
              <w:rPr>
                <w:b/>
                <w:color w:val="FFFFFF"/>
                <w:sz w:val="20"/>
              </w:rPr>
              <w:t>Accuracy</w:t>
            </w:r>
          </w:p>
        </w:tc>
        <w:tc>
          <w:tcPr>
            <w:tcW w:type="dxa" w:w="1080"/>
            <w:shd w:val="clear" w:color="auto" w:fill="2E74B5"/>
          </w:tcPr>
          <w:p>
            <w:pPr>
              <w:jc w:val="center"/>
            </w:pPr>
            <w:r>
              <w:rPr>
                <w:b/>
                <w:color w:val="FFFFFF"/>
                <w:sz w:val="20"/>
              </w:rPr>
              <w:t>Bal. Accuracy</w:t>
            </w:r>
          </w:p>
        </w:tc>
        <w:tc>
          <w:tcPr>
            <w:tcW w:type="dxa" w:w="1080"/>
            <w:shd w:val="clear" w:color="auto" w:fill="2E74B5"/>
          </w:tcPr>
          <w:p>
            <w:pPr>
              <w:jc w:val="center"/>
            </w:pPr>
            <w:r>
              <w:rPr>
                <w:b/>
                <w:color w:val="FFFFFF"/>
                <w:sz w:val="20"/>
              </w:rPr>
              <w:t>Precision</w:t>
            </w:r>
          </w:p>
        </w:tc>
        <w:tc>
          <w:tcPr>
            <w:tcW w:type="dxa" w:w="1080"/>
            <w:shd w:val="clear" w:color="auto" w:fill="2E74B5"/>
          </w:tcPr>
          <w:p>
            <w:pPr>
              <w:jc w:val="center"/>
            </w:pPr>
            <w:r>
              <w:rPr>
                <w:b/>
                <w:color w:val="FFFFFF"/>
                <w:sz w:val="20"/>
              </w:rPr>
              <w:t>Recall</w:t>
            </w:r>
          </w:p>
        </w:tc>
        <w:tc>
          <w:tcPr>
            <w:tcW w:type="dxa" w:w="1080"/>
            <w:shd w:val="clear" w:color="auto" w:fill="2E74B5"/>
          </w:tcPr>
          <w:p>
            <w:pPr>
              <w:jc w:val="center"/>
            </w:pPr>
            <w:r>
              <w:rPr>
                <w:b/>
                <w:color w:val="FFFFFF"/>
                <w:sz w:val="20"/>
              </w:rPr>
              <w:t>F1</w:t>
            </w:r>
          </w:p>
        </w:tc>
        <w:tc>
          <w:tcPr>
            <w:tcW w:type="dxa" w:w="1080"/>
            <w:shd w:val="clear" w:color="auto" w:fill="2E74B5"/>
          </w:tcPr>
          <w:p>
            <w:pPr>
              <w:jc w:val="center"/>
            </w:pPr>
            <w:r>
              <w:rPr>
                <w:b/>
                <w:color w:val="FFFFFF"/>
                <w:sz w:val="20"/>
              </w:rPr>
              <w:t>ROC AUC</w:t>
            </w:r>
          </w:p>
        </w:tc>
        <w:tc>
          <w:tcPr>
            <w:tcW w:type="dxa" w:w="1080"/>
            <w:shd w:val="clear" w:color="auto" w:fill="2E74B5"/>
          </w:tcPr>
          <w:p>
            <w:pPr>
              <w:jc w:val="center"/>
            </w:pPr>
            <w:r>
              <w:rPr>
                <w:b/>
                <w:color w:val="FFFFFF"/>
                <w:sz w:val="20"/>
              </w:rPr>
              <w:t>Threshold</w:t>
            </w:r>
          </w:p>
        </w:tc>
      </w:tr>
      <w:tr>
        <w:tc>
          <w:tcPr>
            <w:tcW w:type="dxa" w:w="1080"/>
          </w:tcPr>
          <w:p>
            <w:pPr>
              <w:jc w:val="left"/>
            </w:pPr>
            <w:r>
              <w:rPr>
                <w:sz w:val="20"/>
              </w:rPr>
              <w:t>Logistic Regression</w:t>
            </w:r>
          </w:p>
        </w:tc>
        <w:tc>
          <w:tcPr>
            <w:tcW w:type="dxa" w:w="1080"/>
          </w:tcPr>
          <w:p>
            <w:pPr>
              <w:jc w:val="center"/>
            </w:pPr>
            <w:r>
              <w:rPr>
                <w:sz w:val="20"/>
              </w:rPr>
              <w:t>0.7806</w:t>
            </w:r>
          </w:p>
        </w:tc>
        <w:tc>
          <w:tcPr>
            <w:tcW w:type="dxa" w:w="1080"/>
          </w:tcPr>
          <w:p>
            <w:pPr>
              <w:jc w:val="center"/>
            </w:pPr>
            <w:r>
              <w:rPr>
                <w:sz w:val="20"/>
              </w:rPr>
              <w:t>0.7616</w:t>
            </w:r>
          </w:p>
        </w:tc>
        <w:tc>
          <w:tcPr>
            <w:tcW w:type="dxa" w:w="1080"/>
          </w:tcPr>
          <w:p>
            <w:pPr>
              <w:jc w:val="center"/>
            </w:pPr>
            <w:r>
              <w:rPr>
                <w:sz w:val="20"/>
              </w:rPr>
              <w:t>0.7442</w:t>
            </w:r>
          </w:p>
        </w:tc>
        <w:tc>
          <w:tcPr>
            <w:tcW w:type="dxa" w:w="1080"/>
          </w:tcPr>
          <w:p>
            <w:pPr>
              <w:jc w:val="center"/>
            </w:pPr>
            <w:r>
              <w:rPr>
                <w:sz w:val="20"/>
              </w:rPr>
              <w:t>0.6728</w:t>
            </w:r>
          </w:p>
        </w:tc>
        <w:tc>
          <w:tcPr>
            <w:tcW w:type="dxa" w:w="1080"/>
          </w:tcPr>
          <w:p>
            <w:pPr>
              <w:jc w:val="center"/>
            </w:pPr>
            <w:r>
              <w:rPr>
                <w:sz w:val="20"/>
              </w:rPr>
              <w:t>0.7067</w:t>
            </w:r>
          </w:p>
        </w:tc>
        <w:tc>
          <w:tcPr>
            <w:tcW w:type="dxa" w:w="1080"/>
          </w:tcPr>
          <w:p>
            <w:pPr>
              <w:jc w:val="center"/>
            </w:pPr>
            <w:r>
              <w:rPr>
                <w:sz w:val="20"/>
              </w:rPr>
              <w:t>0.8475</w:t>
            </w:r>
          </w:p>
        </w:tc>
        <w:tc>
          <w:tcPr>
            <w:tcW w:type="dxa" w:w="1080"/>
          </w:tcPr>
          <w:p>
            <w:pPr>
              <w:jc w:val="center"/>
            </w:pPr>
            <w:r>
              <w:rPr>
                <w:sz w:val="20"/>
              </w:rPr>
              <w:t>0.60</w:t>
            </w:r>
          </w:p>
        </w:tc>
      </w:tr>
      <w:tr>
        <w:tc>
          <w:tcPr>
            <w:tcW w:type="dxa" w:w="1080"/>
          </w:tcPr>
          <w:p>
            <w:pPr>
              <w:jc w:val="left"/>
            </w:pPr>
            <w:r>
              <w:rPr>
                <w:sz w:val="20"/>
              </w:rPr>
              <w:t>Random Forest</w:t>
            </w:r>
          </w:p>
        </w:tc>
        <w:tc>
          <w:tcPr>
            <w:tcW w:type="dxa" w:w="1080"/>
          </w:tcPr>
          <w:p>
            <w:pPr>
              <w:jc w:val="center"/>
            </w:pPr>
            <w:r>
              <w:rPr>
                <w:sz w:val="20"/>
              </w:rPr>
              <w:t>0.8699</w:t>
            </w:r>
          </w:p>
        </w:tc>
        <w:tc>
          <w:tcPr>
            <w:tcW w:type="dxa" w:w="1080"/>
          </w:tcPr>
          <w:p>
            <w:pPr>
              <w:jc w:val="center"/>
            </w:pPr>
            <w:r>
              <w:rPr>
                <w:sz w:val="20"/>
              </w:rPr>
              <w:t>0.8699</w:t>
            </w:r>
          </w:p>
        </w:tc>
        <w:tc>
          <w:tcPr>
            <w:tcW w:type="dxa" w:w="1080"/>
          </w:tcPr>
          <w:p>
            <w:pPr>
              <w:jc w:val="center"/>
            </w:pPr>
            <w:r>
              <w:rPr>
                <w:sz w:val="20"/>
              </w:rPr>
              <w:t>0.8124</w:t>
            </w:r>
          </w:p>
        </w:tc>
        <w:tc>
          <w:tcPr>
            <w:tcW w:type="dxa" w:w="1080"/>
          </w:tcPr>
          <w:p>
            <w:pPr>
              <w:jc w:val="center"/>
            </w:pPr>
            <w:r>
              <w:rPr>
                <w:sz w:val="20"/>
              </w:rPr>
              <w:t>0.8696</w:t>
            </w:r>
          </w:p>
        </w:tc>
        <w:tc>
          <w:tcPr>
            <w:tcW w:type="dxa" w:w="1080"/>
          </w:tcPr>
          <w:p>
            <w:pPr>
              <w:jc w:val="center"/>
            </w:pPr>
            <w:r>
              <w:rPr>
                <w:sz w:val="20"/>
              </w:rPr>
              <w:t>0.8400</w:t>
            </w:r>
          </w:p>
        </w:tc>
        <w:tc>
          <w:tcPr>
            <w:tcW w:type="dxa" w:w="1080"/>
          </w:tcPr>
          <w:p>
            <w:pPr>
              <w:jc w:val="center"/>
            </w:pPr>
            <w:r>
              <w:rPr>
                <w:sz w:val="20"/>
              </w:rPr>
              <w:t>0.9471</w:t>
            </w:r>
          </w:p>
        </w:tc>
        <w:tc>
          <w:tcPr>
            <w:tcW w:type="dxa" w:w="1080"/>
          </w:tcPr>
          <w:p>
            <w:pPr>
              <w:jc w:val="center"/>
            </w:pPr>
            <w:r>
              <w:rPr>
                <w:sz w:val="20"/>
              </w:rPr>
              <w:t>0.50</w:t>
            </w:r>
          </w:p>
        </w:tc>
      </w:tr>
      <w:tr>
        <w:tc>
          <w:tcPr>
            <w:tcW w:type="dxa" w:w="1080"/>
          </w:tcPr>
          <w:p>
            <w:pPr>
              <w:jc w:val="left"/>
            </w:pPr>
            <w:r>
              <w:rPr>
                <w:sz w:val="20"/>
              </w:rPr>
              <w:t>Extra Trees</w:t>
            </w:r>
          </w:p>
        </w:tc>
        <w:tc>
          <w:tcPr>
            <w:tcW w:type="dxa" w:w="1080"/>
          </w:tcPr>
          <w:p>
            <w:pPr>
              <w:jc w:val="center"/>
            </w:pPr>
            <w:r>
              <w:rPr>
                <w:sz w:val="20"/>
              </w:rPr>
              <w:t>0.9992</w:t>
            </w:r>
          </w:p>
        </w:tc>
        <w:tc>
          <w:tcPr>
            <w:tcW w:type="dxa" w:w="1080"/>
          </w:tcPr>
          <w:p>
            <w:pPr>
              <w:jc w:val="center"/>
            </w:pPr>
            <w:r>
              <w:rPr>
                <w:sz w:val="20"/>
              </w:rPr>
              <w:t>0.9990</w:t>
            </w:r>
          </w:p>
        </w:tc>
        <w:tc>
          <w:tcPr>
            <w:tcW w:type="dxa" w:w="1080"/>
          </w:tcPr>
          <w:p>
            <w:pPr>
              <w:jc w:val="center"/>
            </w:pPr>
            <w:r>
              <w:rPr>
                <w:sz w:val="20"/>
              </w:rPr>
              <w:t>0.9994</w:t>
            </w:r>
          </w:p>
        </w:tc>
        <w:tc>
          <w:tcPr>
            <w:tcW w:type="dxa" w:w="1080"/>
          </w:tcPr>
          <w:p>
            <w:pPr>
              <w:jc w:val="center"/>
            </w:pPr>
            <w:r>
              <w:rPr>
                <w:sz w:val="20"/>
              </w:rPr>
              <w:t>0.9985</w:t>
            </w:r>
          </w:p>
        </w:tc>
        <w:tc>
          <w:tcPr>
            <w:tcW w:type="dxa" w:w="1080"/>
          </w:tcPr>
          <w:p>
            <w:pPr>
              <w:jc w:val="center"/>
            </w:pPr>
            <w:r>
              <w:rPr>
                <w:sz w:val="20"/>
              </w:rPr>
              <w:t>0.9989</w:t>
            </w:r>
          </w:p>
        </w:tc>
        <w:tc>
          <w:tcPr>
            <w:tcW w:type="dxa" w:w="1080"/>
          </w:tcPr>
          <w:p>
            <w:pPr>
              <w:jc w:val="center"/>
            </w:pPr>
            <w:r>
              <w:rPr>
                <w:sz w:val="20"/>
              </w:rPr>
              <w:t>1.0000</w:t>
            </w:r>
          </w:p>
        </w:tc>
        <w:tc>
          <w:tcPr>
            <w:tcW w:type="dxa" w:w="1080"/>
          </w:tcPr>
          <w:p>
            <w:pPr>
              <w:jc w:val="center"/>
            </w:pPr>
            <w:r>
              <w:rPr>
                <w:sz w:val="20"/>
              </w:rPr>
              <w:t>0.50</w:t>
            </w:r>
          </w:p>
        </w:tc>
      </w:tr>
      <w:tr>
        <w:tc>
          <w:tcPr>
            <w:tcW w:type="dxa" w:w="1080"/>
          </w:tcPr>
          <w:p>
            <w:pPr>
              <w:jc w:val="left"/>
            </w:pPr>
            <w:r>
              <w:rPr>
                <w:sz w:val="20"/>
              </w:rPr>
              <w:t>Hist Gradient Boosting</w:t>
            </w:r>
          </w:p>
        </w:tc>
        <w:tc>
          <w:tcPr>
            <w:tcW w:type="dxa" w:w="1080"/>
          </w:tcPr>
          <w:p>
            <w:pPr>
              <w:jc w:val="center"/>
            </w:pPr>
            <w:r>
              <w:rPr>
                <w:sz w:val="20"/>
              </w:rPr>
              <w:t>0.9984</w:t>
            </w:r>
          </w:p>
        </w:tc>
        <w:tc>
          <w:tcPr>
            <w:tcW w:type="dxa" w:w="1080"/>
          </w:tcPr>
          <w:p>
            <w:pPr>
              <w:jc w:val="center"/>
            </w:pPr>
            <w:r>
              <w:rPr>
                <w:sz w:val="20"/>
              </w:rPr>
              <w:t>0.9982</w:t>
            </w:r>
          </w:p>
        </w:tc>
        <w:tc>
          <w:tcPr>
            <w:tcW w:type="dxa" w:w="1080"/>
          </w:tcPr>
          <w:p>
            <w:pPr>
              <w:jc w:val="center"/>
            </w:pPr>
            <w:r>
              <w:rPr>
                <w:sz w:val="20"/>
              </w:rPr>
              <w:t>0.9991</w:t>
            </w:r>
          </w:p>
        </w:tc>
        <w:tc>
          <w:tcPr>
            <w:tcW w:type="dxa" w:w="1080"/>
          </w:tcPr>
          <w:p>
            <w:pPr>
              <w:jc w:val="center"/>
            </w:pPr>
            <w:r>
              <w:rPr>
                <w:sz w:val="20"/>
              </w:rPr>
              <w:t>0.9969</w:t>
            </w:r>
          </w:p>
        </w:tc>
        <w:tc>
          <w:tcPr>
            <w:tcW w:type="dxa" w:w="1080"/>
          </w:tcPr>
          <w:p>
            <w:pPr>
              <w:jc w:val="center"/>
            </w:pPr>
            <w:r>
              <w:rPr>
                <w:sz w:val="20"/>
              </w:rPr>
              <w:t>0.9980</w:t>
            </w:r>
          </w:p>
        </w:tc>
        <w:tc>
          <w:tcPr>
            <w:tcW w:type="dxa" w:w="1080"/>
          </w:tcPr>
          <w:p>
            <w:pPr>
              <w:jc w:val="center"/>
            </w:pPr>
            <w:r>
              <w:rPr>
                <w:sz w:val="20"/>
              </w:rPr>
              <w:t>0.9998</w:t>
            </w:r>
          </w:p>
        </w:tc>
        <w:tc>
          <w:tcPr>
            <w:tcW w:type="dxa" w:w="1080"/>
          </w:tcPr>
          <w:p>
            <w:pPr>
              <w:jc w:val="center"/>
            </w:pPr>
            <w:r>
              <w:rPr>
                <w:sz w:val="20"/>
              </w:rPr>
              <w:t>0.60</w:t>
            </w:r>
          </w:p>
        </w:tc>
      </w:tr>
      <w:tr>
        <w:tc>
          <w:tcPr>
            <w:tcW w:type="dxa" w:w="1080"/>
            <w:shd w:val="clear" w:color="auto" w:fill="E2EFDA"/>
          </w:tcPr>
          <w:p>
            <w:pPr>
              <w:jc w:val="left"/>
            </w:pPr>
            <w:r>
              <w:rPr>
                <w:b/>
                <w:sz w:val="20"/>
              </w:rPr>
              <w:t>XGBoost (selected)</w:t>
            </w:r>
          </w:p>
        </w:tc>
        <w:tc>
          <w:tcPr>
            <w:tcW w:type="dxa" w:w="1080"/>
            <w:shd w:val="clear" w:color="auto" w:fill="E2EFDA"/>
          </w:tcPr>
          <w:p>
            <w:pPr>
              <w:jc w:val="center"/>
            </w:pPr>
            <w:r>
              <w:rPr>
                <w:b/>
                <w:sz w:val="20"/>
              </w:rPr>
              <w:t>0.9964</w:t>
            </w:r>
          </w:p>
        </w:tc>
        <w:tc>
          <w:tcPr>
            <w:tcW w:type="dxa" w:w="1080"/>
            <w:shd w:val="clear" w:color="auto" w:fill="E2EFDA"/>
          </w:tcPr>
          <w:p>
            <w:pPr>
              <w:jc w:val="center"/>
            </w:pPr>
            <w:r>
              <w:rPr>
                <w:b/>
                <w:sz w:val="20"/>
              </w:rPr>
              <w:t>0.9958</w:t>
            </w:r>
          </w:p>
        </w:tc>
        <w:tc>
          <w:tcPr>
            <w:tcW w:type="dxa" w:w="1080"/>
            <w:shd w:val="clear" w:color="auto" w:fill="E2EFDA"/>
          </w:tcPr>
          <w:p>
            <w:pPr>
              <w:jc w:val="center"/>
            </w:pPr>
            <w:r>
              <w:rPr>
                <w:b/>
                <w:sz w:val="20"/>
              </w:rPr>
              <w:t>0.9975</w:t>
            </w:r>
          </w:p>
        </w:tc>
        <w:tc>
          <w:tcPr>
            <w:tcW w:type="dxa" w:w="1080"/>
            <w:shd w:val="clear" w:color="auto" w:fill="E2EFDA"/>
          </w:tcPr>
          <w:p>
            <w:pPr>
              <w:jc w:val="center"/>
            </w:pPr>
            <w:r>
              <w:rPr>
                <w:b/>
                <w:sz w:val="20"/>
              </w:rPr>
              <w:t>0.9932</w:t>
            </w:r>
          </w:p>
        </w:tc>
        <w:tc>
          <w:tcPr>
            <w:tcW w:type="dxa" w:w="1080"/>
            <w:shd w:val="clear" w:color="auto" w:fill="E2EFDA"/>
          </w:tcPr>
          <w:p>
            <w:pPr>
              <w:jc w:val="center"/>
            </w:pPr>
            <w:r>
              <w:rPr>
                <w:b/>
                <w:sz w:val="20"/>
              </w:rPr>
              <w:t>0.9954</w:t>
            </w:r>
          </w:p>
        </w:tc>
        <w:tc>
          <w:tcPr>
            <w:tcW w:type="dxa" w:w="1080"/>
            <w:shd w:val="clear" w:color="auto" w:fill="E2EFDA"/>
          </w:tcPr>
          <w:p>
            <w:pPr>
              <w:jc w:val="center"/>
            </w:pPr>
            <w:r>
              <w:rPr>
                <w:b/>
                <w:sz w:val="20"/>
              </w:rPr>
              <w:t>0.9995</w:t>
            </w:r>
          </w:p>
        </w:tc>
        <w:tc>
          <w:tcPr>
            <w:tcW w:type="dxa" w:w="1080"/>
            <w:shd w:val="clear" w:color="auto" w:fill="E2EFDA"/>
          </w:tcPr>
          <w:p>
            <w:pPr>
              <w:jc w:val="center"/>
            </w:pPr>
            <w:r>
              <w:rPr>
                <w:b/>
                <w:sz w:val="20"/>
              </w:rPr>
              <w:t>0.55</w:t>
            </w:r>
          </w:p>
        </w:tc>
      </w:tr>
    </w:tbl>
    <w:p/>
    <w:p>
      <w:r>
        <w:t>Table 1: Random-split model comparison. Green row = selected model (XGBoost).</w:t>
      </w:r>
    </w:p>
    <w:p>
      <w:pPr>
        <w:pStyle w:val="Heading2"/>
      </w:pPr>
      <w:r>
        <w:t>What the Results Mean</w:t>
      </w:r>
    </w:p>
    <w:p>
      <w:r>
        <w:t>Accuracy measures the overall share of correct predictions. Balanced accuracy adjusts for class imbalance and is the fairer metric when the positive (suitable) rate is not 50%. Precision is the fraction of recommended varieties that are genuinely suitable — high precision means the system rarely recommends poor options. Recall is the fraction of truly suitable varieties that the system actually finds — high recall means few good options are missed. F1 is the harmonic mean of precision and recall. ROC AUC measures the model's ability to rank suitable varieties above unsuitable ones regardless of threshold.</w:t>
      </w:r>
    </w:p>
    <w:p>
      <w:r>
        <w:t>XGBoost scores strongly across all metrics under random-split evaluation. Its ROC AUC of 0.9995 confirms excellent discriminative power. The decision threshold was optimised to 0.55, balancing precision and recall for the recommendation use case.</w:t>
      </w:r>
    </w:p>
    <w:p>
      <w:pPr>
        <w:pStyle w:val="Heading2"/>
      </w:pPr>
      <w:r>
        <w:t>XGBoost Hyperparameters (Grid-Search Optimised)</w:t>
      </w:r>
    </w:p>
    <w:p>
      <w:r>
        <w:t>Table 2 shows the best hyperparameter configuration found during grid 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4B5"/>
          </w:tcPr>
          <w:p>
            <w:pPr>
              <w:jc w:val="center"/>
            </w:pPr>
            <w:r>
              <w:rPr>
                <w:b/>
                <w:color w:val="FFFFFF"/>
                <w:sz w:val="20"/>
              </w:rPr>
              <w:t>Parameter</w:t>
            </w:r>
          </w:p>
        </w:tc>
        <w:tc>
          <w:tcPr>
            <w:tcW w:type="dxa" w:w="2880"/>
            <w:shd w:val="clear" w:color="auto" w:fill="2E74B5"/>
          </w:tcPr>
          <w:p>
            <w:pPr>
              <w:jc w:val="center"/>
            </w:pPr>
            <w:r>
              <w:rPr>
                <w:b/>
                <w:color w:val="FFFFFF"/>
                <w:sz w:val="20"/>
              </w:rPr>
              <w:t>Value</w:t>
            </w:r>
          </w:p>
        </w:tc>
        <w:tc>
          <w:tcPr>
            <w:tcW w:type="dxa" w:w="2880"/>
            <w:shd w:val="clear" w:color="auto" w:fill="2E74B5"/>
          </w:tcPr>
          <w:p>
            <w:pPr>
              <w:jc w:val="center"/>
            </w:pPr>
            <w:r>
              <w:rPr>
                <w:b/>
                <w:color w:val="FFFFFF"/>
                <w:sz w:val="20"/>
              </w:rPr>
              <w:t>Description</w:t>
            </w:r>
          </w:p>
        </w:tc>
      </w:tr>
      <w:tr>
        <w:tc>
          <w:tcPr>
            <w:tcW w:type="dxa" w:w="2880"/>
          </w:tcPr>
          <w:p>
            <w:pPr>
              <w:jc w:val="left"/>
            </w:pPr>
            <w:r>
              <w:rPr>
                <w:sz w:val="20"/>
              </w:rPr>
              <w:t>n_estimators</w:t>
            </w:r>
          </w:p>
        </w:tc>
        <w:tc>
          <w:tcPr>
            <w:tcW w:type="dxa" w:w="2880"/>
          </w:tcPr>
          <w:p>
            <w:pPr>
              <w:jc w:val="center"/>
            </w:pPr>
            <w:r>
              <w:rPr>
                <w:sz w:val="20"/>
              </w:rPr>
              <w:t>600</w:t>
            </w:r>
          </w:p>
        </w:tc>
        <w:tc>
          <w:tcPr>
            <w:tcW w:type="dxa" w:w="2880"/>
          </w:tcPr>
          <w:p>
            <w:pPr>
              <w:jc w:val="center"/>
            </w:pPr>
            <w:r>
              <w:rPr>
                <w:sz w:val="20"/>
              </w:rPr>
              <w:t>Number of boosting rounds</w:t>
            </w:r>
          </w:p>
        </w:tc>
      </w:tr>
      <w:tr>
        <w:tc>
          <w:tcPr>
            <w:tcW w:type="dxa" w:w="2880"/>
          </w:tcPr>
          <w:p>
            <w:pPr>
              <w:jc w:val="left"/>
            </w:pPr>
            <w:r>
              <w:rPr>
                <w:sz w:val="20"/>
              </w:rPr>
              <w:t>max_depth</w:t>
            </w:r>
          </w:p>
        </w:tc>
        <w:tc>
          <w:tcPr>
            <w:tcW w:type="dxa" w:w="2880"/>
          </w:tcPr>
          <w:p>
            <w:pPr>
              <w:jc w:val="center"/>
            </w:pPr>
            <w:r>
              <w:rPr>
                <w:sz w:val="20"/>
              </w:rPr>
              <w:t>5</w:t>
            </w:r>
          </w:p>
        </w:tc>
        <w:tc>
          <w:tcPr>
            <w:tcW w:type="dxa" w:w="2880"/>
          </w:tcPr>
          <w:p>
            <w:pPr>
              <w:jc w:val="center"/>
            </w:pPr>
            <w:r>
              <w:rPr>
                <w:sz w:val="20"/>
              </w:rPr>
              <w:t>Maximum tree depth</w:t>
            </w:r>
          </w:p>
        </w:tc>
      </w:tr>
      <w:tr>
        <w:tc>
          <w:tcPr>
            <w:tcW w:type="dxa" w:w="2880"/>
          </w:tcPr>
          <w:p>
            <w:pPr>
              <w:jc w:val="left"/>
            </w:pPr>
            <w:r>
              <w:rPr>
                <w:sz w:val="20"/>
              </w:rPr>
              <w:t>learning_rate</w:t>
            </w:r>
          </w:p>
        </w:tc>
        <w:tc>
          <w:tcPr>
            <w:tcW w:type="dxa" w:w="2880"/>
          </w:tcPr>
          <w:p>
            <w:pPr>
              <w:jc w:val="center"/>
            </w:pPr>
            <w:r>
              <w:rPr>
                <w:sz w:val="20"/>
              </w:rPr>
              <w:t>0.1</w:t>
            </w:r>
          </w:p>
        </w:tc>
        <w:tc>
          <w:tcPr>
            <w:tcW w:type="dxa" w:w="2880"/>
          </w:tcPr>
          <w:p>
            <w:pPr>
              <w:jc w:val="center"/>
            </w:pPr>
            <w:r>
              <w:rPr>
                <w:sz w:val="20"/>
              </w:rPr>
              <w:t>Shrinkage applied to each tree</w:t>
            </w:r>
          </w:p>
        </w:tc>
      </w:tr>
      <w:tr>
        <w:tc>
          <w:tcPr>
            <w:tcW w:type="dxa" w:w="2880"/>
          </w:tcPr>
          <w:p>
            <w:pPr>
              <w:jc w:val="left"/>
            </w:pPr>
            <w:r>
              <w:rPr>
                <w:sz w:val="20"/>
              </w:rPr>
              <w:t>subsample</w:t>
            </w:r>
          </w:p>
        </w:tc>
        <w:tc>
          <w:tcPr>
            <w:tcW w:type="dxa" w:w="2880"/>
          </w:tcPr>
          <w:p>
            <w:pPr>
              <w:jc w:val="center"/>
            </w:pPr>
            <w:r>
              <w:rPr>
                <w:sz w:val="20"/>
              </w:rPr>
              <w:t>0.8</w:t>
            </w:r>
          </w:p>
        </w:tc>
        <w:tc>
          <w:tcPr>
            <w:tcW w:type="dxa" w:w="2880"/>
          </w:tcPr>
          <w:p>
            <w:pPr>
              <w:jc w:val="center"/>
            </w:pPr>
            <w:r>
              <w:rPr>
                <w:sz w:val="20"/>
              </w:rPr>
              <w:t>Row sub-sampling ratio per tree</w:t>
            </w:r>
          </w:p>
        </w:tc>
      </w:tr>
      <w:tr>
        <w:tc>
          <w:tcPr>
            <w:tcW w:type="dxa" w:w="2880"/>
          </w:tcPr>
          <w:p>
            <w:pPr>
              <w:jc w:val="left"/>
            </w:pPr>
            <w:r>
              <w:rPr>
                <w:sz w:val="20"/>
              </w:rPr>
              <w:t>colsample_bytree</w:t>
            </w:r>
          </w:p>
        </w:tc>
        <w:tc>
          <w:tcPr>
            <w:tcW w:type="dxa" w:w="2880"/>
          </w:tcPr>
          <w:p>
            <w:pPr>
              <w:jc w:val="center"/>
            </w:pPr>
            <w:r>
              <w:rPr>
                <w:sz w:val="20"/>
              </w:rPr>
              <w:t>0.9</w:t>
            </w:r>
          </w:p>
        </w:tc>
        <w:tc>
          <w:tcPr>
            <w:tcW w:type="dxa" w:w="2880"/>
          </w:tcPr>
          <w:p>
            <w:pPr>
              <w:jc w:val="center"/>
            </w:pPr>
            <w:r>
              <w:rPr>
                <w:sz w:val="20"/>
              </w:rPr>
              <w:t>Feature sub-sampling per tree</w:t>
            </w:r>
          </w:p>
        </w:tc>
      </w:tr>
      <w:tr>
        <w:tc>
          <w:tcPr>
            <w:tcW w:type="dxa" w:w="2880"/>
          </w:tcPr>
          <w:p>
            <w:pPr>
              <w:jc w:val="left"/>
            </w:pPr>
            <w:r>
              <w:rPr>
                <w:sz w:val="20"/>
              </w:rPr>
              <w:t>min_child_weight</w:t>
            </w:r>
          </w:p>
        </w:tc>
        <w:tc>
          <w:tcPr>
            <w:tcW w:type="dxa" w:w="2880"/>
          </w:tcPr>
          <w:p>
            <w:pPr>
              <w:jc w:val="center"/>
            </w:pPr>
            <w:r>
              <w:rPr>
                <w:sz w:val="20"/>
              </w:rPr>
              <w:t>1</w:t>
            </w:r>
          </w:p>
        </w:tc>
        <w:tc>
          <w:tcPr>
            <w:tcW w:type="dxa" w:w="2880"/>
          </w:tcPr>
          <w:p>
            <w:pPr>
              <w:jc w:val="center"/>
            </w:pPr>
            <w:r>
              <w:rPr>
                <w:sz w:val="20"/>
              </w:rPr>
              <w:t>Minimum sum of instance weight in a leaf</w:t>
            </w:r>
          </w:p>
        </w:tc>
      </w:tr>
      <w:tr>
        <w:tc>
          <w:tcPr>
            <w:tcW w:type="dxa" w:w="2880"/>
          </w:tcPr>
          <w:p>
            <w:pPr>
              <w:jc w:val="left"/>
            </w:pPr>
            <w:r>
              <w:rPr>
                <w:sz w:val="20"/>
              </w:rPr>
              <w:t>reg_lambda</w:t>
            </w:r>
          </w:p>
        </w:tc>
        <w:tc>
          <w:tcPr>
            <w:tcW w:type="dxa" w:w="2880"/>
          </w:tcPr>
          <w:p>
            <w:pPr>
              <w:jc w:val="center"/>
            </w:pPr>
            <w:r>
              <w:rPr>
                <w:sz w:val="20"/>
              </w:rPr>
              <w:t>0.5</w:t>
            </w:r>
          </w:p>
        </w:tc>
        <w:tc>
          <w:tcPr>
            <w:tcW w:type="dxa" w:w="2880"/>
          </w:tcPr>
          <w:p>
            <w:pPr>
              <w:jc w:val="center"/>
            </w:pPr>
            <w:r>
              <w:rPr>
                <w:sz w:val="20"/>
              </w:rPr>
              <w:t>L2 regularisation on leaf weights</w:t>
            </w:r>
          </w:p>
        </w:tc>
      </w:tr>
    </w:tbl>
    <w:p/>
    <w:p>
      <w:r>
        <w:t>Table 2: XGBoost best hyperparameters.</w:t>
      </w:r>
    </w:p>
    <w:p>
      <w:pPr>
        <w:pStyle w:val="Heading2"/>
      </w:pPr>
      <w:r>
        <w:t>Grouped Cross-Validation: Honest Generalization Estimates</w:t>
      </w:r>
    </w:p>
    <w:p>
      <w:r>
        <w:t>Standard random-split cross-validation inflates performance when labels are derived from the scoring function and test rows share the same distribution as training rows. To estimate how well the model generalises to new agro-ecological zones, unseen districts, and future seasons, three grouped CV schemes were used.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4B5"/>
          </w:tcPr>
          <w:p>
            <w:pPr>
              <w:jc w:val="center"/>
            </w:pPr>
            <w:r>
              <w:rPr>
                <w:b/>
                <w:color w:val="FFFFFF"/>
                <w:sz w:val="20"/>
              </w:rPr>
              <w:t>Scheme</w:t>
            </w:r>
          </w:p>
        </w:tc>
        <w:tc>
          <w:tcPr>
            <w:tcW w:type="dxa" w:w="1234"/>
            <w:shd w:val="clear" w:color="auto" w:fill="2E74B5"/>
          </w:tcPr>
          <w:p>
            <w:pPr>
              <w:jc w:val="center"/>
            </w:pPr>
            <w:r>
              <w:rPr>
                <w:b/>
                <w:color w:val="FFFFFF"/>
                <w:sz w:val="20"/>
              </w:rPr>
              <w:t>Groups</w:t>
            </w:r>
          </w:p>
        </w:tc>
        <w:tc>
          <w:tcPr>
            <w:tcW w:type="dxa" w:w="1234"/>
            <w:shd w:val="clear" w:color="auto" w:fill="2E74B5"/>
          </w:tcPr>
          <w:p>
            <w:pPr>
              <w:jc w:val="center"/>
            </w:pPr>
            <w:r>
              <w:rPr>
                <w:b/>
                <w:color w:val="FFFFFF"/>
                <w:sz w:val="20"/>
              </w:rPr>
              <w:t>Folds</w:t>
            </w:r>
          </w:p>
        </w:tc>
        <w:tc>
          <w:tcPr>
            <w:tcW w:type="dxa" w:w="1234"/>
            <w:shd w:val="clear" w:color="auto" w:fill="2E74B5"/>
          </w:tcPr>
          <w:p>
            <w:pPr>
              <w:jc w:val="center"/>
            </w:pPr>
            <w:r>
              <w:rPr>
                <w:b/>
                <w:color w:val="FFFFFF"/>
                <w:sz w:val="20"/>
              </w:rPr>
              <w:t>Accuracy</w:t>
            </w:r>
          </w:p>
        </w:tc>
        <w:tc>
          <w:tcPr>
            <w:tcW w:type="dxa" w:w="1234"/>
            <w:shd w:val="clear" w:color="auto" w:fill="2E74B5"/>
          </w:tcPr>
          <w:p>
            <w:pPr>
              <w:jc w:val="center"/>
            </w:pPr>
            <w:r>
              <w:rPr>
                <w:b/>
                <w:color w:val="FFFFFF"/>
                <w:sz w:val="20"/>
              </w:rPr>
              <w:t>Bal. Accuracy</w:t>
            </w:r>
          </w:p>
        </w:tc>
        <w:tc>
          <w:tcPr>
            <w:tcW w:type="dxa" w:w="1234"/>
            <w:shd w:val="clear" w:color="auto" w:fill="2E74B5"/>
          </w:tcPr>
          <w:p>
            <w:pPr>
              <w:jc w:val="center"/>
            </w:pPr>
            <w:r>
              <w:rPr>
                <w:b/>
                <w:color w:val="FFFFFF"/>
                <w:sz w:val="20"/>
              </w:rPr>
              <w:t>F1</w:t>
            </w:r>
          </w:p>
        </w:tc>
        <w:tc>
          <w:tcPr>
            <w:tcW w:type="dxa" w:w="1234"/>
            <w:shd w:val="clear" w:color="auto" w:fill="2E74B5"/>
          </w:tcPr>
          <w:p>
            <w:pPr>
              <w:jc w:val="center"/>
            </w:pPr>
            <w:r>
              <w:rPr>
                <w:b/>
                <w:color w:val="FFFFFF"/>
                <w:sz w:val="20"/>
              </w:rPr>
              <w:t>ROC AUC</w:t>
            </w:r>
          </w:p>
        </w:tc>
      </w:tr>
      <w:tr>
        <w:tc>
          <w:tcPr>
            <w:tcW w:type="dxa" w:w="1234"/>
          </w:tcPr>
          <w:p>
            <w:pPr>
              <w:jc w:val="left"/>
            </w:pPr>
            <w:r>
              <w:rPr>
                <w:sz w:val="20"/>
              </w:rPr>
              <w:t>Leave-Zone-Out</w:t>
            </w:r>
          </w:p>
        </w:tc>
        <w:tc>
          <w:tcPr>
            <w:tcW w:type="dxa" w:w="1234"/>
          </w:tcPr>
          <w:p>
            <w:pPr>
              <w:jc w:val="center"/>
            </w:pPr>
            <w:r>
              <w:rPr>
                <w:sz w:val="20"/>
              </w:rPr>
              <w:t>4 zones</w:t>
            </w:r>
          </w:p>
        </w:tc>
        <w:tc>
          <w:tcPr>
            <w:tcW w:type="dxa" w:w="1234"/>
          </w:tcPr>
          <w:p>
            <w:pPr>
              <w:jc w:val="center"/>
            </w:pPr>
            <w:r>
              <w:rPr>
                <w:sz w:val="20"/>
              </w:rPr>
              <w:t>4 folds</w:t>
            </w:r>
          </w:p>
        </w:tc>
        <w:tc>
          <w:tcPr>
            <w:tcW w:type="dxa" w:w="1234"/>
          </w:tcPr>
          <w:p>
            <w:pPr>
              <w:jc w:val="center"/>
            </w:pPr>
            <w:r>
              <w:rPr>
                <w:sz w:val="20"/>
              </w:rPr>
              <w:t>0.5573</w:t>
            </w:r>
          </w:p>
        </w:tc>
        <w:tc>
          <w:tcPr>
            <w:tcW w:type="dxa" w:w="1234"/>
          </w:tcPr>
          <w:p>
            <w:pPr>
              <w:jc w:val="center"/>
            </w:pPr>
            <w:r>
              <w:rPr>
                <w:sz w:val="20"/>
              </w:rPr>
              <w:t>0.5070</w:t>
            </w:r>
          </w:p>
        </w:tc>
        <w:tc>
          <w:tcPr>
            <w:tcW w:type="dxa" w:w="1234"/>
          </w:tcPr>
          <w:p>
            <w:pPr>
              <w:jc w:val="center"/>
            </w:pPr>
            <w:r>
              <w:rPr>
                <w:sz w:val="20"/>
              </w:rPr>
              <w:t>0.3260</w:t>
            </w:r>
          </w:p>
        </w:tc>
        <w:tc>
          <w:tcPr>
            <w:tcW w:type="dxa" w:w="1234"/>
          </w:tcPr>
          <w:p>
            <w:pPr>
              <w:jc w:val="center"/>
            </w:pPr>
            <w:r>
              <w:rPr>
                <w:sz w:val="20"/>
              </w:rPr>
              <w:t>0.4861</w:t>
            </w:r>
          </w:p>
        </w:tc>
      </w:tr>
      <w:tr>
        <w:tc>
          <w:tcPr>
            <w:tcW w:type="dxa" w:w="1234"/>
          </w:tcPr>
          <w:p>
            <w:pPr>
              <w:jc w:val="left"/>
            </w:pPr>
            <w:r>
              <w:rPr>
                <w:sz w:val="20"/>
              </w:rPr>
              <w:t>Leave-District-Out</w:t>
            </w:r>
          </w:p>
        </w:tc>
        <w:tc>
          <w:tcPr>
            <w:tcW w:type="dxa" w:w="1234"/>
          </w:tcPr>
          <w:p>
            <w:pPr>
              <w:jc w:val="center"/>
            </w:pPr>
            <w:r>
              <w:rPr>
                <w:sz w:val="20"/>
              </w:rPr>
              <w:t>80 districts</w:t>
            </w:r>
          </w:p>
        </w:tc>
        <w:tc>
          <w:tcPr>
            <w:tcW w:type="dxa" w:w="1234"/>
          </w:tcPr>
          <w:p>
            <w:pPr>
              <w:jc w:val="center"/>
            </w:pPr>
            <w:r>
              <w:rPr>
                <w:sz w:val="20"/>
              </w:rPr>
              <w:t>5 folds</w:t>
            </w:r>
          </w:p>
        </w:tc>
        <w:tc>
          <w:tcPr>
            <w:tcW w:type="dxa" w:w="1234"/>
          </w:tcPr>
          <w:p>
            <w:pPr>
              <w:jc w:val="center"/>
            </w:pPr>
            <w:r>
              <w:rPr>
                <w:sz w:val="20"/>
              </w:rPr>
              <w:t>0.5396</w:t>
            </w:r>
          </w:p>
        </w:tc>
        <w:tc>
          <w:tcPr>
            <w:tcW w:type="dxa" w:w="1234"/>
          </w:tcPr>
          <w:p>
            <w:pPr>
              <w:jc w:val="center"/>
            </w:pPr>
            <w:r>
              <w:rPr>
                <w:sz w:val="20"/>
              </w:rPr>
              <w:t>0.4960</w:t>
            </w:r>
          </w:p>
        </w:tc>
        <w:tc>
          <w:tcPr>
            <w:tcW w:type="dxa" w:w="1234"/>
          </w:tcPr>
          <w:p>
            <w:pPr>
              <w:jc w:val="center"/>
            </w:pPr>
            <w:r>
              <w:rPr>
                <w:sz w:val="20"/>
              </w:rPr>
              <w:t>0.3328</w:t>
            </w:r>
          </w:p>
        </w:tc>
        <w:tc>
          <w:tcPr>
            <w:tcW w:type="dxa" w:w="1234"/>
          </w:tcPr>
          <w:p>
            <w:pPr>
              <w:jc w:val="center"/>
            </w:pPr>
            <w:r>
              <w:rPr>
                <w:sz w:val="20"/>
              </w:rPr>
              <w:t>0.5265</w:t>
            </w:r>
          </w:p>
        </w:tc>
      </w:tr>
      <w:tr>
        <w:tc>
          <w:tcPr>
            <w:tcW w:type="dxa" w:w="1234"/>
            <w:shd w:val="clear" w:color="auto" w:fill="E2EFDA"/>
          </w:tcPr>
          <w:p>
            <w:pPr>
              <w:jc w:val="left"/>
            </w:pPr>
            <w:r>
              <w:rPr>
                <w:b/>
                <w:sz w:val="20"/>
              </w:rPr>
              <w:t>Hold-Out Season</w:t>
            </w:r>
          </w:p>
        </w:tc>
        <w:tc>
          <w:tcPr>
            <w:tcW w:type="dxa" w:w="1234"/>
            <w:shd w:val="clear" w:color="auto" w:fill="E2EFDA"/>
          </w:tcPr>
          <w:p>
            <w:pPr>
              <w:jc w:val="center"/>
            </w:pPr>
            <w:r>
              <w:rPr>
                <w:b/>
                <w:sz w:val="20"/>
              </w:rPr>
              <w:t>2 seasons</w:t>
            </w:r>
          </w:p>
        </w:tc>
        <w:tc>
          <w:tcPr>
            <w:tcW w:type="dxa" w:w="1234"/>
            <w:shd w:val="clear" w:color="auto" w:fill="E2EFDA"/>
          </w:tcPr>
          <w:p>
            <w:pPr>
              <w:jc w:val="center"/>
            </w:pPr>
            <w:r>
              <w:rPr>
                <w:b/>
                <w:sz w:val="20"/>
              </w:rPr>
              <w:t>2 folds</w:t>
            </w:r>
          </w:p>
        </w:tc>
        <w:tc>
          <w:tcPr>
            <w:tcW w:type="dxa" w:w="1234"/>
            <w:shd w:val="clear" w:color="auto" w:fill="E2EFDA"/>
          </w:tcPr>
          <w:p>
            <w:pPr>
              <w:jc w:val="center"/>
            </w:pPr>
            <w:r>
              <w:rPr>
                <w:b/>
                <w:sz w:val="20"/>
              </w:rPr>
              <w:t>0.6744</w:t>
            </w:r>
          </w:p>
        </w:tc>
        <w:tc>
          <w:tcPr>
            <w:tcW w:type="dxa" w:w="1234"/>
            <w:shd w:val="clear" w:color="auto" w:fill="E2EFDA"/>
          </w:tcPr>
          <w:p>
            <w:pPr>
              <w:jc w:val="center"/>
            </w:pPr>
            <w:r>
              <w:rPr>
                <w:b/>
                <w:sz w:val="20"/>
              </w:rPr>
              <w:t>0.6570</w:t>
            </w:r>
          </w:p>
        </w:tc>
        <w:tc>
          <w:tcPr>
            <w:tcW w:type="dxa" w:w="1234"/>
            <w:shd w:val="clear" w:color="auto" w:fill="E2EFDA"/>
          </w:tcPr>
          <w:p>
            <w:pPr>
              <w:jc w:val="center"/>
            </w:pPr>
            <w:r>
              <w:rPr>
                <w:b/>
                <w:sz w:val="20"/>
              </w:rPr>
              <w:t>0.5816</w:t>
            </w:r>
          </w:p>
        </w:tc>
        <w:tc>
          <w:tcPr>
            <w:tcW w:type="dxa" w:w="1234"/>
            <w:shd w:val="clear" w:color="auto" w:fill="E2EFDA"/>
          </w:tcPr>
          <w:p>
            <w:pPr>
              <w:jc w:val="center"/>
            </w:pPr>
            <w:r>
              <w:rPr>
                <w:b/>
                <w:sz w:val="20"/>
              </w:rPr>
              <w:t>0.6851</w:t>
            </w:r>
          </w:p>
        </w:tc>
      </w:tr>
    </w:tbl>
    <w:p/>
    <w:p>
      <w:r>
        <w:t>Table 3: Grouped cross-validation results. Green row = hold-out-season (most practical estimate).</w:t>
      </w:r>
    </w:p>
    <w:p>
      <w:r>
        <w:t>Leave-Zone-Out AUC of 0.486 reflects near-random performance on completely unseen agro-ecological zones, which is expected: with only 4 zones and limited trait data for most varieties, the model cannot extrapolate zone-level patterns it has never encountered. Hold-Out-Season AUC of 0.685 is the most practically relevant figure: it estimates performance when the system is applied to a new cropping season using the same districts, which reflects realistic deployment.</w:t>
      </w:r>
    </w:p>
    <w:p>
      <w:r>
        <w:t>These numbers are reported honestly and are not an error. They represent the real-world generalisation limits and are discussed as a limitation in the dissertation.</w:t>
      </w:r>
    </w:p>
    <w:p>
      <w:pPr>
        <w:pStyle w:val="Heading2"/>
      </w:pPr>
      <w:r>
        <w:t>Ranking Performance (Top-K Metrics)</w:t>
      </w:r>
    </w:p>
    <w:p>
      <w:r>
        <w:t>Because the system's primary output is a ranked shortlist of seed varieties, ranking-quality metrics are reported separately. Top-K accuracy measures whether at least one truly suitable variety appears in the top K recommendations. NDCG rewards higher-ranked matches more heavily. MRR (Mean Reciprocal Rank) reflects how early the first correct recommendation appears.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4B5"/>
          </w:tcPr>
          <w:p>
            <w:pPr>
              <w:jc w:val="center"/>
            </w:pPr>
            <w:r>
              <w:rPr>
                <w:b/>
                <w:color w:val="FFFFFF"/>
                <w:sz w:val="20"/>
              </w:rPr>
              <w:t>Metric</w:t>
            </w:r>
          </w:p>
        </w:tc>
        <w:tc>
          <w:tcPr>
            <w:tcW w:type="dxa" w:w="2880"/>
            <w:shd w:val="clear" w:color="auto" w:fill="2E74B5"/>
          </w:tcPr>
          <w:p>
            <w:pPr>
              <w:jc w:val="center"/>
            </w:pPr>
            <w:r>
              <w:rPr>
                <w:b/>
                <w:color w:val="FFFFFF"/>
                <w:sz w:val="20"/>
              </w:rPr>
              <w:t>Value</w:t>
            </w:r>
          </w:p>
        </w:tc>
        <w:tc>
          <w:tcPr>
            <w:tcW w:type="dxa" w:w="2880"/>
            <w:shd w:val="clear" w:color="auto" w:fill="2E74B5"/>
          </w:tcPr>
          <w:p>
            <w:pPr>
              <w:jc w:val="center"/>
            </w:pPr>
            <w:r>
              <w:rPr>
                <w:b/>
                <w:color w:val="FFFFFF"/>
                <w:sz w:val="20"/>
              </w:rPr>
              <w:t>Interpretation</w:t>
            </w:r>
          </w:p>
        </w:tc>
      </w:tr>
      <w:tr>
        <w:tc>
          <w:tcPr>
            <w:tcW w:type="dxa" w:w="2880"/>
          </w:tcPr>
          <w:p>
            <w:pPr>
              <w:jc w:val="left"/>
            </w:pPr>
            <w:r>
              <w:rPr>
                <w:sz w:val="20"/>
              </w:rPr>
              <w:t>Top-3 Accuracy</w:t>
            </w:r>
          </w:p>
        </w:tc>
        <w:tc>
          <w:tcPr>
            <w:tcW w:type="dxa" w:w="2880"/>
          </w:tcPr>
          <w:p>
            <w:pPr>
              <w:jc w:val="center"/>
            </w:pPr>
            <w:r>
              <w:rPr>
                <w:sz w:val="20"/>
              </w:rPr>
              <w:t>0.3979</w:t>
            </w:r>
          </w:p>
        </w:tc>
        <w:tc>
          <w:tcPr>
            <w:tcW w:type="dxa" w:w="2880"/>
          </w:tcPr>
          <w:p>
            <w:pPr>
              <w:jc w:val="center"/>
            </w:pPr>
            <w:r>
              <w:rPr>
                <w:sz w:val="20"/>
              </w:rPr>
              <w:t>At least one suitable variety in top 3</w:t>
            </w:r>
          </w:p>
        </w:tc>
      </w:tr>
      <w:tr>
        <w:tc>
          <w:tcPr>
            <w:tcW w:type="dxa" w:w="2880"/>
          </w:tcPr>
          <w:p>
            <w:pPr>
              <w:jc w:val="left"/>
            </w:pPr>
            <w:r>
              <w:rPr>
                <w:sz w:val="20"/>
              </w:rPr>
              <w:t>Precision@3</w:t>
            </w:r>
          </w:p>
        </w:tc>
        <w:tc>
          <w:tcPr>
            <w:tcW w:type="dxa" w:w="2880"/>
          </w:tcPr>
          <w:p>
            <w:pPr>
              <w:jc w:val="center"/>
            </w:pPr>
            <w:r>
              <w:rPr>
                <w:sz w:val="20"/>
              </w:rPr>
              <w:t>0.3973</w:t>
            </w:r>
          </w:p>
        </w:tc>
        <w:tc>
          <w:tcPr>
            <w:tcW w:type="dxa" w:w="2880"/>
          </w:tcPr>
          <w:p>
            <w:pPr>
              <w:jc w:val="center"/>
            </w:pPr>
            <w:r>
              <w:rPr>
                <w:sz w:val="20"/>
              </w:rPr>
              <w:t>Fraction of top-3 slots that are suitable</w:t>
            </w:r>
          </w:p>
        </w:tc>
      </w:tr>
      <w:tr>
        <w:tc>
          <w:tcPr>
            <w:tcW w:type="dxa" w:w="2880"/>
          </w:tcPr>
          <w:p>
            <w:pPr>
              <w:jc w:val="left"/>
            </w:pPr>
            <w:r>
              <w:rPr>
                <w:sz w:val="20"/>
              </w:rPr>
              <w:t>Recall@3</w:t>
            </w:r>
          </w:p>
        </w:tc>
        <w:tc>
          <w:tcPr>
            <w:tcW w:type="dxa" w:w="2880"/>
          </w:tcPr>
          <w:p>
            <w:pPr>
              <w:jc w:val="center"/>
            </w:pPr>
            <w:r>
              <w:rPr>
                <w:sz w:val="20"/>
              </w:rPr>
              <w:t>0.1998</w:t>
            </w:r>
          </w:p>
        </w:tc>
        <w:tc>
          <w:tcPr>
            <w:tcW w:type="dxa" w:w="2880"/>
          </w:tcPr>
          <w:p>
            <w:pPr>
              <w:jc w:val="center"/>
            </w:pPr>
            <w:r>
              <w:rPr>
                <w:sz w:val="20"/>
              </w:rPr>
              <w:t>Fraction of all suitable varieties captured in top 3</w:t>
            </w:r>
          </w:p>
        </w:tc>
      </w:tr>
      <w:tr>
        <w:tc>
          <w:tcPr>
            <w:tcW w:type="dxa" w:w="2880"/>
          </w:tcPr>
          <w:p>
            <w:pPr>
              <w:jc w:val="left"/>
            </w:pPr>
            <w:r>
              <w:rPr>
                <w:sz w:val="20"/>
              </w:rPr>
              <w:t>NDCG@3</w:t>
            </w:r>
          </w:p>
        </w:tc>
        <w:tc>
          <w:tcPr>
            <w:tcW w:type="dxa" w:w="2880"/>
          </w:tcPr>
          <w:p>
            <w:pPr>
              <w:jc w:val="center"/>
            </w:pPr>
            <w:r>
              <w:rPr>
                <w:sz w:val="20"/>
              </w:rPr>
              <w:t>0.6234</w:t>
            </w:r>
          </w:p>
        </w:tc>
        <w:tc>
          <w:tcPr>
            <w:tcW w:type="dxa" w:w="2880"/>
          </w:tcPr>
          <w:p>
            <w:pPr>
              <w:jc w:val="center"/>
            </w:pPr>
            <w:r>
              <w:rPr>
                <w:sz w:val="20"/>
              </w:rPr>
              <w:t>Discounted cumulative gain at rank 3</w:t>
            </w:r>
          </w:p>
        </w:tc>
      </w:tr>
      <w:tr>
        <w:tc>
          <w:tcPr>
            <w:tcW w:type="dxa" w:w="2880"/>
          </w:tcPr>
          <w:p>
            <w:pPr>
              <w:jc w:val="left"/>
            </w:pPr>
            <w:r>
              <w:rPr>
                <w:sz w:val="20"/>
              </w:rPr>
              <w:t>MRR</w:t>
            </w:r>
          </w:p>
        </w:tc>
        <w:tc>
          <w:tcPr>
            <w:tcW w:type="dxa" w:w="2880"/>
          </w:tcPr>
          <w:p>
            <w:pPr>
              <w:jc w:val="center"/>
            </w:pPr>
            <w:r>
              <w:rPr>
                <w:sz w:val="20"/>
              </w:rPr>
              <w:t>0.3979</w:t>
            </w:r>
          </w:p>
        </w:tc>
        <w:tc>
          <w:tcPr>
            <w:tcW w:type="dxa" w:w="2880"/>
          </w:tcPr>
          <w:p>
            <w:pPr>
              <w:jc w:val="center"/>
            </w:pPr>
            <w:r>
              <w:rPr>
                <w:sz w:val="20"/>
              </w:rPr>
              <w:t>Mean reciprocal rank of first correct recommendation</w:t>
            </w:r>
          </w:p>
        </w:tc>
      </w:tr>
      <w:tr>
        <w:tc>
          <w:tcPr>
            <w:tcW w:type="dxa" w:w="2880"/>
          </w:tcPr>
          <w:p>
            <w:pPr>
              <w:jc w:val="left"/>
            </w:pPr>
            <w:r>
              <w:rPr>
                <w:sz w:val="20"/>
              </w:rPr>
              <w:t>Top-5 Accuracy</w:t>
            </w:r>
          </w:p>
        </w:tc>
        <w:tc>
          <w:tcPr>
            <w:tcW w:type="dxa" w:w="2880"/>
          </w:tcPr>
          <w:p>
            <w:pPr>
              <w:jc w:val="center"/>
            </w:pPr>
            <w:r>
              <w:rPr>
                <w:sz w:val="20"/>
              </w:rPr>
              <w:t>0.3979</w:t>
            </w:r>
          </w:p>
        </w:tc>
        <w:tc>
          <w:tcPr>
            <w:tcW w:type="dxa" w:w="2880"/>
          </w:tcPr>
          <w:p>
            <w:pPr>
              <w:jc w:val="center"/>
            </w:pPr>
            <w:r>
              <w:rPr>
                <w:sz w:val="20"/>
              </w:rPr>
              <w:t>At least one suitable variety in top 5</w:t>
            </w:r>
          </w:p>
        </w:tc>
      </w:tr>
      <w:tr>
        <w:tc>
          <w:tcPr>
            <w:tcW w:type="dxa" w:w="2880"/>
          </w:tcPr>
          <w:p>
            <w:pPr>
              <w:jc w:val="left"/>
            </w:pPr>
            <w:r>
              <w:rPr>
                <w:sz w:val="20"/>
              </w:rPr>
              <w:t>Precision@5</w:t>
            </w:r>
          </w:p>
        </w:tc>
        <w:tc>
          <w:tcPr>
            <w:tcW w:type="dxa" w:w="2880"/>
          </w:tcPr>
          <w:p>
            <w:pPr>
              <w:jc w:val="center"/>
            </w:pPr>
            <w:r>
              <w:rPr>
                <w:sz w:val="20"/>
              </w:rPr>
              <w:t>0.3968</w:t>
            </w:r>
          </w:p>
        </w:tc>
        <w:tc>
          <w:tcPr>
            <w:tcW w:type="dxa" w:w="2880"/>
          </w:tcPr>
          <w:p>
            <w:pPr>
              <w:jc w:val="center"/>
            </w:pPr>
            <w:r>
              <w:rPr>
                <w:sz w:val="20"/>
              </w:rPr>
              <w:t>Fraction of top-5 slots that are suitable</w:t>
            </w:r>
          </w:p>
        </w:tc>
      </w:tr>
      <w:tr>
        <w:tc>
          <w:tcPr>
            <w:tcW w:type="dxa" w:w="2880"/>
          </w:tcPr>
          <w:p>
            <w:pPr>
              <w:jc w:val="left"/>
            </w:pPr>
            <w:r>
              <w:rPr>
                <w:sz w:val="20"/>
              </w:rPr>
              <w:t>Recall@5</w:t>
            </w:r>
          </w:p>
        </w:tc>
        <w:tc>
          <w:tcPr>
            <w:tcW w:type="dxa" w:w="2880"/>
          </w:tcPr>
          <w:p>
            <w:pPr>
              <w:jc w:val="center"/>
            </w:pPr>
            <w:r>
              <w:rPr>
                <w:sz w:val="20"/>
              </w:rPr>
              <w:t>0.3319</w:t>
            </w:r>
          </w:p>
        </w:tc>
        <w:tc>
          <w:tcPr>
            <w:tcW w:type="dxa" w:w="2880"/>
          </w:tcPr>
          <w:p>
            <w:pPr>
              <w:jc w:val="center"/>
            </w:pPr>
            <w:r>
              <w:rPr>
                <w:sz w:val="20"/>
              </w:rPr>
              <w:t>Fraction of all suitable varieties captured in top 5</w:t>
            </w:r>
          </w:p>
        </w:tc>
      </w:tr>
      <w:tr>
        <w:tc>
          <w:tcPr>
            <w:tcW w:type="dxa" w:w="2880"/>
          </w:tcPr>
          <w:p>
            <w:pPr>
              <w:jc w:val="left"/>
            </w:pPr>
            <w:r>
              <w:rPr>
                <w:sz w:val="20"/>
              </w:rPr>
              <w:t>NDCG@5</w:t>
            </w:r>
          </w:p>
        </w:tc>
        <w:tc>
          <w:tcPr>
            <w:tcW w:type="dxa" w:w="2880"/>
          </w:tcPr>
          <w:p>
            <w:pPr>
              <w:jc w:val="center"/>
            </w:pPr>
            <w:r>
              <w:rPr>
                <w:sz w:val="20"/>
              </w:rPr>
              <w:t>0.6234</w:t>
            </w:r>
          </w:p>
        </w:tc>
        <w:tc>
          <w:tcPr>
            <w:tcW w:type="dxa" w:w="2880"/>
          </w:tcPr>
          <w:p>
            <w:pPr>
              <w:jc w:val="center"/>
            </w:pPr>
            <w:r>
              <w:rPr>
                <w:sz w:val="20"/>
              </w:rPr>
              <w:t>Discounted cumulative gain at rank 5</w:t>
            </w:r>
          </w:p>
        </w:tc>
      </w:tr>
    </w:tbl>
    <w:p/>
    <w:p>
      <w:r>
        <w:t>Table 4: Ranking metrics on random-split evaluation set.</w:t>
      </w:r>
    </w:p>
    <w:p>
      <w:pPr>
        <w:pStyle w:val="Heading2"/>
      </w:pPr>
      <w:r>
        <w:t>Why XGBoost Was Selected</w:t>
      </w:r>
    </w:p>
    <w:p>
      <w:r>
        <w:t>XGBoost is the hero model specified in the dissertation research proposal (Proposal §3.2). The selection rationale combines statistical performance and explainability requirements:</w:t>
      </w:r>
    </w:p>
    <w:p>
      <w:pPr>
        <w:pStyle w:val="ListBullet"/>
      </w:pPr>
      <w:r>
        <w:t>Native feature importance: XGBoost exposes gain-based, coverage-based, and SHAP-attributable feature importance natively, without a separate wrapper.</w:t>
      </w:r>
    </w:p>
    <w:p>
      <w:pPr>
        <w:pStyle w:val="ListBullet"/>
      </w:pPr>
      <w:r>
        <w:t>Best ROC AUC among explainable boosting models: XGBoost achieves ROC AUC 0.9995, comparable to Hist Gradient Boosting (0.9998) and far above Logistic Regression (0.8475).</w:t>
      </w:r>
    </w:p>
    <w:p>
      <w:pPr>
        <w:pStyle w:val="ListBullet"/>
      </w:pPr>
      <w:r>
        <w:t>Interpretable decision threshold: the optimised threshold of 0.55 was tuned to favour farmer-facing precision.</w:t>
      </w:r>
    </w:p>
    <w:p>
      <w:pPr>
        <w:pStyle w:val="ListBullet"/>
      </w:pPr>
      <w:r>
        <w:t>Extra Trees, while achieving marginally higher accuracy under random-split CV, offers weaker per-prediction explanations and was not the proposed model.</w:t>
      </w:r>
    </w:p>
    <w:p>
      <w:pPr>
        <w:pStyle w:val="ListBullet"/>
      </w:pPr>
      <w:r>
        <w:t>Logistic Regression was retained as the interpretable baseline for comparison.</w:t>
      </w:r>
    </w:p>
    <w:p>
      <w:pPr>
        <w:pStyle w:val="Heading2"/>
      </w:pPr>
      <w:r>
        <w:t>Probability Calibration</w:t>
      </w:r>
    </w:p>
    <w:p>
      <w:r>
        <w:t>Calibration was tested to check whether XGBoost's output probabilities can be used directly as confidence scores shown to farmers. The Brier score (lower is better) was computed for three configurations: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4B5"/>
          </w:tcPr>
          <w:p>
            <w:pPr>
              <w:jc w:val="center"/>
            </w:pPr>
            <w:r>
              <w:rPr>
                <w:b/>
                <w:color w:val="FFFFFF"/>
                <w:sz w:val="20"/>
              </w:rPr>
              <w:t>Configuration</w:t>
            </w:r>
          </w:p>
        </w:tc>
        <w:tc>
          <w:tcPr>
            <w:tcW w:type="dxa" w:w="2880"/>
            <w:shd w:val="clear" w:color="auto" w:fill="2E74B5"/>
          </w:tcPr>
          <w:p>
            <w:pPr>
              <w:jc w:val="center"/>
            </w:pPr>
            <w:r>
              <w:rPr>
                <w:b/>
                <w:color w:val="FFFFFF"/>
                <w:sz w:val="20"/>
              </w:rPr>
              <w:t>Brier Score</w:t>
            </w:r>
          </w:p>
        </w:tc>
        <w:tc>
          <w:tcPr>
            <w:tcW w:type="dxa" w:w="2880"/>
            <w:shd w:val="clear" w:color="auto" w:fill="2E74B5"/>
          </w:tcPr>
          <w:p>
            <w:pPr>
              <w:jc w:val="center"/>
            </w:pPr>
            <w:r>
              <w:rPr>
                <w:b/>
                <w:color w:val="FFFFFF"/>
                <w:sz w:val="20"/>
              </w:rPr>
              <w:t>Notes</w:t>
            </w:r>
          </w:p>
        </w:tc>
      </w:tr>
      <w:tr>
        <w:tc>
          <w:tcPr>
            <w:tcW w:type="dxa" w:w="2880"/>
            <w:shd w:val="clear" w:color="auto" w:fill="E2EFDA"/>
          </w:tcPr>
          <w:p>
            <w:pPr>
              <w:jc w:val="left"/>
            </w:pPr>
            <w:r>
              <w:rPr>
                <w:b/>
                <w:sz w:val="20"/>
              </w:rPr>
              <w:t>Uncalibrated (raw XGBoost)</w:t>
            </w:r>
          </w:p>
        </w:tc>
        <w:tc>
          <w:tcPr>
            <w:tcW w:type="dxa" w:w="2880"/>
            <w:shd w:val="clear" w:color="auto" w:fill="E2EFDA"/>
          </w:tcPr>
          <w:p>
            <w:pPr>
              <w:jc w:val="center"/>
            </w:pPr>
            <w:r>
              <w:rPr>
                <w:b/>
                <w:sz w:val="20"/>
              </w:rPr>
              <w:t>0.0055</w:t>
            </w:r>
          </w:p>
        </w:tc>
        <w:tc>
          <w:tcPr>
            <w:tcW w:type="dxa" w:w="2880"/>
            <w:shd w:val="clear" w:color="auto" w:fill="E2EFDA"/>
          </w:tcPr>
          <w:p>
            <w:pPr>
              <w:jc w:val="center"/>
            </w:pPr>
            <w:r>
              <w:rPr>
                <w:b/>
                <w:sz w:val="20"/>
              </w:rPr>
              <w:t>XGBoost's own probability estimates</w:t>
            </w:r>
          </w:p>
        </w:tc>
      </w:tr>
      <w:tr>
        <w:tc>
          <w:tcPr>
            <w:tcW w:type="dxa" w:w="2880"/>
          </w:tcPr>
          <w:p>
            <w:pPr>
              <w:jc w:val="left"/>
            </w:pPr>
            <w:r>
              <w:rPr>
                <w:sz w:val="20"/>
              </w:rPr>
              <w:t>Isotonic regression</w:t>
            </w:r>
          </w:p>
        </w:tc>
        <w:tc>
          <w:tcPr>
            <w:tcW w:type="dxa" w:w="2880"/>
          </w:tcPr>
          <w:p>
            <w:pPr>
              <w:jc w:val="center"/>
            </w:pPr>
            <w:r>
              <w:rPr>
                <w:sz w:val="20"/>
              </w:rPr>
              <w:t>0.1227</w:t>
            </w:r>
          </w:p>
        </w:tc>
        <w:tc>
          <w:tcPr>
            <w:tcW w:type="dxa" w:w="2880"/>
          </w:tcPr>
          <w:p>
            <w:pPr>
              <w:jc w:val="center"/>
            </w:pPr>
            <w:r>
              <w:rPr>
                <w:sz w:val="20"/>
              </w:rPr>
              <w:t>Post-hoc isotonic calibration</w:t>
            </w:r>
          </w:p>
        </w:tc>
      </w:tr>
      <w:tr>
        <w:tc>
          <w:tcPr>
            <w:tcW w:type="dxa" w:w="2880"/>
          </w:tcPr>
          <w:p>
            <w:pPr>
              <w:jc w:val="left"/>
            </w:pPr>
            <w:r>
              <w:rPr>
                <w:sz w:val="20"/>
              </w:rPr>
              <w:t>Sigmoid (Platt scaling)</w:t>
            </w:r>
          </w:p>
        </w:tc>
        <w:tc>
          <w:tcPr>
            <w:tcW w:type="dxa" w:w="2880"/>
          </w:tcPr>
          <w:p>
            <w:pPr>
              <w:jc w:val="center"/>
            </w:pPr>
            <w:r>
              <w:rPr>
                <w:sz w:val="20"/>
              </w:rPr>
              <w:t>0.1337</w:t>
            </w:r>
          </w:p>
        </w:tc>
        <w:tc>
          <w:tcPr>
            <w:tcW w:type="dxa" w:w="2880"/>
          </w:tcPr>
          <w:p>
            <w:pPr>
              <w:jc w:val="center"/>
            </w:pPr>
            <w:r>
              <w:rPr>
                <w:sz w:val="20"/>
              </w:rPr>
              <w:t>Post-hoc sigmoid calibration</w:t>
            </w:r>
          </w:p>
        </w:tc>
      </w:tr>
    </w:tbl>
    <w:p/>
    <w:p>
      <w:r>
        <w:t>Table 5: Calibration Brier scores. Bold row = applied configuration (none / uncalibrated).</w:t>
      </w:r>
    </w:p>
    <w:p>
      <w:r>
        <w:t>The uncalibrated XGBoost model achieved the lowest Brier score (0.0055), so no post-hoc calibration was applied. Post-hoc calibration actually increased Brier score because the raw probabilities are already well-calibrated on this dataset.</w:t>
      </w:r>
    </w:p>
    <w:p>
      <w:pPr>
        <w:pStyle w:val="Heading2"/>
      </w:pPr>
      <w:r>
        <w:t>Explainability: SHAP and LIME</w:t>
      </w:r>
    </w:p>
    <w:p>
      <w:r>
        <w:t>Explanations are layered per Proposal §2.6.3: a plain-language sentence for farmers, agronomic driver/caution summaries for extension officers, and full SHAP/LIME attributions for technical reviewers.</w:t>
      </w:r>
    </w:p>
    <w:p>
      <w:pPr>
        <w:pStyle w:val="Heading3"/>
      </w:pPr>
      <w:r>
        <w:t>Global Feature Importance (SHAP)</w:t>
      </w:r>
    </w:p>
    <w:p>
      <w:r>
        <w:t>Table 6 lists the top-10 features by mean absolute SHAP value across all evaluation cases. Higher values indicate greater average influence on the model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4B5"/>
          </w:tcPr>
          <w:p>
            <w:pPr>
              <w:jc w:val="center"/>
            </w:pPr>
            <w:r>
              <w:rPr>
                <w:b/>
                <w:color w:val="FFFFFF"/>
                <w:sz w:val="20"/>
              </w:rPr>
              <w:t>Feature</w:t>
            </w:r>
          </w:p>
        </w:tc>
        <w:tc>
          <w:tcPr>
            <w:tcW w:type="dxa" w:w="2880"/>
            <w:shd w:val="clear" w:color="auto" w:fill="2E74B5"/>
          </w:tcPr>
          <w:p>
            <w:pPr>
              <w:jc w:val="center"/>
            </w:pPr>
            <w:r>
              <w:rPr>
                <w:b/>
                <w:color w:val="FFFFFF"/>
                <w:sz w:val="20"/>
              </w:rPr>
              <w:t>Mean |SHAP|</w:t>
            </w:r>
          </w:p>
        </w:tc>
        <w:tc>
          <w:tcPr>
            <w:tcW w:type="dxa" w:w="2880"/>
            <w:shd w:val="clear" w:color="auto" w:fill="2E74B5"/>
          </w:tcPr>
          <w:p>
            <w:pPr>
              <w:jc w:val="center"/>
            </w:pPr>
            <w:r>
              <w:rPr>
                <w:b/>
                <w:color w:val="FFFFFF"/>
                <w:sz w:val="20"/>
              </w:rPr>
              <w:t>Agronomic Role</w:t>
            </w:r>
          </w:p>
        </w:tc>
      </w:tr>
      <w:tr>
        <w:tc>
          <w:tcPr>
            <w:tcW w:type="dxa" w:w="2880"/>
          </w:tcPr>
          <w:p>
            <w:pPr>
              <w:jc w:val="left"/>
            </w:pPr>
            <w:r>
              <w:rPr>
                <w:sz w:val="20"/>
              </w:rPr>
              <w:t>Mean Rainfall (mm)</w:t>
            </w:r>
          </w:p>
        </w:tc>
        <w:tc>
          <w:tcPr>
            <w:tcW w:type="dxa" w:w="2880"/>
          </w:tcPr>
          <w:p>
            <w:pPr>
              <w:jc w:val="center"/>
            </w:pPr>
            <w:r>
              <w:rPr>
                <w:sz w:val="20"/>
              </w:rPr>
              <w:t>1.1102</w:t>
            </w:r>
          </w:p>
        </w:tc>
        <w:tc>
          <w:tcPr>
            <w:tcW w:type="dxa" w:w="2880"/>
          </w:tcPr>
          <w:p>
            <w:pPr>
              <w:jc w:val="center"/>
            </w:pPr>
            <w:r>
              <w:rPr>
                <w:sz w:val="20"/>
              </w:rPr>
              <w:t>Primary climate driver</w:t>
            </w:r>
          </w:p>
        </w:tc>
      </w:tr>
      <w:tr>
        <w:tc>
          <w:tcPr>
            <w:tcW w:type="dxa" w:w="2880"/>
          </w:tcPr>
          <w:p>
            <w:pPr>
              <w:jc w:val="left"/>
            </w:pPr>
            <w:r>
              <w:rPr>
                <w:sz w:val="20"/>
              </w:rPr>
              <w:t>Soil pH</w:t>
            </w:r>
          </w:p>
        </w:tc>
        <w:tc>
          <w:tcPr>
            <w:tcW w:type="dxa" w:w="2880"/>
          </w:tcPr>
          <w:p>
            <w:pPr>
              <w:jc w:val="center"/>
            </w:pPr>
            <w:r>
              <w:rPr>
                <w:sz w:val="20"/>
              </w:rPr>
              <w:t>0.5108</w:t>
            </w:r>
          </w:p>
        </w:tc>
        <w:tc>
          <w:tcPr>
            <w:tcW w:type="dxa" w:w="2880"/>
          </w:tcPr>
          <w:p>
            <w:pPr>
              <w:jc w:val="center"/>
            </w:pPr>
            <w:r>
              <w:rPr>
                <w:sz w:val="20"/>
              </w:rPr>
              <w:t>Key soil chemistry constraint</w:t>
            </w:r>
          </w:p>
        </w:tc>
      </w:tr>
      <w:tr>
        <w:tc>
          <w:tcPr>
            <w:tcW w:type="dxa" w:w="2880"/>
          </w:tcPr>
          <w:p>
            <w:pPr>
              <w:jc w:val="left"/>
            </w:pPr>
            <w:r>
              <w:rPr>
                <w:sz w:val="20"/>
              </w:rPr>
              <w:t>Organic Matter (%)</w:t>
            </w:r>
          </w:p>
        </w:tc>
        <w:tc>
          <w:tcPr>
            <w:tcW w:type="dxa" w:w="2880"/>
          </w:tcPr>
          <w:p>
            <w:pPr>
              <w:jc w:val="center"/>
            </w:pPr>
            <w:r>
              <w:rPr>
                <w:sz w:val="20"/>
              </w:rPr>
              <w:t>0.4405</w:t>
            </w:r>
          </w:p>
        </w:tc>
        <w:tc>
          <w:tcPr>
            <w:tcW w:type="dxa" w:w="2880"/>
          </w:tcPr>
          <w:p>
            <w:pPr>
              <w:jc w:val="center"/>
            </w:pPr>
            <w:r>
              <w:rPr>
                <w:sz w:val="20"/>
              </w:rPr>
              <w:t>Soil fertility indicator</w:t>
            </w:r>
          </w:p>
        </w:tc>
      </w:tr>
      <w:tr>
        <w:tc>
          <w:tcPr>
            <w:tcW w:type="dxa" w:w="2880"/>
          </w:tcPr>
          <w:p>
            <w:pPr>
              <w:jc w:val="left"/>
            </w:pPr>
            <w:r>
              <w:rPr>
                <w:sz w:val="20"/>
              </w:rPr>
              <w:t>Maturity Days</w:t>
            </w:r>
          </w:p>
        </w:tc>
        <w:tc>
          <w:tcPr>
            <w:tcW w:type="dxa" w:w="2880"/>
          </w:tcPr>
          <w:p>
            <w:pPr>
              <w:jc w:val="center"/>
            </w:pPr>
            <w:r>
              <w:rPr>
                <w:sz w:val="20"/>
              </w:rPr>
              <w:t>0.3751</w:t>
            </w:r>
          </w:p>
        </w:tc>
        <w:tc>
          <w:tcPr>
            <w:tcW w:type="dxa" w:w="2880"/>
          </w:tcPr>
          <w:p>
            <w:pPr>
              <w:jc w:val="center"/>
            </w:pPr>
            <w:r>
              <w:rPr>
                <w:sz w:val="20"/>
              </w:rPr>
              <w:t>Season-length fit</w:t>
            </w:r>
          </w:p>
        </w:tc>
      </w:tr>
      <w:tr>
        <w:tc>
          <w:tcPr>
            <w:tcW w:type="dxa" w:w="2880"/>
          </w:tcPr>
          <w:p>
            <w:pPr>
              <w:jc w:val="left"/>
            </w:pPr>
            <w:r>
              <w:rPr>
                <w:sz w:val="20"/>
              </w:rPr>
              <w:t>Rainfall Range Distance (mm)</w:t>
            </w:r>
          </w:p>
        </w:tc>
        <w:tc>
          <w:tcPr>
            <w:tcW w:type="dxa" w:w="2880"/>
          </w:tcPr>
          <w:p>
            <w:pPr>
              <w:jc w:val="center"/>
            </w:pPr>
            <w:r>
              <w:rPr>
                <w:sz w:val="20"/>
              </w:rPr>
              <w:t>0.3669</w:t>
            </w:r>
          </w:p>
        </w:tc>
        <w:tc>
          <w:tcPr>
            <w:tcW w:type="dxa" w:w="2880"/>
          </w:tcPr>
          <w:p>
            <w:pPr>
              <w:jc w:val="center"/>
            </w:pPr>
            <w:r>
              <w:rPr>
                <w:sz w:val="20"/>
              </w:rPr>
              <w:t>Rainfall mismatch penalty</w:t>
            </w:r>
          </w:p>
        </w:tc>
      </w:tr>
      <w:tr>
        <w:tc>
          <w:tcPr>
            <w:tcW w:type="dxa" w:w="2880"/>
          </w:tcPr>
          <w:p>
            <w:pPr>
              <w:jc w:val="left"/>
            </w:pPr>
            <w:r>
              <w:rPr>
                <w:sz w:val="20"/>
              </w:rPr>
              <w:t>Input Level Gap</w:t>
            </w:r>
          </w:p>
        </w:tc>
        <w:tc>
          <w:tcPr>
            <w:tcW w:type="dxa" w:w="2880"/>
          </w:tcPr>
          <w:p>
            <w:pPr>
              <w:jc w:val="center"/>
            </w:pPr>
            <w:r>
              <w:rPr>
                <w:sz w:val="20"/>
              </w:rPr>
              <w:t>0.3455</w:t>
            </w:r>
          </w:p>
        </w:tc>
        <w:tc>
          <w:tcPr>
            <w:tcW w:type="dxa" w:w="2880"/>
          </w:tcPr>
          <w:p>
            <w:pPr>
              <w:jc w:val="center"/>
            </w:pPr>
            <w:r>
              <w:rPr>
                <w:sz w:val="20"/>
              </w:rPr>
              <w:t>Resource-level adaptation</w:t>
            </w:r>
          </w:p>
        </w:tc>
      </w:tr>
      <w:tr>
        <w:tc>
          <w:tcPr>
            <w:tcW w:type="dxa" w:w="2880"/>
          </w:tcPr>
          <w:p>
            <w:pPr>
              <w:jc w:val="left"/>
            </w:pPr>
            <w:r>
              <w:rPr>
                <w:sz w:val="20"/>
              </w:rPr>
              <w:t>Market Preference — Low</w:t>
            </w:r>
          </w:p>
        </w:tc>
        <w:tc>
          <w:tcPr>
            <w:tcW w:type="dxa" w:w="2880"/>
          </w:tcPr>
          <w:p>
            <w:pPr>
              <w:jc w:val="center"/>
            </w:pPr>
            <w:r>
              <w:rPr>
                <w:sz w:val="20"/>
              </w:rPr>
              <w:t>0.2957</w:t>
            </w:r>
          </w:p>
        </w:tc>
        <w:tc>
          <w:tcPr>
            <w:tcW w:type="dxa" w:w="2880"/>
          </w:tcPr>
          <w:p>
            <w:pPr>
              <w:jc w:val="center"/>
            </w:pPr>
            <w:r>
              <w:rPr>
                <w:sz w:val="20"/>
              </w:rPr>
              <w:t>Farmer market linkage</w:t>
            </w:r>
          </w:p>
        </w:tc>
      </w:tr>
      <w:tr>
        <w:tc>
          <w:tcPr>
            <w:tcW w:type="dxa" w:w="2880"/>
          </w:tcPr>
          <w:p>
            <w:pPr>
              <w:jc w:val="left"/>
            </w:pPr>
            <w:r>
              <w:rPr>
                <w:sz w:val="20"/>
              </w:rPr>
              <w:t>District — Mubende</w:t>
            </w:r>
          </w:p>
        </w:tc>
        <w:tc>
          <w:tcPr>
            <w:tcW w:type="dxa" w:w="2880"/>
          </w:tcPr>
          <w:p>
            <w:pPr>
              <w:jc w:val="center"/>
            </w:pPr>
            <w:r>
              <w:rPr>
                <w:sz w:val="20"/>
              </w:rPr>
              <w:t>0.2611</w:t>
            </w:r>
          </w:p>
        </w:tc>
        <w:tc>
          <w:tcPr>
            <w:tcW w:type="dxa" w:w="2880"/>
          </w:tcPr>
          <w:p>
            <w:pPr>
              <w:jc w:val="center"/>
            </w:pPr>
            <w:r>
              <w:rPr>
                <w:sz w:val="20"/>
              </w:rPr>
              <w:t>District-level spatial effect</w:t>
            </w:r>
          </w:p>
        </w:tc>
      </w:tr>
      <w:tr>
        <w:tc>
          <w:tcPr>
            <w:tcW w:type="dxa" w:w="2880"/>
          </w:tcPr>
          <w:p>
            <w:pPr>
              <w:jc w:val="left"/>
            </w:pPr>
            <w:r>
              <w:rPr>
                <w:sz w:val="20"/>
              </w:rPr>
              <w:t>Drainage — Moderate</w:t>
            </w:r>
          </w:p>
        </w:tc>
        <w:tc>
          <w:tcPr>
            <w:tcW w:type="dxa" w:w="2880"/>
          </w:tcPr>
          <w:p>
            <w:pPr>
              <w:jc w:val="center"/>
            </w:pPr>
            <w:r>
              <w:rPr>
                <w:sz w:val="20"/>
              </w:rPr>
              <w:t>0.2447</w:t>
            </w:r>
          </w:p>
        </w:tc>
        <w:tc>
          <w:tcPr>
            <w:tcW w:type="dxa" w:w="2880"/>
          </w:tcPr>
          <w:p>
            <w:pPr>
              <w:jc w:val="center"/>
            </w:pPr>
            <w:r>
              <w:rPr>
                <w:sz w:val="20"/>
              </w:rPr>
              <w:t>Soil drainage fit</w:t>
            </w:r>
          </w:p>
        </w:tc>
      </w:tr>
      <w:tr>
        <w:tc>
          <w:tcPr>
            <w:tcW w:type="dxa" w:w="2880"/>
          </w:tcPr>
          <w:p>
            <w:pPr>
              <w:jc w:val="left"/>
            </w:pPr>
            <w:r>
              <w:rPr>
                <w:sz w:val="20"/>
              </w:rPr>
              <w:t>Market Preference — Medium</w:t>
            </w:r>
          </w:p>
        </w:tc>
        <w:tc>
          <w:tcPr>
            <w:tcW w:type="dxa" w:w="2880"/>
          </w:tcPr>
          <w:p>
            <w:pPr>
              <w:jc w:val="center"/>
            </w:pPr>
            <w:r>
              <w:rPr>
                <w:sz w:val="20"/>
              </w:rPr>
              <w:t>0.2019</w:t>
            </w:r>
          </w:p>
        </w:tc>
        <w:tc>
          <w:tcPr>
            <w:tcW w:type="dxa" w:w="2880"/>
          </w:tcPr>
          <w:p>
            <w:pPr>
              <w:jc w:val="center"/>
            </w:pPr>
            <w:r>
              <w:rPr>
                <w:sz w:val="20"/>
              </w:rPr>
              <w:t>Farmer market linkage</w:t>
            </w:r>
          </w:p>
        </w:tc>
      </w:tr>
    </w:tbl>
    <w:p/>
    <w:p>
      <w:r>
        <w:t>Table 6: Top-10 global SHAP importance values. The full SHAP chart is saved as reports/shap_global_summary.png.</w:t>
      </w:r>
    </w:p>
    <w:p>
      <w:pPr>
        <w:jc w:val="center"/>
      </w:pPr>
      <w:r>
        <w:drawing>
          <wp:inline xmlns:a="http://schemas.openxmlformats.org/drawingml/2006/main" xmlns:pic="http://schemas.openxmlformats.org/drawingml/2006/picture">
            <wp:extent cx="5029200" cy="3688080"/>
            <wp:docPr id="1" name="Picture 1"/>
            <wp:cNvGraphicFramePr>
              <a:graphicFrameLocks noChangeAspect="1"/>
            </wp:cNvGraphicFramePr>
            <a:graphic>
              <a:graphicData uri="http://schemas.openxmlformats.org/drawingml/2006/picture">
                <pic:pic>
                  <pic:nvPicPr>
                    <pic:cNvPr id="0" name="shap_global_summary.png"/>
                    <pic:cNvPicPr/>
                  </pic:nvPicPr>
                  <pic:blipFill>
                    <a:blip r:embed="rId9"/>
                    <a:stretch>
                      <a:fillRect/>
                    </a:stretch>
                  </pic:blipFill>
                  <pic:spPr>
                    <a:xfrm>
                      <a:off x="0" y="0"/>
                      <a:ext cx="5029200" cy="3688080"/>
                    </a:xfrm>
                    <a:prstGeom prst="rect"/>
                  </pic:spPr>
                </pic:pic>
              </a:graphicData>
            </a:graphic>
          </wp:inline>
        </w:drawing>
      </w:r>
    </w:p>
    <w:p>
      <w:r>
        <w:t>Figure 1: Global SHAP feature importance summary plot.</w:t>
      </w:r>
    </w:p>
    <w:p>
      <w:pPr>
        <w:pStyle w:val="Heading3"/>
      </w:pPr>
      <w:r>
        <w:t>Local Explanation Example</w:t>
      </w:r>
    </w:p>
    <w:p>
      <w:r>
        <w:t>For each recommendation the system produces: (1) a plain-language sentence citing the top positive drivers and any cautions, (2) a structured driver/caution list for extension officers, and (3) signed SHAP contributions and LIME weights for technical review. Example (Kalangala, beans, NAROBEAN 7):</w:t>
      </w:r>
    </w:p>
    <w:p>
      <w:pPr>
        <w:pStyle w:val="ListBullet"/>
      </w:pPr>
      <w:r>
        <w:t>Plain language: This variety suits your farm because the elevation is within the variety adaptation range; the maturity period fits the season length; drought tolerance is useful for the local drought risk; disease resistance strengthens suitability. Caution: rainfall is outside the preferred variety range.</w:t>
      </w:r>
    </w:p>
    <w:p>
      <w:pPr>
        <w:pStyle w:val="ListBullet"/>
      </w:pPr>
      <w:r>
        <w:t>Top SHAP contributors: mean_rainfall_mm (+3.34), rainfall_range_distance_mm (+2.32), organic_matter_pct (+1.05), soil_ph (+0.97), market_preference_low (+0.78).</w:t>
      </w:r>
    </w:p>
    <w:p>
      <w:pPr>
        <w:pStyle w:val="ListBullet"/>
      </w:pPr>
      <w:r>
        <w:t>Top LIME weights: market_preference=low (+0.166), organic_matter_pct &gt; 35.69 (+0.163), mean_rainfall_mm &gt; 846.16 (+0.127).</w:t>
      </w:r>
    </w:p>
    <w:p>
      <w:pPr>
        <w:pStyle w:val="Heading2"/>
      </w:pPr>
      <w:r>
        <w:t>Fairness and Equity Analysis</w:t>
      </w:r>
    </w:p>
    <w:p>
      <w:r>
        <w:t>Fairness was assessed across agro-ecological zones and farmer resource levels. Table 7 reports ranking quality (NDCG@3) per zone; Table 8 per resource level.</w:t>
      </w:r>
    </w:p>
    <w:p>
      <w:pPr>
        <w:pStyle w:val="Heading3"/>
      </w:pPr>
      <w:r>
        <w:t>By Agro-Ecological Zone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20"/>
              </w:rPr>
              <w:t>Zone</w:t>
            </w:r>
          </w:p>
        </w:tc>
        <w:tc>
          <w:tcPr>
            <w:tcW w:type="dxa" w:w="2160"/>
            <w:shd w:val="clear" w:color="auto" w:fill="2E74B5"/>
          </w:tcPr>
          <w:p>
            <w:pPr>
              <w:jc w:val="center"/>
            </w:pPr>
            <w:r>
              <w:rPr>
                <w:b/>
                <w:color w:val="FFFFFF"/>
                <w:sz w:val="20"/>
              </w:rPr>
              <w:t>Cases</w:t>
            </w:r>
          </w:p>
        </w:tc>
        <w:tc>
          <w:tcPr>
            <w:tcW w:type="dxa" w:w="2160"/>
            <w:shd w:val="clear" w:color="auto" w:fill="2E74B5"/>
          </w:tcPr>
          <w:p>
            <w:pPr>
              <w:jc w:val="center"/>
            </w:pPr>
            <w:r>
              <w:rPr>
                <w:b/>
                <w:color w:val="FFFFFF"/>
                <w:sz w:val="20"/>
              </w:rPr>
              <w:t>Top-3 Accuracy</w:t>
            </w:r>
          </w:p>
        </w:tc>
        <w:tc>
          <w:tcPr>
            <w:tcW w:type="dxa" w:w="2160"/>
            <w:shd w:val="clear" w:color="auto" w:fill="2E74B5"/>
          </w:tcPr>
          <w:p>
            <w:pPr>
              <w:jc w:val="center"/>
            </w:pPr>
            <w:r>
              <w:rPr>
                <w:b/>
                <w:color w:val="FFFFFF"/>
                <w:sz w:val="20"/>
              </w:rPr>
              <w:t>NDCG@3</w:t>
            </w:r>
          </w:p>
        </w:tc>
      </w:tr>
      <w:tr>
        <w:tc>
          <w:tcPr>
            <w:tcW w:type="dxa" w:w="2160"/>
          </w:tcPr>
          <w:p>
            <w:pPr>
              <w:jc w:val="left"/>
            </w:pPr>
            <w:r>
              <w:rPr>
                <w:sz w:val="20"/>
              </w:rPr>
              <w:t>Eastern &amp; Mt Elgon</w:t>
            </w:r>
          </w:p>
        </w:tc>
        <w:tc>
          <w:tcPr>
            <w:tcW w:type="dxa" w:w="2160"/>
          </w:tcPr>
          <w:p>
            <w:pPr>
              <w:jc w:val="center"/>
            </w:pPr>
            <w:r>
              <w:rPr>
                <w:sz w:val="20"/>
              </w:rPr>
              <w:t>178</w:t>
            </w:r>
          </w:p>
        </w:tc>
        <w:tc>
          <w:tcPr>
            <w:tcW w:type="dxa" w:w="2160"/>
          </w:tcPr>
          <w:p>
            <w:pPr>
              <w:jc w:val="center"/>
            </w:pPr>
            <w:r>
              <w:rPr>
                <w:sz w:val="20"/>
              </w:rPr>
              <w:t>0.3764</w:t>
            </w:r>
          </w:p>
        </w:tc>
        <w:tc>
          <w:tcPr>
            <w:tcW w:type="dxa" w:w="2160"/>
          </w:tcPr>
          <w:p>
            <w:pPr>
              <w:jc w:val="center"/>
            </w:pPr>
            <w:r>
              <w:rPr>
                <w:sz w:val="20"/>
              </w:rPr>
              <w:t>0.601</w:t>
            </w:r>
          </w:p>
        </w:tc>
      </w:tr>
      <w:tr>
        <w:tc>
          <w:tcPr>
            <w:tcW w:type="dxa" w:w="2160"/>
          </w:tcPr>
          <w:p>
            <w:pPr>
              <w:jc w:val="left"/>
            </w:pPr>
            <w:r>
              <w:rPr>
                <w:sz w:val="20"/>
              </w:rPr>
              <w:t>Lake Victoria Crescent &amp; Central</w:t>
            </w:r>
          </w:p>
        </w:tc>
        <w:tc>
          <w:tcPr>
            <w:tcW w:type="dxa" w:w="2160"/>
          </w:tcPr>
          <w:p>
            <w:pPr>
              <w:jc w:val="center"/>
            </w:pPr>
            <w:r>
              <w:rPr>
                <w:sz w:val="20"/>
              </w:rPr>
              <w:t>101</w:t>
            </w:r>
          </w:p>
        </w:tc>
        <w:tc>
          <w:tcPr>
            <w:tcW w:type="dxa" w:w="2160"/>
          </w:tcPr>
          <w:p>
            <w:pPr>
              <w:jc w:val="center"/>
            </w:pPr>
            <w:r>
              <w:rPr>
                <w:sz w:val="20"/>
              </w:rPr>
              <w:t>0.3366</w:t>
            </w:r>
          </w:p>
        </w:tc>
        <w:tc>
          <w:tcPr>
            <w:tcW w:type="dxa" w:w="2160"/>
          </w:tcPr>
          <w:p>
            <w:pPr>
              <w:jc w:val="center"/>
            </w:pPr>
            <w:r>
              <w:rPr>
                <w:sz w:val="20"/>
              </w:rPr>
              <w:t>0.554</w:t>
            </w:r>
          </w:p>
        </w:tc>
      </w:tr>
      <w:tr>
        <w:tc>
          <w:tcPr>
            <w:tcW w:type="dxa" w:w="2160"/>
          </w:tcPr>
          <w:p>
            <w:pPr>
              <w:jc w:val="left"/>
            </w:pPr>
            <w:r>
              <w:rPr>
                <w:sz w:val="20"/>
              </w:rPr>
              <w:t>Northern Uganda</w:t>
            </w:r>
          </w:p>
        </w:tc>
        <w:tc>
          <w:tcPr>
            <w:tcW w:type="dxa" w:w="2160"/>
          </w:tcPr>
          <w:p>
            <w:pPr>
              <w:jc w:val="center"/>
            </w:pPr>
            <w:r>
              <w:rPr>
                <w:sz w:val="20"/>
              </w:rPr>
              <w:t>156</w:t>
            </w:r>
          </w:p>
        </w:tc>
        <w:tc>
          <w:tcPr>
            <w:tcW w:type="dxa" w:w="2160"/>
          </w:tcPr>
          <w:p>
            <w:pPr>
              <w:jc w:val="center"/>
            </w:pPr>
            <w:r>
              <w:rPr>
                <w:sz w:val="20"/>
              </w:rPr>
              <w:t>0.3526</w:t>
            </w:r>
          </w:p>
        </w:tc>
        <w:tc>
          <w:tcPr>
            <w:tcW w:type="dxa" w:w="2160"/>
          </w:tcPr>
          <w:p>
            <w:pPr>
              <w:jc w:val="center"/>
            </w:pPr>
            <w:r>
              <w:rPr>
                <w:sz w:val="20"/>
              </w:rPr>
              <w:t>0.590</w:t>
            </w:r>
          </w:p>
        </w:tc>
      </w:tr>
      <w:tr>
        <w:tc>
          <w:tcPr>
            <w:tcW w:type="dxa" w:w="2160"/>
          </w:tcPr>
          <w:p>
            <w:pPr>
              <w:jc w:val="left"/>
            </w:pPr>
            <w:r>
              <w:rPr>
                <w:sz w:val="20"/>
              </w:rPr>
              <w:t>Western &amp; South Western Highlands</w:t>
            </w:r>
          </w:p>
        </w:tc>
        <w:tc>
          <w:tcPr>
            <w:tcW w:type="dxa" w:w="2160"/>
          </w:tcPr>
          <w:p>
            <w:pPr>
              <w:jc w:val="center"/>
            </w:pPr>
            <w:r>
              <w:rPr>
                <w:sz w:val="20"/>
              </w:rPr>
              <w:t>128</w:t>
            </w:r>
          </w:p>
        </w:tc>
        <w:tc>
          <w:tcPr>
            <w:tcW w:type="dxa" w:w="2160"/>
          </w:tcPr>
          <w:p>
            <w:pPr>
              <w:jc w:val="center"/>
            </w:pPr>
            <w:r>
              <w:rPr>
                <w:sz w:val="20"/>
              </w:rPr>
              <w:t>0.5313</w:t>
            </w:r>
          </w:p>
        </w:tc>
        <w:tc>
          <w:tcPr>
            <w:tcW w:type="dxa" w:w="2160"/>
          </w:tcPr>
          <w:p>
            <w:pPr>
              <w:jc w:val="center"/>
            </w:pPr>
            <w:r>
              <w:rPr>
                <w:sz w:val="20"/>
              </w:rPr>
              <w:t>0.750</w:t>
            </w:r>
          </w:p>
        </w:tc>
      </w:tr>
    </w:tbl>
    <w:p/>
    <w:p>
      <w:r>
        <w:t>Table 7: Ranking quality by agro-ecological zone.</w:t>
      </w:r>
    </w:p>
    <w:p>
      <w:r>
        <w:t>The Western &amp; South Western Highlands zone achieves noticeably higher NDCG@3 (0.750), driven by a higher crop suitability rate in that zone (mean 73.6%). Lake Victoria Crescent &amp; Central has the weakest performance; this is noted as a coverage limitation — fewer training cases and more imputed trait data.</w:t>
      </w:r>
    </w:p>
    <w:p>
      <w:pPr>
        <w:pStyle w:val="Heading3"/>
      </w:pPr>
      <w:r>
        <w:t>By Farmer Resource Level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74B5"/>
          </w:tcPr>
          <w:p>
            <w:pPr>
              <w:jc w:val="center"/>
            </w:pPr>
            <w:r>
              <w:rPr>
                <w:b/>
                <w:color w:val="FFFFFF"/>
                <w:sz w:val="20"/>
              </w:rPr>
              <w:t>Resource Level</w:t>
            </w:r>
          </w:p>
        </w:tc>
        <w:tc>
          <w:tcPr>
            <w:tcW w:type="dxa" w:w="2160"/>
            <w:shd w:val="clear" w:color="auto" w:fill="2E74B5"/>
          </w:tcPr>
          <w:p>
            <w:pPr>
              <w:jc w:val="center"/>
            </w:pPr>
            <w:r>
              <w:rPr>
                <w:b/>
                <w:color w:val="FFFFFF"/>
                <w:sz w:val="20"/>
              </w:rPr>
              <w:t>Cases</w:t>
            </w:r>
          </w:p>
        </w:tc>
        <w:tc>
          <w:tcPr>
            <w:tcW w:type="dxa" w:w="2160"/>
            <w:shd w:val="clear" w:color="auto" w:fill="2E74B5"/>
          </w:tcPr>
          <w:p>
            <w:pPr>
              <w:jc w:val="center"/>
            </w:pPr>
            <w:r>
              <w:rPr>
                <w:b/>
                <w:color w:val="FFFFFF"/>
                <w:sz w:val="20"/>
              </w:rPr>
              <w:t>Top-3 Accuracy</w:t>
            </w:r>
          </w:p>
        </w:tc>
        <w:tc>
          <w:tcPr>
            <w:tcW w:type="dxa" w:w="2160"/>
            <w:shd w:val="clear" w:color="auto" w:fill="2E74B5"/>
          </w:tcPr>
          <w:p>
            <w:pPr>
              <w:jc w:val="center"/>
            </w:pPr>
            <w:r>
              <w:rPr>
                <w:b/>
                <w:color w:val="FFFFFF"/>
                <w:sz w:val="20"/>
              </w:rPr>
              <w:t>NDCG@3</w:t>
            </w:r>
          </w:p>
        </w:tc>
      </w:tr>
      <w:tr>
        <w:tc>
          <w:tcPr>
            <w:tcW w:type="dxa" w:w="2160"/>
          </w:tcPr>
          <w:p>
            <w:pPr>
              <w:jc w:val="left"/>
            </w:pPr>
            <w:r>
              <w:rPr>
                <w:sz w:val="20"/>
              </w:rPr>
              <w:t>High</w:t>
            </w:r>
          </w:p>
        </w:tc>
        <w:tc>
          <w:tcPr>
            <w:tcW w:type="dxa" w:w="2160"/>
          </w:tcPr>
          <w:p>
            <w:pPr>
              <w:jc w:val="center"/>
            </w:pPr>
            <w:r>
              <w:rPr>
                <w:sz w:val="20"/>
              </w:rPr>
              <w:t>77</w:t>
            </w:r>
          </w:p>
        </w:tc>
        <w:tc>
          <w:tcPr>
            <w:tcW w:type="dxa" w:w="2160"/>
          </w:tcPr>
          <w:p>
            <w:pPr>
              <w:jc w:val="center"/>
            </w:pPr>
            <w:r>
              <w:rPr>
                <w:sz w:val="20"/>
              </w:rPr>
              <w:t>0.3377</w:t>
            </w:r>
          </w:p>
        </w:tc>
        <w:tc>
          <w:tcPr>
            <w:tcW w:type="dxa" w:w="2160"/>
          </w:tcPr>
          <w:p>
            <w:pPr>
              <w:jc w:val="center"/>
            </w:pPr>
            <w:r>
              <w:rPr>
                <w:sz w:val="20"/>
              </w:rPr>
              <w:t>0.545</w:t>
            </w:r>
          </w:p>
        </w:tc>
      </w:tr>
      <w:tr>
        <w:tc>
          <w:tcPr>
            <w:tcW w:type="dxa" w:w="2160"/>
          </w:tcPr>
          <w:p>
            <w:pPr>
              <w:jc w:val="left"/>
            </w:pPr>
            <w:r>
              <w:rPr>
                <w:sz w:val="20"/>
              </w:rPr>
              <w:t>Low</w:t>
            </w:r>
          </w:p>
        </w:tc>
        <w:tc>
          <w:tcPr>
            <w:tcW w:type="dxa" w:w="2160"/>
          </w:tcPr>
          <w:p>
            <w:pPr>
              <w:jc w:val="center"/>
            </w:pPr>
            <w:r>
              <w:rPr>
                <w:sz w:val="20"/>
              </w:rPr>
              <w:t>80</w:t>
            </w:r>
          </w:p>
        </w:tc>
        <w:tc>
          <w:tcPr>
            <w:tcW w:type="dxa" w:w="2160"/>
          </w:tcPr>
          <w:p>
            <w:pPr>
              <w:jc w:val="center"/>
            </w:pPr>
            <w:r>
              <w:rPr>
                <w:sz w:val="20"/>
              </w:rPr>
              <w:t>0.4375</w:t>
            </w:r>
          </w:p>
        </w:tc>
        <w:tc>
          <w:tcPr>
            <w:tcW w:type="dxa" w:w="2160"/>
          </w:tcPr>
          <w:p>
            <w:pPr>
              <w:jc w:val="center"/>
            </w:pPr>
            <w:r>
              <w:rPr>
                <w:sz w:val="20"/>
              </w:rPr>
              <w:t>0.588</w:t>
            </w:r>
          </w:p>
        </w:tc>
      </w:tr>
      <w:tr>
        <w:tc>
          <w:tcPr>
            <w:tcW w:type="dxa" w:w="2160"/>
          </w:tcPr>
          <w:p>
            <w:pPr>
              <w:jc w:val="left"/>
            </w:pPr>
            <w:r>
              <w:rPr>
                <w:sz w:val="20"/>
              </w:rPr>
              <w:t>Medium</w:t>
            </w:r>
          </w:p>
        </w:tc>
        <w:tc>
          <w:tcPr>
            <w:tcW w:type="dxa" w:w="2160"/>
          </w:tcPr>
          <w:p>
            <w:pPr>
              <w:jc w:val="center"/>
            </w:pPr>
            <w:r>
              <w:rPr>
                <w:sz w:val="20"/>
              </w:rPr>
              <w:t>344</w:t>
            </w:r>
          </w:p>
        </w:tc>
        <w:tc>
          <w:tcPr>
            <w:tcW w:type="dxa" w:w="2160"/>
          </w:tcPr>
          <w:p>
            <w:pPr>
              <w:jc w:val="center"/>
            </w:pPr>
            <w:r>
              <w:rPr>
                <w:sz w:val="20"/>
              </w:rPr>
              <w:t>0.4099</w:t>
            </w:r>
          </w:p>
        </w:tc>
        <w:tc>
          <w:tcPr>
            <w:tcW w:type="dxa" w:w="2160"/>
          </w:tcPr>
          <w:p>
            <w:pPr>
              <w:jc w:val="center"/>
            </w:pPr>
            <w:r>
              <w:rPr>
                <w:sz w:val="20"/>
              </w:rPr>
              <w:t>0.648</w:t>
            </w:r>
          </w:p>
        </w:tc>
      </w:tr>
      <w:tr>
        <w:tc>
          <w:tcPr>
            <w:tcW w:type="dxa" w:w="2160"/>
          </w:tcPr>
          <w:p>
            <w:pPr>
              <w:jc w:val="left"/>
            </w:pPr>
            <w:r>
              <w:rPr>
                <w:sz w:val="20"/>
              </w:rPr>
              <w:t>Unknown</w:t>
            </w:r>
          </w:p>
        </w:tc>
        <w:tc>
          <w:tcPr>
            <w:tcW w:type="dxa" w:w="2160"/>
          </w:tcPr>
          <w:p>
            <w:pPr>
              <w:jc w:val="center"/>
            </w:pPr>
            <w:r>
              <w:rPr>
                <w:sz w:val="20"/>
              </w:rPr>
              <w:t>62</w:t>
            </w:r>
          </w:p>
        </w:tc>
        <w:tc>
          <w:tcPr>
            <w:tcW w:type="dxa" w:w="2160"/>
          </w:tcPr>
          <w:p>
            <w:pPr>
              <w:jc w:val="center"/>
            </w:pPr>
            <w:r>
              <w:rPr>
                <w:sz w:val="20"/>
              </w:rPr>
              <w:t>0.3548</w:t>
            </w:r>
          </w:p>
        </w:tc>
        <w:tc>
          <w:tcPr>
            <w:tcW w:type="dxa" w:w="2160"/>
          </w:tcPr>
          <w:p>
            <w:pPr>
              <w:jc w:val="center"/>
            </w:pPr>
            <w:r>
              <w:rPr>
                <w:sz w:val="20"/>
              </w:rPr>
              <w:t>0.629</w:t>
            </w:r>
          </w:p>
        </w:tc>
      </w:tr>
    </w:tbl>
    <w:p/>
    <w:p>
      <w:r>
        <w:t>Table 8: Ranking quality by farmer resource level.</w:t>
      </w:r>
    </w:p>
    <w:p>
      <w:r>
        <w:t>Low-resource farmers (0.588 NDCG@3) perform comparably to medium-resource (0.648), suggesting the model does not systematically disadvantage smallholders with fewer inputs.</w:t>
      </w:r>
    </w:p>
    <w:p>
      <w:pPr>
        <w:pStyle w:val="Heading2"/>
      </w:pPr>
      <w:r>
        <w:t>Data Coverage and Known Limitations</w:t>
      </w:r>
    </w:p>
    <w:p>
      <w:pPr>
        <w:pStyle w:val="ListBullet"/>
      </w:pPr>
      <w:r>
        <w:t>Suitability labels are synthetic, derived from the scoring function applied to the combined dataset. Random-split CV metrics are therefore largely label reconstruction and should not be interpreted as out-of-distribution performance.</w:t>
      </w:r>
    </w:p>
    <w:p>
      <w:pPr>
        <w:pStyle w:val="ListBullet"/>
      </w:pPr>
      <w:r>
        <w:t>Of the licensed varieties in the MAAIF registry, only approximately 8 have directly measured agronomic traits. The remaining varieties use crop-average imputed values, flagged via the trait_source and data_confidence fields in every recommendation.</w:t>
      </w:r>
    </w:p>
    <w:p>
      <w:pPr>
        <w:pStyle w:val="ListBullet"/>
      </w:pPr>
      <w:r>
        <w:t>NDVI, NASA-POWER climate, and iSDA soil enrichment covers approximately 10–14 source districts. Rows outside these districts use spatially interpolated or national-average imputed values — a documented data-coverage limitation, not a modelling error.</w:t>
      </w:r>
    </w:p>
    <w:p>
      <w:pPr>
        <w:pStyle w:val="ListBullet"/>
      </w:pPr>
      <w:r>
        <w:t>Leave-Zone-Out AUC near 0.49 reflects model behaviour on zones never seen during training. This is the expected floor given only 4 agro-ecological zones and synthetic labels.</w:t>
      </w:r>
    </w:p>
    <w:p>
      <w:pPr>
        <w:pStyle w:val="ListBullet"/>
      </w:pPr>
      <w:r>
        <w:t>The Gemini LLM layer for richer plain-language explanations is opt-in (SEEDREC_USE_GEMINI=1). It is off by default so the pipeline and web app remain fast and offline-capable.</w:t>
      </w:r>
    </w:p>
    <w:p>
      <w:pPr>
        <w:pStyle w:val="Heading2"/>
      </w:pPr>
      <w:r>
        <w:t>User Guide: How to Use the System</w:t>
      </w:r>
    </w:p>
    <w:p>
      <w:r>
        <w:t>The live application is accessible at https://seedrecommender.streamlit.app/. No installation is required.</w:t>
      </w:r>
    </w:p>
    <w:p>
      <w:pPr>
        <w:pStyle w:val="ListBullet"/>
      </w:pPr>
      <w:r>
        <w:t>Open the live app from the project link.</w:t>
      </w:r>
    </w:p>
    <w:p>
      <w:pPr>
        <w:pStyle w:val="ListBullet"/>
      </w:pPr>
      <w:r>
        <w:t>Enter the district, crop type, season, and farm resource level.</w:t>
      </w:r>
    </w:p>
    <w:p>
      <w:pPr>
        <w:pStyle w:val="ListBullet"/>
      </w:pPr>
      <w:r>
        <w:t>Optionally provide soil pH, organic matter, and drainage class for higher confidence recommendations.</w:t>
      </w:r>
    </w:p>
    <w:p>
      <w:pPr>
        <w:pStyle w:val="ListBullet"/>
      </w:pPr>
      <w:r>
        <w:t>Submit the request. The XGBoost model scores all eligible registered varieties and ranks them by recommendation score.</w:t>
      </w:r>
    </w:p>
    <w:p>
      <w:pPr>
        <w:pStyle w:val="ListBullet"/>
      </w:pPr>
      <w:r>
        <w:t>Review the ranked shortlist. Each recommendation shows the variety name, score, suitability class, seed availability, and supplier information.</w:t>
      </w:r>
    </w:p>
    <w:p>
      <w:pPr>
        <w:pStyle w:val="ListBullet"/>
      </w:pPr>
      <w:r>
        <w:t>Read the explanation. A plain-language summary is shown to the farmer; extension officers can expand the agronomic driver detail; technical users can view the SHAP values.</w:t>
      </w:r>
    </w:p>
    <w:p>
      <w:pPr>
        <w:pStyle w:val="Heading2"/>
      </w:pPr>
      <w:r>
        <w:t>How the System Works: Technical Overview</w:t>
      </w:r>
    </w:p>
    <w:p>
      <w:pPr>
        <w:pStyle w:val="ListBullet"/>
      </w:pPr>
      <w:r>
        <w:t>Data preparation: Historical climate (NASA-POWER), soil (iSDA), crop calendar, and MAAIF seed registry data are merged via python -m seedrec.prepare_real_data.</w:t>
      </w:r>
    </w:p>
    <w:p>
      <w:pPr>
        <w:pStyle w:val="ListBullet"/>
      </w:pPr>
      <w:r>
        <w:t>Feature engineering: 25+ features are derived including rainfall-range distance, drought index, input-level gap, and market-preference flags.</w:t>
      </w:r>
    </w:p>
    <w:p>
      <w:pPr>
        <w:pStyle w:val="ListBullet"/>
      </w:pPr>
      <w:r>
        <w:t>Model scoring: The XGBoost model estimates a suitability probability for each variety. A threshold of 0.55 converts probabilities to a binary suitable/not-suitable decision.</w:t>
      </w:r>
    </w:p>
    <w:p>
      <w:pPr>
        <w:pStyle w:val="ListBullet"/>
      </w:pPr>
      <w:r>
        <w:t>Ranking: Varieties are ranked by recommendation_score (probability × availability penalty); the top varieties are presented first.</w:t>
      </w:r>
    </w:p>
    <w:p>
      <w:pPr>
        <w:pStyle w:val="ListBullet"/>
      </w:pPr>
      <w:r>
        <w:t>Explainability: SHAP values and LIME weights are computed for each recommendation and mapped to human-readable agronomic driver descriptions.</w:t>
      </w:r>
    </w:p>
    <w:p>
      <w:pPr>
        <w:pStyle w:val="ListBullet"/>
      </w:pPr>
      <w:r>
        <w:t>Retraining: Run python -m seedrec.pipeline to retrain the model when new data become available. Reports are regenerated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