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Executive Summary</w:t>
      </w:r>
    </w:p>
    <w:p w:rsidR="00000000" w:rsidDel="00000000" w:rsidP="00000000" w:rsidRDefault="00000000" w:rsidRPr="00000000" w14:paraId="00000002">
      <w:pPr>
        <w:rPr>
          <w:sz w:val="20"/>
          <w:szCs w:val="20"/>
        </w:rPr>
      </w:pPr>
      <w:r w:rsidDel="00000000" w:rsidR="00000000" w:rsidRPr="00000000">
        <w:rPr>
          <w:sz w:val="20"/>
          <w:szCs w:val="20"/>
          <w:rtl w:val="0"/>
        </w:rPr>
        <w:t xml:space="preserve">This project will build a deep learning system to transliterate Palestinian Arabic between Arabic script and Latin-character forms using the Maknuune dataset. It will compare a baseline LSTM model with a character-level Transformer and select the best system based on validation and test performance. The project is motivated by the fact that Arabizi is highly variable across dialects and spelling conventions, making transliteration an important NLP task. </w:t>
      </w:r>
    </w:p>
    <w:p w:rsidR="00000000" w:rsidDel="00000000" w:rsidP="00000000" w:rsidRDefault="00000000" w:rsidRPr="00000000" w14:paraId="00000003">
      <w:pPr>
        <w:rPr>
          <w:b w:val="1"/>
          <w:bCs w:val="1"/>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Arabic Transliteration</w:t>
      </w:r>
    </w:p>
    <w:p w:rsidR="00000000" w:rsidDel="00000000" w:rsidP="00000000" w:rsidRDefault="00000000" w:rsidRPr="00000000" w14:paraId="00000005">
      <w:pPr>
        <w:jc w:val="both"/>
        <w:rPr>
          <w:sz w:val="20"/>
          <w:szCs w:val="20"/>
        </w:rPr>
      </w:pPr>
      <w:r w:rsidDel="00000000" w:rsidR="00000000" w:rsidRPr="00000000">
        <w:rPr>
          <w:sz w:val="20"/>
          <w:szCs w:val="20"/>
          <w:rtl w:val="0"/>
        </w:rPr>
        <w:t xml:space="preserve">Arabic is often transliterated into Latin characters in informal digital writing in Latin script. This writing style, colloquially called </w:t>
      </w:r>
      <w:r w:rsidDel="00000000" w:rsidR="00000000" w:rsidRPr="00000000">
        <w:rPr>
          <w:i w:val="1"/>
          <w:iCs w:val="1"/>
          <w:sz w:val="20"/>
          <w:szCs w:val="20"/>
          <w:rtl w:val="0"/>
        </w:rPr>
        <w:t xml:space="preserve">Arabizi</w:t>
      </w:r>
      <w:r w:rsidDel="00000000" w:rsidR="00000000" w:rsidRPr="00000000">
        <w:rPr>
          <w:sz w:val="20"/>
          <w:szCs w:val="20"/>
          <w:rtl w:val="0"/>
        </w:rPr>
        <w:t xml:space="preserve">, developed largely because keyboards on early phones and internet systems did not support Arabic-script input.</w:t>
      </w:r>
      <w:r w:rsidDel="00000000" w:rsidR="00000000" w:rsidRPr="00000000">
        <w:rPr>
          <w:sz w:val="20"/>
          <w:szCs w:val="20"/>
          <w:vertAlign w:val="superscript"/>
        </w:rPr>
        <w:footnoteReference w:customMarkFollows="0" w:id="0"/>
      </w:r>
      <w:r w:rsidDel="00000000" w:rsidR="00000000" w:rsidRPr="00000000">
        <w:rPr>
          <w:sz w:val="20"/>
          <w:szCs w:val="20"/>
          <w:rtl w:val="0"/>
        </w:rPr>
        <w:t xml:space="preserve"> In </w:t>
      </w:r>
      <w:r w:rsidDel="00000000" w:rsidR="00000000" w:rsidRPr="00000000">
        <w:rPr>
          <w:i w:val="1"/>
          <w:iCs w:val="1"/>
          <w:sz w:val="20"/>
          <w:szCs w:val="20"/>
          <w:rtl w:val="0"/>
        </w:rPr>
        <w:t xml:space="preserve">Arabizi</w:t>
      </w:r>
      <w:r w:rsidDel="00000000" w:rsidR="00000000" w:rsidRPr="00000000">
        <w:rPr>
          <w:rtl w:val="0"/>
        </w:rPr>
      </w:r>
      <w:r w:rsidDel="00000000" w:rsidR="00000000" w:rsidRPr="00000000">
        <w:rPr>
          <w:sz w:val="20"/>
          <w:szCs w:val="20"/>
          <w:rtl w:val="0"/>
        </w:rPr>
        <w:t xml:space="preserve">, </w:t>
      </w:r>
      <w:r w:rsidDel="00000000" w:rsidR="00000000" w:rsidRPr="00000000">
        <w:rPr>
          <w:sz w:val="20"/>
          <w:szCs w:val="20"/>
          <w:rtl w:val="0"/>
        </w:rPr>
        <w:t xml:space="preserve">writers</w:t>
      </w:r>
      <w:r w:rsidDel="00000000" w:rsidR="00000000" w:rsidRPr="00000000">
        <w:rPr>
          <w:sz w:val="20"/>
          <w:szCs w:val="20"/>
          <w:rtl w:val="0"/>
        </w:rPr>
        <w:t xml:space="preserve"> </w:t>
      </w:r>
      <w:r w:rsidDel="00000000" w:rsidR="00000000" w:rsidRPr="00000000">
        <w:rPr>
          <w:sz w:val="20"/>
          <w:szCs w:val="20"/>
          <w:rtl w:val="0"/>
        </w:rPr>
        <w:t xml:space="preserve">use</w:t>
      </w:r>
      <w:r w:rsidDel="00000000" w:rsidR="00000000" w:rsidRPr="00000000">
        <w:rPr>
          <w:sz w:val="20"/>
          <w:szCs w:val="20"/>
          <w:rtl w:val="0"/>
        </w:rPr>
        <w:t xml:space="preserve"> </w:t>
      </w:r>
      <w:r w:rsidDel="00000000" w:rsidR="00000000" w:rsidRPr="00000000">
        <w:rPr>
          <w:sz w:val="20"/>
          <w:szCs w:val="20"/>
          <w:rtl w:val="0"/>
        </w:rPr>
        <w:t xml:space="preserve">Latin</w:t>
      </w:r>
      <w:r w:rsidDel="00000000" w:rsidR="00000000" w:rsidRPr="00000000">
        <w:rPr>
          <w:sz w:val="20"/>
          <w:szCs w:val="20"/>
          <w:rtl w:val="0"/>
        </w:rPr>
        <w:t xml:space="preserve"> </w:t>
      </w:r>
      <w:r w:rsidDel="00000000" w:rsidR="00000000" w:rsidRPr="00000000">
        <w:rPr>
          <w:sz w:val="20"/>
          <w:szCs w:val="20"/>
          <w:rtl w:val="0"/>
        </w:rPr>
        <w:t xml:space="preserve">letters</w:t>
      </w:r>
      <w:r w:rsidDel="00000000" w:rsidR="00000000" w:rsidRPr="00000000">
        <w:rPr>
          <w:sz w:val="20"/>
          <w:szCs w:val="20"/>
          <w:rtl w:val="0"/>
        </w:rPr>
        <w:t xml:space="preserve"> </w:t>
      </w:r>
      <w:r w:rsidDel="00000000" w:rsidR="00000000" w:rsidRPr="00000000">
        <w:rPr>
          <w:sz w:val="20"/>
          <w:szCs w:val="20"/>
          <w:rtl w:val="0"/>
        </w:rPr>
        <w:t xml:space="preserve">to</w:t>
      </w:r>
      <w:r w:rsidDel="00000000" w:rsidR="00000000" w:rsidRPr="00000000">
        <w:rPr>
          <w:sz w:val="20"/>
          <w:szCs w:val="20"/>
          <w:rtl w:val="0"/>
        </w:rPr>
        <w:t xml:space="preserve"> </w:t>
      </w:r>
      <w:r w:rsidDel="00000000" w:rsidR="00000000" w:rsidRPr="00000000">
        <w:rPr>
          <w:sz w:val="20"/>
          <w:szCs w:val="20"/>
          <w:rtl w:val="0"/>
        </w:rPr>
        <w:t xml:space="preserve">represent</w:t>
      </w:r>
      <w:r w:rsidDel="00000000" w:rsidR="00000000" w:rsidRPr="00000000">
        <w:rPr>
          <w:sz w:val="20"/>
          <w:szCs w:val="20"/>
          <w:rtl w:val="0"/>
        </w:rPr>
        <w:t xml:space="preserve"> </w:t>
      </w:r>
      <w:r w:rsidDel="00000000" w:rsidR="00000000" w:rsidRPr="00000000">
        <w:rPr>
          <w:sz w:val="20"/>
          <w:szCs w:val="20"/>
          <w:rtl w:val="0"/>
        </w:rPr>
        <w:t xml:space="preserve">Arabic</w:t>
      </w:r>
      <w:r w:rsidDel="00000000" w:rsidR="00000000" w:rsidRPr="00000000">
        <w:rPr>
          <w:sz w:val="20"/>
          <w:szCs w:val="20"/>
          <w:rtl w:val="0"/>
        </w:rPr>
        <w:t xml:space="preserve"> </w:t>
      </w:r>
      <w:r w:rsidDel="00000000" w:rsidR="00000000" w:rsidRPr="00000000">
        <w:rPr>
          <w:sz w:val="20"/>
          <w:szCs w:val="20"/>
          <w:rtl w:val="0"/>
        </w:rPr>
        <w:t xml:space="preserve">letters</w:t>
      </w:r>
      <w:r w:rsidDel="00000000" w:rsidR="00000000" w:rsidRPr="00000000">
        <w:rPr>
          <w:sz w:val="20"/>
          <w:szCs w:val="20"/>
          <w:rtl w:val="0"/>
        </w:rPr>
        <w:t xml:space="preserve"> </w:t>
      </w:r>
      <w:r w:rsidDel="00000000" w:rsidR="00000000" w:rsidRPr="00000000">
        <w:rPr>
          <w:sz w:val="20"/>
          <w:szCs w:val="20"/>
          <w:rtl w:val="0"/>
        </w:rPr>
        <w:t xml:space="preserve">and</w:t>
      </w:r>
      <w:r w:rsidDel="00000000" w:rsidR="00000000" w:rsidRPr="00000000">
        <w:rPr>
          <w:sz w:val="20"/>
          <w:szCs w:val="20"/>
          <w:rtl w:val="0"/>
        </w:rPr>
        <w:t xml:space="preserve"> </w:t>
      </w:r>
      <w:r w:rsidDel="00000000" w:rsidR="00000000" w:rsidRPr="00000000">
        <w:rPr>
          <w:sz w:val="20"/>
          <w:szCs w:val="20"/>
          <w:rtl w:val="0"/>
        </w:rPr>
        <w:t xml:space="preserve">phonemes</w:t>
      </w:r>
      <w:r w:rsidDel="00000000" w:rsidR="00000000" w:rsidRPr="00000000">
        <w:rPr>
          <w:sz w:val="20"/>
          <w:szCs w:val="20"/>
          <w:rtl w:val="0"/>
        </w:rPr>
        <w:t xml:space="preserve">. </w:t>
      </w:r>
      <w:r w:rsidDel="00000000" w:rsidR="00000000" w:rsidRPr="00000000">
        <w:rPr>
          <w:sz w:val="20"/>
          <w:szCs w:val="20"/>
          <w:rtl w:val="0"/>
        </w:rPr>
        <w:t xml:space="preserve">For</w:t>
      </w:r>
      <w:r w:rsidDel="00000000" w:rsidR="00000000" w:rsidRPr="00000000">
        <w:rPr>
          <w:sz w:val="20"/>
          <w:szCs w:val="20"/>
          <w:rtl w:val="0"/>
        </w:rPr>
        <w:t xml:space="preserve"> </w:t>
      </w:r>
      <w:r w:rsidDel="00000000" w:rsidR="00000000" w:rsidRPr="00000000">
        <w:rPr>
          <w:sz w:val="20"/>
          <w:szCs w:val="20"/>
          <w:rtl w:val="0"/>
        </w:rPr>
        <w:t xml:space="preserve">phoneme</w:t>
      </w:r>
      <w:r w:rsidDel="00000000" w:rsidR="00000000" w:rsidRPr="00000000">
        <w:rPr>
          <w:sz w:val="20"/>
          <w:szCs w:val="20"/>
          <w:rtl w:val="0"/>
        </w:rPr>
        <w:t xml:space="preserve"> </w:t>
      </w:r>
      <w:r w:rsidDel="00000000" w:rsidR="00000000" w:rsidRPr="00000000">
        <w:rPr>
          <w:sz w:val="20"/>
          <w:szCs w:val="20"/>
          <w:rtl w:val="0"/>
        </w:rPr>
        <w:t xml:space="preserve">from</w:t>
      </w:r>
      <w:r w:rsidDel="00000000" w:rsidR="00000000" w:rsidRPr="00000000">
        <w:rPr>
          <w:sz w:val="20"/>
          <w:szCs w:val="20"/>
          <w:rtl w:val="0"/>
        </w:rPr>
        <w:t xml:space="preserve"> </w:t>
      </w:r>
      <w:r w:rsidDel="00000000" w:rsidR="00000000" w:rsidRPr="00000000">
        <w:rPr>
          <w:sz w:val="20"/>
          <w:szCs w:val="20"/>
          <w:rtl w:val="0"/>
        </w:rPr>
        <w:t xml:space="preserve">which</w:t>
      </w:r>
      <w:r w:rsidDel="00000000" w:rsidR="00000000" w:rsidRPr="00000000">
        <w:rPr>
          <w:sz w:val="20"/>
          <w:szCs w:val="20"/>
          <w:rtl w:val="0"/>
        </w:rPr>
        <w:t xml:space="preserve"> </w:t>
      </w:r>
      <w:r w:rsidDel="00000000" w:rsidR="00000000" w:rsidRPr="00000000">
        <w:rPr>
          <w:sz w:val="20"/>
          <w:szCs w:val="20"/>
          <w:rtl w:val="0"/>
        </w:rPr>
        <w:t xml:space="preserve">there</w:t>
      </w:r>
      <w:r w:rsidDel="00000000" w:rsidR="00000000" w:rsidRPr="00000000">
        <w:rPr>
          <w:sz w:val="20"/>
          <w:szCs w:val="20"/>
          <w:rtl w:val="0"/>
        </w:rPr>
        <w:t xml:space="preserve"> </w:t>
      </w:r>
      <w:r w:rsidDel="00000000" w:rsidR="00000000" w:rsidRPr="00000000">
        <w:rPr>
          <w:sz w:val="20"/>
          <w:szCs w:val="20"/>
          <w:rtl w:val="0"/>
        </w:rPr>
        <w:t xml:space="preserve">is</w:t>
      </w:r>
      <w:r w:rsidDel="00000000" w:rsidR="00000000" w:rsidRPr="00000000">
        <w:rPr>
          <w:sz w:val="20"/>
          <w:szCs w:val="20"/>
          <w:rtl w:val="0"/>
        </w:rPr>
        <w:t xml:space="preserve"> </w:t>
      </w:r>
      <w:r w:rsidDel="00000000" w:rsidR="00000000" w:rsidRPr="00000000">
        <w:rPr>
          <w:sz w:val="20"/>
          <w:szCs w:val="20"/>
          <w:rtl w:val="0"/>
        </w:rPr>
        <w:t xml:space="preserve">no</w:t>
      </w:r>
      <w:r w:rsidDel="00000000" w:rsidR="00000000" w:rsidRPr="00000000">
        <w:rPr>
          <w:sz w:val="20"/>
          <w:szCs w:val="20"/>
          <w:rtl w:val="0"/>
        </w:rPr>
        <w:t xml:space="preserve"> </w:t>
      </w:r>
      <w:r w:rsidDel="00000000" w:rsidR="00000000" w:rsidRPr="00000000">
        <w:rPr>
          <w:sz w:val="20"/>
          <w:szCs w:val="20"/>
          <w:rtl w:val="0"/>
        </w:rPr>
        <w:t xml:space="preserve">good</w:t>
      </w:r>
      <w:r w:rsidDel="00000000" w:rsidR="00000000" w:rsidRPr="00000000">
        <w:rPr>
          <w:sz w:val="20"/>
          <w:szCs w:val="20"/>
          <w:rtl w:val="0"/>
        </w:rPr>
        <w:t xml:space="preserve"> </w:t>
      </w:r>
      <w:r w:rsidDel="00000000" w:rsidR="00000000" w:rsidRPr="00000000">
        <w:rPr>
          <w:sz w:val="20"/>
          <w:szCs w:val="20"/>
          <w:rtl w:val="0"/>
        </w:rPr>
        <w:t xml:space="preserve">Latin</w:t>
      </w:r>
      <w:r w:rsidDel="00000000" w:rsidR="00000000" w:rsidRPr="00000000">
        <w:rPr>
          <w:sz w:val="20"/>
          <w:szCs w:val="20"/>
          <w:rtl w:val="0"/>
        </w:rPr>
        <w:t xml:space="preserve"> </w:t>
      </w:r>
      <w:r w:rsidDel="00000000" w:rsidR="00000000" w:rsidRPr="00000000">
        <w:rPr>
          <w:sz w:val="20"/>
          <w:szCs w:val="20"/>
          <w:rtl w:val="0"/>
        </w:rPr>
        <w:t xml:space="preserve">character</w:t>
      </w:r>
      <w:r w:rsidDel="00000000" w:rsidR="00000000" w:rsidRPr="00000000">
        <w:rPr>
          <w:sz w:val="20"/>
          <w:szCs w:val="20"/>
          <w:rtl w:val="0"/>
        </w:rPr>
        <w:t xml:space="preserve"> </w:t>
      </w:r>
      <w:r w:rsidDel="00000000" w:rsidR="00000000" w:rsidRPr="00000000">
        <w:rPr>
          <w:sz w:val="20"/>
          <w:szCs w:val="20"/>
          <w:rtl w:val="0"/>
        </w:rPr>
        <w:t xml:space="preserve">approximation</w:t>
      </w:r>
      <w:r w:rsidDel="00000000" w:rsidR="00000000" w:rsidRPr="00000000">
        <w:rPr>
          <w:sz w:val="20"/>
          <w:szCs w:val="20"/>
          <w:rtl w:val="0"/>
        </w:rPr>
        <w:t xml:space="preserve">, </w:t>
      </w:r>
      <w:r w:rsidDel="00000000" w:rsidR="00000000" w:rsidRPr="00000000">
        <w:rPr>
          <w:sz w:val="20"/>
          <w:szCs w:val="20"/>
          <w:rtl w:val="0"/>
        </w:rPr>
        <w:t xml:space="preserve">sometimes</w:t>
      </w:r>
      <w:r w:rsidDel="00000000" w:rsidR="00000000" w:rsidRPr="00000000">
        <w:rPr>
          <w:sz w:val="20"/>
          <w:szCs w:val="20"/>
          <w:rtl w:val="0"/>
        </w:rPr>
        <w:t xml:space="preserve"> </w:t>
      </w:r>
      <w:r w:rsidDel="00000000" w:rsidR="00000000" w:rsidRPr="00000000">
        <w:rPr>
          <w:sz w:val="20"/>
          <w:szCs w:val="20"/>
          <w:rtl w:val="0"/>
        </w:rPr>
        <w:t xml:space="preserve">numerals</w:t>
      </w:r>
      <w:r w:rsidDel="00000000" w:rsidR="00000000" w:rsidRPr="00000000">
        <w:rPr>
          <w:sz w:val="20"/>
          <w:szCs w:val="20"/>
          <w:rtl w:val="0"/>
        </w:rPr>
        <w:t xml:space="preserve"> </w:t>
      </w:r>
      <w:r w:rsidDel="00000000" w:rsidR="00000000" w:rsidRPr="00000000">
        <w:rPr>
          <w:sz w:val="20"/>
          <w:szCs w:val="20"/>
          <w:rtl w:val="0"/>
        </w:rPr>
        <w:t xml:space="preserve">such</w:t>
      </w:r>
      <w:r w:rsidDel="00000000" w:rsidR="00000000" w:rsidRPr="00000000">
        <w:rPr>
          <w:sz w:val="20"/>
          <w:szCs w:val="20"/>
          <w:rtl w:val="0"/>
        </w:rPr>
        <w:t xml:space="preserve"> </w:t>
      </w:r>
      <w:r w:rsidDel="00000000" w:rsidR="00000000" w:rsidRPr="00000000">
        <w:rPr>
          <w:sz w:val="20"/>
          <w:szCs w:val="20"/>
          <w:rtl w:val="0"/>
        </w:rPr>
        <w:t xml:space="preserve">as</w:t>
      </w:r>
      <w:r w:rsidDel="00000000" w:rsidR="00000000" w:rsidRPr="00000000">
        <w:rPr>
          <w:sz w:val="20"/>
          <w:szCs w:val="20"/>
          <w:rtl w:val="0"/>
        </w:rPr>
        <w:t xml:space="preserve">  </w:t>
      </w:r>
      <w:r w:rsidDel="00000000" w:rsidR="00000000" w:rsidRPr="00000000">
        <w:rPr>
          <w:sz w:val="20"/>
          <w:szCs w:val="20"/>
          <w:rtl w:val="0"/>
        </w:rPr>
        <w:t xml:space="preserve">for</w:t>
      </w:r>
      <w:r w:rsidDel="00000000" w:rsidR="00000000" w:rsidRPr="00000000">
        <w:rPr>
          <w:sz w:val="20"/>
          <w:szCs w:val="20"/>
          <w:rtl w:val="0"/>
        </w:rPr>
        <w:t xml:space="preserve"> </w:t>
      </w:r>
      <w:r w:rsidDel="00000000" w:rsidR="00000000" w:rsidRPr="00000000">
        <w:rPr>
          <w:sz w:val="20"/>
          <w:szCs w:val="20"/>
          <w:rtl w:val="1"/>
        </w:rPr>
        <w:t xml:space="preserve">ع</w:t>
      </w:r>
      <w:r w:rsidDel="00000000" w:rsidR="00000000" w:rsidRPr="00000000">
        <w:rPr>
          <w:sz w:val="20"/>
          <w:szCs w:val="20"/>
          <w:rtl w:val="0"/>
        </w:rPr>
        <w:t xml:space="preserve"> </w:t>
      </w:r>
      <w:r w:rsidDel="00000000" w:rsidR="00000000" w:rsidRPr="00000000">
        <w:rPr>
          <w:sz w:val="20"/>
          <w:szCs w:val="20"/>
          <w:rtl w:val="0"/>
        </w:rPr>
        <w:t xml:space="preserve">and</w:t>
      </w:r>
      <w:r w:rsidDel="00000000" w:rsidR="00000000" w:rsidRPr="00000000">
        <w:rPr>
          <w:sz w:val="20"/>
          <w:szCs w:val="20"/>
          <w:rtl w:val="0"/>
        </w:rPr>
        <w:t xml:space="preserve"> 7 </w:t>
      </w:r>
      <w:r w:rsidDel="00000000" w:rsidR="00000000" w:rsidRPr="00000000">
        <w:rPr>
          <w:sz w:val="20"/>
          <w:szCs w:val="20"/>
          <w:rtl w:val="0"/>
        </w:rPr>
        <w:t xml:space="preserve">for</w:t>
      </w:r>
      <w:r w:rsidDel="00000000" w:rsidR="00000000" w:rsidRPr="00000000">
        <w:rPr>
          <w:sz w:val="20"/>
          <w:szCs w:val="20"/>
          <w:rtl w:val="0"/>
        </w:rPr>
        <w:t xml:space="preserve"> </w:t>
      </w:r>
      <w:r w:rsidDel="00000000" w:rsidR="00000000" w:rsidRPr="00000000">
        <w:rPr>
          <w:sz w:val="20"/>
          <w:szCs w:val="20"/>
          <w:rtl w:val="1"/>
        </w:rPr>
        <w:t xml:space="preserve">ح</w:t>
      </w:r>
      <w:r w:rsidDel="00000000" w:rsidR="00000000" w:rsidRPr="00000000">
        <w:rPr>
          <w:sz w:val="20"/>
          <w:szCs w:val="20"/>
          <w:rtl w:val="0"/>
        </w:rPr>
        <w:t xml:space="preserve"> </w:t>
      </w:r>
      <w:r w:rsidDel="00000000" w:rsidR="00000000" w:rsidRPr="00000000">
        <w:rPr>
          <w:sz w:val="20"/>
          <w:szCs w:val="20"/>
          <w:rtl w:val="0"/>
        </w:rPr>
        <w:t xml:space="preserve">are</w:t>
      </w:r>
      <w:r w:rsidDel="00000000" w:rsidR="00000000" w:rsidRPr="00000000">
        <w:rPr>
          <w:sz w:val="20"/>
          <w:szCs w:val="20"/>
          <w:rtl w:val="0"/>
        </w:rPr>
        <w:t xml:space="preserve"> </w:t>
      </w:r>
      <w:r w:rsidDel="00000000" w:rsidR="00000000" w:rsidRPr="00000000">
        <w:rPr>
          <w:sz w:val="20"/>
          <w:szCs w:val="20"/>
          <w:rtl w:val="0"/>
        </w:rPr>
        <w:t xml:space="preserve">used</w:t>
      </w:r>
      <w:r w:rsidDel="00000000" w:rsidR="00000000" w:rsidRPr="00000000">
        <w:rPr>
          <w:sz w:val="20"/>
          <w:szCs w:val="20"/>
          <w:rtl w:val="0"/>
        </w:rPr>
        <w:t xml:space="preserve">.</w:t>
      </w:r>
      <w:r w:rsidDel="00000000" w:rsidR="00000000" w:rsidRPr="00000000">
        <w:rPr>
          <w:sz w:val="20"/>
          <w:szCs w:val="20"/>
          <w:vertAlign w:val="superscript"/>
        </w:rPr>
        <w:footnoteReference w:customMarkFollows="0" w:id="1"/>
      </w:r>
      <w:r w:rsidDel="00000000" w:rsidR="00000000" w:rsidRPr="00000000">
        <w:rPr>
          <w:sz w:val="20"/>
          <w:szCs w:val="20"/>
          <w:rtl w:val="0"/>
        </w:rPr>
        <w:t xml:space="preserve"> </w:t>
      </w:r>
    </w:p>
    <w:p w:rsidR="00000000" w:rsidDel="00000000" w:rsidP="00000000" w:rsidRDefault="00000000" w:rsidRPr="00000000" w14:paraId="00000006">
      <w:pPr>
        <w:jc w:val="both"/>
        <w:rPr>
          <w:sz w:val="20"/>
          <w:szCs w:val="20"/>
        </w:rPr>
      </w:pPr>
      <w:r w:rsidDel="00000000" w:rsidR="00000000" w:rsidRPr="00000000">
        <w:rPr>
          <w:rtl w:val="0"/>
        </w:rPr>
      </w:r>
    </w:p>
    <w:p w:rsidR="00000000" w:rsidDel="00000000" w:rsidP="00000000" w:rsidRDefault="00000000" w:rsidRPr="00000000" w14:paraId="00000007">
      <w:pPr>
        <w:jc w:val="both"/>
        <w:rPr>
          <w:sz w:val="20"/>
          <w:szCs w:val="20"/>
        </w:rPr>
      </w:pPr>
      <w:r w:rsidDel="00000000" w:rsidR="00000000" w:rsidRPr="00000000">
        <w:rPr>
          <w:sz w:val="20"/>
          <w:szCs w:val="20"/>
          <w:rtl w:val="0"/>
        </w:rPr>
        <w:t xml:space="preserve">Developing a one-to-one ‘translation’ from  Arabic script to Latin numbers is not possible. For one, Arabic has noun declension in which nouns can be pronounced differently depending on their part in the sentence. Additionally, </w:t>
      </w:r>
      <w:r w:rsidDel="00000000" w:rsidR="00000000" w:rsidRPr="00000000">
        <w:rPr>
          <w:sz w:val="20"/>
          <w:szCs w:val="20"/>
          <w:rtl w:val="0"/>
        </w:rPr>
        <w:t xml:space="preserve">the exact Latin spellings vary by dialect because Egyptian, Levantine, Gulf, and Maghrebi Arabic differ substantially in pronunciation. </w:t>
      </w:r>
      <w:r w:rsidDel="00000000" w:rsidR="00000000" w:rsidRPr="00000000">
        <w:rPr>
          <w:i w:val="1"/>
          <w:iCs w:val="1"/>
          <w:sz w:val="20"/>
          <w:szCs w:val="20"/>
          <w:rtl w:val="0"/>
        </w:rPr>
        <w:t xml:space="preserve">Arabizi</w:t>
      </w:r>
      <w:r w:rsidDel="00000000" w:rsidR="00000000" w:rsidRPr="00000000">
        <w:rPr>
          <w:sz w:val="20"/>
          <w:szCs w:val="20"/>
          <w:rtl w:val="0"/>
        </w:rPr>
        <w:t xml:space="preserve"> also varies the dominant European language tradition in a region as different Roman characters are pronounced differently in different Western languages. This means North African users may show stronger French influence in spelling and code-mixing, while users in many eastern Arab countries may reflect stronger English influence.</w:t>
      </w:r>
      <w:r w:rsidDel="00000000" w:rsidR="00000000" w:rsidRPr="00000000">
        <w:rPr>
          <w:sz w:val="20"/>
          <w:szCs w:val="20"/>
          <w:vertAlign w:val="superscript"/>
        </w:rPr>
        <w:footnoteReference w:customMarkFollows="0" w:id="2"/>
      </w:r>
      <w:r w:rsidDel="00000000" w:rsidR="00000000" w:rsidRPr="00000000">
        <w:rPr>
          <w:sz w:val="20"/>
          <w:szCs w:val="20"/>
          <w:rtl w:val="0"/>
        </w:rPr>
        <w:t xml:space="preserve"> Researchers explicitly note that </w:t>
      </w:r>
      <w:r w:rsidDel="00000000" w:rsidR="00000000" w:rsidRPr="00000000">
        <w:rPr>
          <w:i w:val="1"/>
          <w:iCs w:val="1"/>
          <w:sz w:val="20"/>
          <w:szCs w:val="20"/>
          <w:rtl w:val="0"/>
        </w:rPr>
        <w:t xml:space="preserve">Arabizi</w:t>
      </w:r>
      <w:r w:rsidDel="00000000" w:rsidR="00000000" w:rsidRPr="00000000">
        <w:rPr>
          <w:sz w:val="20"/>
          <w:szCs w:val="20"/>
          <w:rtl w:val="0"/>
        </w:rPr>
        <w:t xml:space="preserve"> is usually dialectal, lacks a standard orthography, and frequently mixes Arabic with English or French; other work likewise notes heavy French influence in Maghrebi Arabic due to colonial history.</w:t>
      </w:r>
      <w:r w:rsidDel="00000000" w:rsidR="00000000" w:rsidRPr="00000000">
        <w:rPr>
          <w:sz w:val="20"/>
          <w:szCs w:val="20"/>
          <w:vertAlign w:val="superscript"/>
        </w:rPr>
        <w:footnoteReference w:customMarkFollows="0" w:id="3"/>
      </w:r>
      <w:r w:rsidDel="00000000" w:rsidR="00000000" w:rsidRPr="00000000">
        <w:rPr>
          <w:sz w:val="20"/>
          <w:szCs w:val="20"/>
          <w:rtl w:val="0"/>
        </w:rPr>
        <w:t xml:space="preserve"> </w:t>
      </w:r>
    </w:p>
    <w:p w:rsidR="00000000" w:rsidDel="00000000" w:rsidP="00000000" w:rsidRDefault="00000000" w:rsidRPr="00000000" w14:paraId="00000008">
      <w:pPr>
        <w:jc w:val="both"/>
        <w:rPr>
          <w:sz w:val="20"/>
          <w:szCs w:val="20"/>
        </w:rPr>
      </w:pPr>
      <w:r w:rsidDel="00000000" w:rsidR="00000000" w:rsidRPr="00000000">
        <w:rPr>
          <w:rtl w:val="0"/>
        </w:rPr>
      </w:r>
    </w:p>
    <w:p w:rsidR="00000000" w:rsidDel="00000000" w:rsidP="00000000" w:rsidRDefault="00000000" w:rsidRPr="00000000" w14:paraId="00000009">
      <w:pPr>
        <w:jc w:val="both"/>
        <w:rPr>
          <w:sz w:val="20"/>
          <w:szCs w:val="20"/>
        </w:rPr>
      </w:pPr>
      <w:r w:rsidDel="00000000" w:rsidR="00000000" w:rsidRPr="00000000">
        <w:rPr>
          <w:sz w:val="20"/>
          <w:szCs w:val="20"/>
          <w:rtl w:val="0"/>
        </w:rPr>
        <w:t xml:space="preserve">From a security perspective, </w:t>
      </w:r>
      <w:r w:rsidDel="00000000" w:rsidR="00000000" w:rsidRPr="00000000">
        <w:rPr>
          <w:i w:val="1"/>
          <w:iCs w:val="1"/>
          <w:sz w:val="20"/>
          <w:szCs w:val="20"/>
          <w:rtl w:val="0"/>
        </w:rPr>
        <w:t xml:space="preserve">Arabizi</w:t>
      </w:r>
      <w:r w:rsidDel="00000000" w:rsidR="00000000" w:rsidRPr="00000000">
        <w:rPr>
          <w:sz w:val="20"/>
          <w:szCs w:val="20"/>
          <w:rtl w:val="0"/>
        </w:rPr>
        <w:t xml:space="preserve"> communication is difficult to monitor for threats and individuals on watchlists.</w:t>
      </w:r>
      <w:r w:rsidDel="00000000" w:rsidR="00000000" w:rsidRPr="00000000">
        <w:rPr>
          <w:sz w:val="20"/>
          <w:szCs w:val="20"/>
          <w:vertAlign w:val="superscript"/>
        </w:rPr>
        <w:footnoteReference w:customMarkFollows="0" w:id="4"/>
      </w:r>
      <w:r w:rsidDel="00000000" w:rsidR="00000000" w:rsidRPr="00000000">
        <w:rPr>
          <w:sz w:val="20"/>
          <w:szCs w:val="20"/>
          <w:rtl w:val="0"/>
        </w:rPr>
        <w:t xml:space="preserve"> </w:t>
      </w:r>
      <w:r w:rsidDel="00000000" w:rsidR="00000000" w:rsidRPr="00000000">
        <w:rPr>
          <w:sz w:val="20"/>
          <w:szCs w:val="20"/>
          <w:vertAlign w:val="superscript"/>
        </w:rPr>
        <w:footnoteReference w:customMarkFollows="0" w:id="5"/>
      </w:r>
      <w:r w:rsidDel="00000000" w:rsidR="00000000" w:rsidRPr="00000000">
        <w:rPr>
          <w:sz w:val="20"/>
          <w:szCs w:val="20"/>
          <w:rtl w:val="0"/>
        </w:rPr>
        <w:t xml:space="preserve"> Further complicating the challenge to security agencies, existing AI tools do not allow the user to select the specific dialect and region of Arabic when translating to and from Latin script.  </w:t>
      </w:r>
    </w:p>
    <w:p w:rsidR="00000000" w:rsidDel="00000000" w:rsidP="00000000" w:rsidRDefault="00000000" w:rsidRPr="00000000" w14:paraId="0000000A">
      <w:pPr>
        <w:rPr>
          <w:b w:val="1"/>
          <w:bCs w:val="1"/>
          <w:sz w:val="20"/>
          <w:szCs w:val="20"/>
        </w:rPr>
      </w:pPr>
      <w:r w:rsidDel="00000000" w:rsidR="00000000" w:rsidRPr="00000000">
        <w:rPr>
          <w:rtl w:val="0"/>
        </w:rPr>
      </w:r>
    </w:p>
    <w:p w:rsidR="00000000" w:rsidDel="00000000" w:rsidP="00000000" w:rsidRDefault="00000000" w:rsidRPr="00000000" w14:paraId="0000000B">
      <w:pPr>
        <w:rPr>
          <w:b w:val="1"/>
          <w:bCs w:val="1"/>
          <w:sz w:val="20"/>
          <w:szCs w:val="20"/>
        </w:rPr>
      </w:pPr>
      <w:r w:rsidDel="00000000" w:rsidR="00000000" w:rsidRPr="00000000">
        <w:rPr>
          <w:b w:val="1"/>
          <w:bCs w:val="1"/>
          <w:sz w:val="20"/>
          <w:szCs w:val="20"/>
          <w:rtl w:val="0"/>
        </w:rPr>
        <w:t xml:space="preserve">Deep Learning Solution</w:t>
      </w:r>
    </w:p>
    <w:p w:rsidR="00000000" w:rsidDel="00000000" w:rsidP="00000000" w:rsidRDefault="00000000" w:rsidRPr="00000000" w14:paraId="0000000C">
      <w:pPr>
        <w:jc w:val="both"/>
        <w:rPr>
          <w:b w:val="1"/>
          <w:bCs w:val="1"/>
          <w:sz w:val="20"/>
          <w:szCs w:val="20"/>
        </w:rPr>
      </w:pPr>
      <w:r w:rsidDel="00000000" w:rsidR="00000000" w:rsidRPr="00000000">
        <w:rPr>
          <w:sz w:val="20"/>
          <w:szCs w:val="20"/>
          <w:rtl w:val="0"/>
        </w:rPr>
        <w:t xml:space="preserve">The goal of this project is to create a transliteration application between Palestinian Arabic and </w:t>
      </w:r>
      <w:r w:rsidDel="00000000" w:rsidR="00000000" w:rsidRPr="00000000">
        <w:rPr>
          <w:sz w:val="20"/>
          <w:szCs w:val="20"/>
          <w:rtl w:val="0"/>
        </w:rPr>
        <w:t xml:space="preserve">Arabizi using a deep neural network model</w:t>
      </w:r>
      <w:r w:rsidDel="00000000" w:rsidR="00000000" w:rsidRPr="00000000">
        <w:rPr>
          <w:sz w:val="20"/>
          <w:szCs w:val="20"/>
          <w:rtl w:val="0"/>
        </w:rPr>
        <w:t xml:space="preserve">. The project will use NYU’s Maknuune dataset of 36 thousand Palestinian words and phrases transliterated into </w:t>
      </w:r>
      <w:r w:rsidDel="00000000" w:rsidR="00000000" w:rsidRPr="00000000">
        <w:rPr>
          <w:sz w:val="20"/>
          <w:szCs w:val="20"/>
          <w:rtl w:val="0"/>
        </w:rPr>
        <w:t xml:space="preserve">Arabizi</w:t>
      </w:r>
      <w:r w:rsidDel="00000000" w:rsidR="00000000" w:rsidRPr="00000000">
        <w:rPr>
          <w:sz w:val="20"/>
          <w:szCs w:val="20"/>
          <w:rtl w:val="0"/>
        </w:rPr>
        <w:t xml:space="preserve">.</w:t>
      </w:r>
      <w:r w:rsidDel="00000000" w:rsidR="00000000" w:rsidRPr="00000000">
        <w:rPr>
          <w:sz w:val="20"/>
          <w:szCs w:val="20"/>
          <w:vertAlign w:val="superscript"/>
        </w:rPr>
        <w:footnoteReference w:customMarkFollows="0" w:id="6"/>
      </w:r>
      <w:r w:rsidDel="00000000" w:rsidR="00000000" w:rsidRPr="00000000">
        <w:rPr>
          <w:sz w:val="20"/>
          <w:szCs w:val="20"/>
          <w:rtl w:val="0"/>
        </w:rPr>
        <w:t xml:space="preserve"> This project will solely focus Palestinian Arabic due to the aforementioned diversity of the Arabic language but can serve as a model for other dialects to be integrated into a comprehensive </w:t>
      </w:r>
      <w:r w:rsidDel="00000000" w:rsidR="00000000" w:rsidRPr="00000000">
        <w:rPr>
          <w:i w:val="1"/>
          <w:iCs w:val="1"/>
          <w:sz w:val="20"/>
          <w:szCs w:val="20"/>
          <w:rtl w:val="0"/>
        </w:rPr>
        <w:t xml:space="preserve">Arabizi</w:t>
      </w:r>
      <w:r w:rsidDel="00000000" w:rsidR="00000000" w:rsidRPr="00000000">
        <w:rPr>
          <w:sz w:val="20"/>
          <w:szCs w:val="20"/>
          <w:rtl w:val="0"/>
        </w:rPr>
        <w:t xml:space="preserve"> transliteration toolkit.</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D">
      <w:pPr>
        <w:jc w:val="both"/>
        <w:rPr>
          <w:b w:val="1"/>
          <w:bCs w:val="1"/>
          <w:sz w:val="20"/>
          <w:szCs w:val="20"/>
        </w:rPr>
      </w:pPr>
      <w:r w:rsidDel="00000000" w:rsidR="00000000" w:rsidRPr="00000000">
        <w:rPr>
          <w:rtl w:val="0"/>
        </w:rPr>
      </w:r>
    </w:p>
    <w:p w:rsidR="00000000" w:rsidDel="00000000" w:rsidP="00000000" w:rsidRDefault="00000000" w:rsidRPr="00000000" w14:paraId="0000000E">
      <w:pPr>
        <w:spacing w:after="240" w:lineRule="auto"/>
        <w:jc w:val="both"/>
        <w:rPr>
          <w:sz w:val="20"/>
          <w:szCs w:val="20"/>
        </w:rPr>
      </w:pPr>
      <w:r w:rsidDel="00000000" w:rsidR="00000000" w:rsidRPr="00000000">
        <w:rPr>
          <w:sz w:val="20"/>
          <w:szCs w:val="20"/>
          <w:rtl w:val="0"/>
        </w:rPr>
        <w:t xml:space="preserve">The transliteration system will be implemented as a character-level encoder–decoder Transformer modeled on the structure of the referenced training code and its companion repository, which break the architecture into reusable components such as sentence embedding, positional encoding, multi-head attention, encoder layers, decoder layers, and a final Transformer module.</w:t>
      </w:r>
      <w:r w:rsidDel="00000000" w:rsidR="00000000" w:rsidRPr="00000000">
        <w:rPr>
          <w:sz w:val="20"/>
          <w:szCs w:val="20"/>
          <w:vertAlign w:val="superscript"/>
        </w:rPr>
        <w:footnoteReference w:customMarkFollows="0" w:id="7"/>
      </w:r>
      <w:r w:rsidDel="00000000" w:rsidR="00000000" w:rsidRPr="00000000">
        <w:rPr>
          <w:sz w:val="20"/>
          <w:szCs w:val="20"/>
          <w:rtl w:val="0"/>
        </w:rPr>
        <w:t xml:space="preserve"> In this project, those same components will be adapted so that the source sequence is a word or form in Arabic script and the target sequence is its aligned Latin-script transliteration, with a parallel experiment potentially trained in the reverse direction as well. </w:t>
      </w:r>
    </w:p>
    <w:p w:rsidR="00000000" w:rsidDel="00000000" w:rsidP="00000000" w:rsidRDefault="00000000" w:rsidRPr="00000000" w14:paraId="0000000F">
      <w:pPr>
        <w:spacing w:after="240" w:lineRule="auto"/>
        <w:jc w:val="both"/>
        <w:rPr>
          <w:sz w:val="20"/>
          <w:szCs w:val="20"/>
        </w:rPr>
      </w:pPr>
      <w:r w:rsidDel="00000000" w:rsidR="00000000" w:rsidRPr="00000000">
        <w:rPr>
          <w:sz w:val="20"/>
          <w:szCs w:val="20"/>
          <w:rtl w:val="0"/>
        </w:rPr>
        <w:t xml:space="preserve">At the model level, the encoder will transform the input character embeddings with positional encodings and stacked self-attention blocks so that the representation preserves both symbol identity and sequence order. The decoder will use masked self-attention over the partially generated output and cross-attention over the encoder states in order to predict the next target character autoregressively. This design is appropriate for transliteration because it can learn non-linear many-to-many mappings between scripts, including cases where one Arabic character corresponds to multiple Latin characters or where the correct output depends on neighboring context. The implementation will be trained with teacher forcing and cross-entropy loss, and model development will include tuning of hyperparameters such as embedding dimension, number of attention heads, number of encoder/decoder layers, dropout, learning rate, batch size, and maximum sequence length.</w:t>
      </w:r>
    </w:p>
    <w:p w:rsidR="00000000" w:rsidDel="00000000" w:rsidP="00000000" w:rsidRDefault="00000000" w:rsidRPr="00000000" w14:paraId="00000010">
      <w:pPr>
        <w:spacing w:after="240" w:before="240" w:lineRule="auto"/>
        <w:jc w:val="both"/>
        <w:rPr>
          <w:sz w:val="20"/>
          <w:szCs w:val="20"/>
        </w:rPr>
      </w:pPr>
      <w:r w:rsidDel="00000000" w:rsidR="00000000" w:rsidRPr="00000000">
        <w:rPr>
          <w:sz w:val="20"/>
          <w:szCs w:val="20"/>
          <w:rtl w:val="0"/>
        </w:rPr>
        <w:t xml:space="preserve">Experimentally, the dataset will be split into training, validation, and held-out test partitions, and model selection will be based on validation performance. The final system will be evaluated using exact-match accuracy, character error rate or edit distance, and targeted qualitative error analysis on difficult transliteration cases, such as dialect-sensitive spellings or ambiguous Latin representations. This framework follows a standard Transformer sequence-transduction workflow while remaining computationally manageable for a course project, and it provides a principled basis for comparing the Transformer against a simpler recurrent baseline such as an LSTM encoder–decoder.</w:t>
      </w:r>
    </w:p>
    <w:p w:rsidR="00000000" w:rsidDel="00000000" w:rsidP="00000000" w:rsidRDefault="00000000" w:rsidRPr="00000000" w14:paraId="00000011">
      <w:pPr>
        <w:jc w:val="both"/>
        <w:rPr>
          <w:b w:val="1"/>
          <w:bCs w:val="1"/>
          <w:sz w:val="20"/>
          <w:szCs w:val="20"/>
        </w:rPr>
      </w:pPr>
      <w:r w:rsidDel="00000000" w:rsidR="00000000" w:rsidRPr="00000000">
        <w:rPr>
          <w:rtl w:val="0"/>
        </w:rPr>
      </w:r>
    </w:p>
    <w:p w:rsidR="00000000" w:rsidDel="00000000" w:rsidP="00000000" w:rsidRDefault="00000000" w:rsidRPr="00000000" w14:paraId="00000012">
      <w:pPr>
        <w:jc w:val="both"/>
        <w:rPr>
          <w:b w:val="1"/>
          <w:bCs w:val="1"/>
          <w:sz w:val="20"/>
          <w:szCs w:val="20"/>
        </w:rPr>
      </w:pPr>
      <w:r w:rsidDel="00000000" w:rsidR="00000000" w:rsidRPr="00000000">
        <w:rPr>
          <w:b w:val="1"/>
          <w:bCs w:val="1"/>
          <w:sz w:val="20"/>
          <w:szCs w:val="20"/>
          <w:rtl w:val="0"/>
        </w:rPr>
        <w:t xml:space="preserve">Project Workplan</w:t>
      </w:r>
    </w:p>
    <w:p w:rsidR="00000000" w:rsidDel="00000000" w:rsidP="00000000" w:rsidRDefault="00000000" w:rsidRPr="00000000" w14:paraId="00000013">
      <w:pPr>
        <w:jc w:val="both"/>
        <w:rPr>
          <w:sz w:val="20"/>
          <w:szCs w:val="20"/>
        </w:rPr>
      </w:pPr>
      <w:r w:rsidDel="00000000" w:rsidR="00000000" w:rsidRPr="00000000">
        <w:rPr>
          <w:sz w:val="20"/>
          <w:szCs w:val="20"/>
          <w:rtl w:val="0"/>
        </w:rPr>
        <w:t xml:space="preserve">First, the Maknuune dataset will be cleaned and prepared by selecting the relevant Arabic-script and transliteration fields, removing incomplete or duplicate entries, and standardizing inconsistent formatting. Next, the data will be preprocessed into aligned input-output pairs and split into training, validation, and test sets. After that, the project will implement a baseline character-level sequence-to-sequence model, likely using an LSTM encoder-decoder architecture, to establish initial transliteration performance. A more advanced model, such as a Transformer-based sequence-to-sequence system, will then be trained and compared against the baseline. Final model selection will be based on validation performance, and the chosen model will be evaluated on the held-out test set using accuracy, edit distance, and qualitative error analysis. This workflow will make it possible to identify the most effective architecture for transliterating between Arabic script and Latin-character representations.</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16">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A. Shazal, A. Usman, and N. Habash, “A Unified Model for Arabizi Detection and Transliteration using Sequence-to-Sequence Models,” in </w:t>
      </w:r>
      <w:r w:rsidDel="00000000" w:rsidR="00000000" w:rsidRPr="00000000">
        <w:rPr>
          <w:i w:val="1"/>
          <w:iCs w:val="1"/>
          <w:sz w:val="16"/>
          <w:szCs w:val="16"/>
          <w:rtl w:val="0"/>
        </w:rPr>
        <w:t xml:space="preserve">Proceedings of the Fifth Workshop on Arabic Natural Language Processing</w:t>
      </w:r>
      <w:r w:rsidDel="00000000" w:rsidR="00000000" w:rsidRPr="00000000">
        <w:rPr>
          <w:sz w:val="16"/>
          <w:szCs w:val="16"/>
          <w:rtl w:val="0"/>
        </w:rPr>
        <w:t xml:space="preserve">, 2020, pp. 167–177</w:t>
      </w:r>
    </w:p>
  </w:footnote>
  <w:footnote w:id="2">
    <w:p w:rsidR="00000000" w:rsidDel="00000000" w:rsidP="00000000" w:rsidRDefault="00000000" w:rsidRPr="00000000" w14:paraId="00000017">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B. Alhafni, M. Alam, and N. Habash, “Exploiting Dialect Identification in Automatic Arabic Dialect Normalization,” in </w:t>
      </w:r>
      <w:r w:rsidDel="00000000" w:rsidR="00000000" w:rsidRPr="00000000">
        <w:rPr>
          <w:i w:val="1"/>
          <w:iCs w:val="1"/>
          <w:sz w:val="16"/>
          <w:szCs w:val="16"/>
          <w:rtl w:val="0"/>
        </w:rPr>
        <w:t xml:space="preserve">Proceedings of the First Arabic Natural Language Processing Conference</w:t>
      </w:r>
      <w:r w:rsidDel="00000000" w:rsidR="00000000" w:rsidRPr="00000000">
        <w:rPr>
          <w:sz w:val="16"/>
          <w:szCs w:val="16"/>
          <w:rtl w:val="0"/>
        </w:rPr>
        <w:t xml:space="preserve">, 2024 </w:t>
      </w:r>
    </w:p>
  </w:footnote>
  <w:footnote w:id="3">
    <w:p w:rsidR="00000000" w:rsidDel="00000000" w:rsidP="00000000" w:rsidRDefault="00000000" w:rsidRPr="00000000" w14:paraId="00000018">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M. Zakhir and J. L. O’Brien, “French neo-colonial influence on Moroccan language education policy: A study of current status of standard Arabic in science disciplines,” </w:t>
      </w:r>
      <w:r w:rsidDel="00000000" w:rsidR="00000000" w:rsidRPr="00000000">
        <w:rPr>
          <w:i w:val="1"/>
          <w:iCs w:val="1"/>
          <w:sz w:val="16"/>
          <w:szCs w:val="16"/>
          <w:rtl w:val="0"/>
        </w:rPr>
        <w:t xml:space="preserve">Language Policy</w:t>
      </w:r>
      <w:r w:rsidDel="00000000" w:rsidR="00000000" w:rsidRPr="00000000">
        <w:rPr>
          <w:sz w:val="16"/>
          <w:szCs w:val="16"/>
          <w:rtl w:val="0"/>
        </w:rPr>
        <w:t xml:space="preserve">, vol. 16, pp. 39–58, 2017. </w:t>
      </w:r>
    </w:p>
  </w:footnote>
  <w:footnote w:id="4">
    <w:p w:rsidR="00000000" w:rsidDel="00000000" w:rsidP="00000000" w:rsidRDefault="00000000" w:rsidRPr="00000000" w14:paraId="00000019">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A. Shazal, A. Usman, and N. Habash, “A Unified Model for Arabizi Detection and Transliteration using Sequence-to-Sequence Models,” in </w:t>
      </w:r>
      <w:r w:rsidDel="00000000" w:rsidR="00000000" w:rsidRPr="00000000">
        <w:rPr>
          <w:i w:val="1"/>
          <w:iCs w:val="1"/>
          <w:sz w:val="16"/>
          <w:szCs w:val="16"/>
          <w:rtl w:val="0"/>
        </w:rPr>
        <w:t xml:space="preserve">Proceedings of the Fifth Arabic Natural Language Processing Workshop</w:t>
      </w:r>
      <w:r w:rsidDel="00000000" w:rsidR="00000000" w:rsidRPr="00000000">
        <w:rPr>
          <w:sz w:val="16"/>
          <w:szCs w:val="16"/>
          <w:rtl w:val="0"/>
        </w:rPr>
        <w:t xml:space="preserve">, Barcelona, Spain (Online), 2020, pp. 167–177</w:t>
      </w:r>
    </w:p>
  </w:footnote>
  <w:footnote w:id="5">
    <w:p w:rsidR="00000000" w:rsidDel="00000000" w:rsidP="00000000" w:rsidRDefault="00000000" w:rsidRPr="00000000" w14:paraId="0000001A">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B. Jackson, The Challenge of Domestic Intelligence in a Free Society. Santa Monica, CA, USA: RAND Corporation, 2009.</w:t>
      </w:r>
    </w:p>
  </w:footnote>
  <w:footnote w:id="0">
    <w:p w:rsidR="00000000" w:rsidDel="00000000" w:rsidP="00000000" w:rsidRDefault="00000000" w:rsidRPr="00000000" w14:paraId="0000001B">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A. Alsulami, “A Sociolinguistic Analysis of the Use of Arabizi in Social Media Among Saudi Arabians,” </w:t>
      </w:r>
      <w:r w:rsidDel="00000000" w:rsidR="00000000" w:rsidRPr="00000000">
        <w:rPr>
          <w:i w:val="1"/>
          <w:iCs w:val="1"/>
          <w:sz w:val="16"/>
          <w:szCs w:val="16"/>
          <w:rtl w:val="0"/>
        </w:rPr>
        <w:t xml:space="preserve">International Journal of English Linguistics</w:t>
      </w:r>
      <w:r w:rsidDel="00000000" w:rsidR="00000000" w:rsidRPr="00000000">
        <w:rPr>
          <w:sz w:val="16"/>
          <w:szCs w:val="16"/>
          <w:rtl w:val="0"/>
        </w:rPr>
        <w:t xml:space="preserve">, vol. 9, no. 6, pp. 257–267, 2019. doi: 10.5539/ijel.v9n6p257</w:t>
      </w:r>
    </w:p>
  </w:footnote>
  <w:footnote w:id="6">
    <w:p w:rsidR="00000000" w:rsidDel="00000000" w:rsidP="00000000" w:rsidRDefault="00000000" w:rsidRPr="00000000" w14:paraId="0000001C">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“Palestine Lexicon,” Google Sites. [Online]. Available: https://sites.google.com/nyu.edu/palestine-lexicon/home. [Accessed: Apr. 7, 2026].</w:t>
      </w:r>
    </w:p>
  </w:footnote>
  <w:footnote w:id="7">
    <w:p w:rsidR="00000000" w:rsidDel="00000000" w:rsidP="00000000" w:rsidRDefault="00000000" w:rsidRPr="00000000" w14:paraId="0000001D">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A. Halthor, “Transformer-Neural-Network,” GitHub repository. [Online]. Available: https://github.com/ajhalthor/Transformer-Neural-Network. [Accessed: Apr. 7, 2026].</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sz w:val="20"/>
        <w:szCs w:val="20"/>
      </w:rPr>
    </w:pPr>
    <w:r w:rsidDel="00000000" w:rsidR="00000000" w:rsidRPr="00000000">
      <w:rPr>
        <w:sz w:val="20"/>
        <w:szCs w:val="20"/>
        <w:rtl w:val="0"/>
      </w:rPr>
      <w:t xml:space="preserve">Kyle Goeckner-Wald</w:t>
    </w:r>
  </w:p>
  <w:p w:rsidR="00000000" w:rsidDel="00000000" w:rsidP="00000000" w:rsidRDefault="00000000" w:rsidRPr="00000000" w14:paraId="00000015">
    <w:pPr>
      <w:rPr>
        <w:sz w:val="20"/>
        <w:szCs w:val="20"/>
      </w:rPr>
    </w:pPr>
    <w:r w:rsidDel="00000000" w:rsidR="00000000" w:rsidRPr="00000000">
      <w:rPr>
        <w:sz w:val="20"/>
        <w:szCs w:val="20"/>
        <w:rtl w:val="0"/>
      </w:rPr>
      <w:t xml:space="preserve">Introduction to Deep Learning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