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Alcohol</w:t>
      </w:r>
      <w:r>
        <w:t xml:space="preserve"> </w:t>
      </w:r>
      <w:r>
        <w:t xml:space="preserve">consumption</w:t>
      </w:r>
      <w:r>
        <w:t xml:space="preserve"> </w:t>
      </w:r>
      <w:r>
        <w:t xml:space="preserve">and</w:t>
      </w:r>
      <w:r>
        <w:t xml:space="preserve"> </w:t>
      </w:r>
      <w:r>
        <w:t xml:space="preserve">Latent</w:t>
      </w:r>
      <w:r>
        <w:t xml:space="preserve"> </w:t>
      </w:r>
      <w:r>
        <w:t xml:space="preserve">TB</w:t>
      </w:r>
      <w:r>
        <w:t xml:space="preserve"> </w:t>
      </w:r>
      <w:r>
        <w:t xml:space="preserve">in</w:t>
      </w:r>
      <w:r>
        <w:t xml:space="preserve"> </w:t>
      </w:r>
      <w:r>
        <w:t xml:space="preserve">Kampala</w:t>
      </w:r>
    </w:p>
    <w:p>
      <w:pPr>
        <w:pStyle w:val="Author"/>
      </w:pPr>
      <w:r>
        <w:t xml:space="preserve">Patrick</w:t>
      </w:r>
      <w:r>
        <w:t xml:space="preserve"> </w:t>
      </w:r>
      <w:r>
        <w:t xml:space="preserve">Kaggwa</w:t>
      </w:r>
    </w:p>
    <w:p>
      <w:pPr>
        <w:pStyle w:val="Date"/>
      </w:pPr>
      <w:r>
        <w:t xml:space="preserve">2024-02-24</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4" w:name="introduction"/>
    <w:p>
      <w:pPr>
        <w:pStyle w:val="Heading1"/>
      </w:pPr>
      <w:r>
        <w:t xml:space="preserve">2. Introduction</w:t>
      </w:r>
    </w:p>
    <w:p>
      <w:pPr>
        <w:pStyle w:val="FirstParagraph"/>
      </w:pPr>
      <w:r>
        <w:t xml:space="preserve">The global burden of tuberculosis (TB) is high and it is the world’s second leading cause of death from a single infectious agent, after coronavirus disease@WHO2023. It reached its peak in 2000 and has since declined by a modest 1.5% annually, falling short of the Millennial Development Goals for TB elimination by 2035. Despite efforts carried out it’s still a challenge, one-quarter of the world’s population is infected with Latent TB(LTBI)</w:t>
      </w:r>
      <w:r>
        <w:t xml:space="preserve">(</w:t>
      </w:r>
      <w:r>
        <w:rPr>
          <w:bCs/>
          <w:b/>
        </w:rPr>
        <w:t xml:space="preserve">Houben2016?</w:t>
      </w:r>
      <w:r>
        <w:t xml:space="preserve">)</w:t>
      </w:r>
      <w:r>
        <w:t xml:space="preserve">. Uganda is one of the highest sub-Saharan countries with a prevalence of TB 764/100,000 persons in the past two years@WHO2023. It is not feasible to treat all individuals with LTBI, so strategies have been developed to identify factors associated with LTBI and they should be identified and dealt with to reduce the risk for progressing to TB disease. Currently, Uganda’s goal is the identify TB cases and provide treatment but does not track LTBI in the community hence remaining a big burden to the country@Alcover2022@Felix@Muyindike. In the broader context of TB research, a growing body of literature explores various risk factors influencing the progression from LTBI to active disease@Yap2018. The aim is to assess the association between alcohol consumption and the risk of developing LTBI. As global drug use and alcohol consumption have increased and TB remains important, understanding the risk between these two factors holds major implications for public health strategies and interventions@Nwana2019.</w:t>
      </w:r>
    </w:p>
    <w:bookmarkStart w:id="21" w:name="general-background-information"/>
    <w:p>
      <w:pPr>
        <w:pStyle w:val="Heading2"/>
      </w:pPr>
      <w:r>
        <w:t xml:space="preserve">2.1 General Background Information</w:t>
      </w:r>
    </w:p>
    <w:p>
      <w:pPr>
        <w:pStyle w:val="FirstParagraph"/>
      </w:pPr>
      <w:r>
        <w:t xml:space="preserve">Understanding the link between alcohol consumption and TB infection is crucial for public health, as alcohol may influence the immune system and increase susceptibility to infectious diseases. Similar analyses have been conducted in different populations, but this study in Kampala, Uganda, provides valuable insights into a region with unique characteristics and challenges.</w:t>
      </w:r>
    </w:p>
    <w:bookmarkEnd w:id="21"/>
    <w:bookmarkStart w:id="22" w:name="description-of-data-and-data-source"/>
    <w:p>
      <w:pPr>
        <w:pStyle w:val="Heading2"/>
      </w:pPr>
      <w:r>
        <w:t xml:space="preserve">2.2 Description of data and data source</w:t>
      </w:r>
    </w:p>
    <w:p>
      <w:pPr>
        <w:pStyle w:val="FirstParagraph"/>
      </w:pPr>
      <w:r>
        <w:t xml:space="preserve">The data comes from an going prospective cohort study conducted in Kampala, Uganda, involving 902 adults aged 15 to 65 years without evidence of previous infection with Mycobacterium tuberculosis (Mtb). The participants were recruited through community tuberculin skin test (TST) surveys and HIV/TB Care Clinics. Data collection included baseline evaluations, quarterly follow-ups for up to 18 months, questionnaires on TB exposure and alcohol consumption, and blood samples for Interferon Gamma Release Assay (IGRA) testing.</w:t>
      </w:r>
    </w:p>
    <w:bookmarkEnd w:id="22"/>
    <w:bookmarkStart w:id="23" w:name="questionshypotheses-to-be-addressed"/>
    <w:p>
      <w:pPr>
        <w:pStyle w:val="Heading2"/>
      </w:pPr>
      <w:r>
        <w:t xml:space="preserve">2.3 Questions/Hypotheses to be addressed</w:t>
      </w:r>
    </w:p>
    <w:p>
      <w:pPr>
        <w:pStyle w:val="FirstParagraph"/>
      </w:pPr>
      <w:r>
        <w:t xml:space="preserve">What is the association between demographic factors and incidence of latent TB infection?</w:t>
      </w:r>
    </w:p>
    <w:p>
      <w:pPr>
        <w:pStyle w:val="BodyText"/>
      </w:pPr>
      <w:r>
        <w:t xml:space="preserve">What is the relationship between alcohol consumption and the incidence of latent TB infection?</w:t>
      </w:r>
    </w:p>
    <w:p>
      <w:r>
        <w:br w:type="page"/>
      </w:r>
    </w:p>
    <w:bookmarkEnd w:id="23"/>
    <w:bookmarkEnd w:id="24"/>
    <w:bookmarkStart w:id="33" w:name="methods"/>
    <w:p>
      <w:pPr>
        <w:pStyle w:val="Heading1"/>
      </w:pPr>
      <w:r>
        <w:t xml:space="preserve">3. Methods</w:t>
      </w:r>
    </w:p>
    <w:bookmarkStart w:id="25" w:name="study-design"/>
    <w:p>
      <w:pPr>
        <w:pStyle w:val="Heading2"/>
      </w:pPr>
      <w:r>
        <w:t xml:space="preserve">3.1 Study Design</w:t>
      </w:r>
    </w:p>
    <w:p>
      <w:pPr>
        <w:pStyle w:val="FirstParagraph"/>
      </w:pPr>
      <w:r>
        <w:t xml:space="preserve">A prospective cohort study of 902 adults from the Kawempe and Rubaga divisions of Kampala, Uganda, without evidence for previous infection with Mtb, to estimate the incidence of Mtb infection. Eligible residents who are between the ages of 15 and 65 years were enrolled following informed consent. Study participants were evaluated at baseline then followed quarterly for up to 18 months. During the quarterly visits, participants completed questionnaires regarding exposure to TB, alcohol consumption, and gave a blood sample for Interferon Gamma Release Assay (IGRA) testing.</w:t>
      </w:r>
    </w:p>
    <w:bookmarkEnd w:id="25"/>
    <w:bookmarkStart w:id="26" w:name="study-population-and-setting"/>
    <w:p>
      <w:pPr>
        <w:pStyle w:val="Heading2"/>
      </w:pPr>
      <w:r>
        <w:t xml:space="preserve">3.2 Study Population and Setting</w:t>
      </w:r>
    </w:p>
    <w:p>
      <w:pPr>
        <w:pStyle w:val="FirstParagraph"/>
      </w:pPr>
      <w:r>
        <w:t xml:space="preserve">The study was conducted in the Kawempe and Rubaga Divisions of Kampala, and contiguous parishes. The total population of Rubaga is approximately 383,216 people based on a 2014 census. Kawempe is adjacent to Rubaga. It comprises 19 parishes and 740 villages that are political units headed by a Local Council</w:t>
      </w:r>
    </w:p>
    <w:bookmarkEnd w:id="26"/>
    <w:bookmarkStart w:id="29" w:name="inclusion-and-exclusion-criteria"/>
    <w:p>
      <w:pPr>
        <w:pStyle w:val="Heading2"/>
      </w:pPr>
      <w:r>
        <w:t xml:space="preserve">3.3 Inclusion and Exclusion Criteria</w:t>
      </w:r>
    </w:p>
    <w:bookmarkStart w:id="27" w:name="inclusion"/>
    <w:p>
      <w:pPr>
        <w:pStyle w:val="Heading3"/>
      </w:pPr>
      <w:r>
        <w:t xml:space="preserve">3.3.1 Inclusion</w:t>
      </w:r>
    </w:p>
    <w:p>
      <w:pPr>
        <w:pStyle w:val="FirstParagraph"/>
      </w:pPr>
      <w:r>
        <w:t xml:space="preserve">No evidence of Mtb infection TST &lt; 5 mm QFT negative Asymptomatic for symptoms of active TB</w:t>
      </w:r>
    </w:p>
    <w:bookmarkEnd w:id="27"/>
    <w:bookmarkStart w:id="28" w:name="exclusion"/>
    <w:p>
      <w:pPr>
        <w:pStyle w:val="Heading3"/>
      </w:pPr>
      <w:r>
        <w:t xml:space="preserve">3.3.2 Exclusion</w:t>
      </w:r>
    </w:p>
    <w:p>
      <w:pPr>
        <w:pStyle w:val="FirstParagraph"/>
      </w:pPr>
      <w:r>
        <w:t xml:space="preserve">Children, residents &lt; 15 years Active or subclinical TB Previously treated for TB Previously treated for LTBI and Immunosuppresive medication</w:t>
      </w:r>
    </w:p>
    <w:p>
      <w:pPr>
        <w:pStyle w:val="BodyText"/>
      </w:pPr>
      <w:r>
        <w:rPr>
          <w:bCs/>
          <w:b/>
        </w:rPr>
        <w:t xml:space="preserve">Recruitment, Screening, and Enrollment</w:t>
      </w:r>
    </w:p>
    <w:p>
      <w:pPr>
        <w:pStyle w:val="BodyText"/>
      </w:pPr>
      <w:r>
        <w:t xml:space="preserve">The study participants were be recruited through community TST surveys and HIV/TB Care Clinics in the catchment area. The enrollment into the study involved a 2-step process of screening then enrollment (Figure 1).</w:t>
      </w:r>
    </w:p>
    <w:p>
      <w:pPr>
        <w:pStyle w:val="BodyText"/>
      </w:pPr>
      <w:r>
        <w:t xml:space="preserve">A separate consent form was signed for each step in this process. After signing an informed consent for screening, prospective participant completed a short questionnaire to determine exclusionary criteria. Those that met any exclusionary criteria were referred to the local health care system, whereas the remaining individuals proceeded with screening. Among those not excluded, a baseline blood sample was taken for testing with an IGRA. Only after taking the blood sample, a TST was placed and read by the field team between 48 and 72 hours later. Those screened with a TST &lt; 5 mm continued in the study, whereas those with TST ≥ 5 mm were referred to the local health care system for further TB risk evaluation and TB preventive therapy (TPT) as indicated. Participants with a TST &lt; 5 mm and negative IGRA met all study criteria continued in the study (Figure 1) for the duration of follow-up. Follow-up evaluations were performed quarterly up to 18 months. During these visits, field workers measured current exposure risk to M. tuberculosis, signs and symptoms of active TB disease. At each visit, blood samples was taken at each visit for immunologic analysis. Questionnaires were used to collect relevant data on demographics, health status, and overall experiences. Questionnaires were completed in-person or via phone.</w:t>
      </w:r>
    </w:p>
    <w:bookmarkEnd w:id="28"/>
    <w:bookmarkEnd w:id="29"/>
    <w:bookmarkStart w:id="30" w:name="data-aquisition"/>
    <w:p>
      <w:pPr>
        <w:pStyle w:val="Heading2"/>
      </w:pPr>
      <w:r>
        <w:t xml:space="preserve">3.4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0"/>
    <w:bookmarkStart w:id="31" w:name="data-import-and-cleaning"/>
    <w:p>
      <w:pPr>
        <w:pStyle w:val="Heading2"/>
      </w:pPr>
      <w:r>
        <w:t xml:space="preserve">3.5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1"/>
    <w:bookmarkStart w:id="32" w:name="statistical-analysis"/>
    <w:p>
      <w:pPr>
        <w:pStyle w:val="Heading2"/>
      </w:pPr>
      <w:r>
        <w:t xml:space="preserve">3.6 Statistical analysis</w:t>
      </w:r>
    </w:p>
    <w:p>
      <w:pPr>
        <w:pStyle w:val="FirstParagraph"/>
      </w:pPr>
      <w:r>
        <w:rPr>
          <w:iCs/>
          <w:i/>
        </w:rPr>
        <w:t xml:space="preserve">Explain anything related to your statistical analyses.</w:t>
      </w:r>
    </w:p>
    <w:p>
      <w:r>
        <w:br w:type="page"/>
      </w:r>
    </w:p>
    <w:bookmarkEnd w:id="32"/>
    <w:bookmarkEnd w:id="33"/>
    <w:bookmarkStart w:id="47" w:name="results"/>
    <w:p>
      <w:pPr>
        <w:pStyle w:val="Heading1"/>
      </w:pPr>
      <w:r>
        <w:t xml:space="preserve">4. Results</w:t>
      </w:r>
    </w:p>
    <w:bookmarkStart w:id="44" w:name="exploratorydescriptive-analysis"/>
    <w:p>
      <w:pPr>
        <w:pStyle w:val="Heading2"/>
      </w:pPr>
      <w:r>
        <w:t xml:space="preserve">4.1 Exploratory/Descriptive analysis</w:t>
      </w:r>
    </w:p>
    <w:p>
      <w:pPr>
        <w:pStyle w:val="FirstParagraph"/>
      </w:pPr>
      <w:r>
        <w:t xml:space="preserve">Data analysis was conducted using R Studio version RStudio 2023.09.1.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w:t>
      </w:r>
    </w:p>
    <w:tbl>
      <w:tblPr>
        <w:tblStyle w:val="Table"/>
        <w:tblW w:type="pct" w:w="5000"/>
        <w:tblLook w:firstRow="0" w:lastRow="0" w:firstColumn="0" w:lastColumn="0" w:noHBand="0" w:noVBand="0" w:val="0000"/>
        <w:jc w:val="start"/>
        <w:tblLayout w:type="fixed"/>
      </w:tblPr>
      <w:tblGrid>
        <w:gridCol w:w="7920"/>
      </w:tblGrid>
      <w:tr>
        <w:tc>
          <w:tcPr/>
          <w:bookmarkStart w:id="34" w:name="tbl-summarytable"/>
          <w:p>
            <w:pPr>
              <w:jc w:val="center"/>
            </w:pPr>
            <w:pPr>
              <w:jc w:val="start"/>
              <w:spacing w:before="200"/>
              <w:pStyle w:val="ImageCaption"/>
            </w:pPr>
            <w:r>
              <w:t xml:space="preserve">Table 1: Data summary table.</w:t>
            </w:r>
          </w:p>
          <w:tbl>
            <w:tblPr>
              <w:tblStyle w:val="Table"/>
              <w:tblW w:type="pct" w:w="5000"/>
              <w:tblLook w:firstRow="1" w:lastRow="0" w:firstColumn="0" w:lastColumn="0" w:noHBand="0" w:noVBand="0" w:val="0020"/>
              <w:jc w:val="start"/>
              <w:tblLayout w:type="fixed"/>
            </w:tblPr>
            <w:tblGrid>
              <w:gridCol w:w="308"/>
              <w:gridCol w:w="616"/>
              <w:gridCol w:w="308"/>
              <w:gridCol w:w="431"/>
              <w:gridCol w:w="338"/>
              <w:gridCol w:w="338"/>
              <w:gridCol w:w="369"/>
              <w:gridCol w:w="431"/>
              <w:gridCol w:w="462"/>
              <w:gridCol w:w="493"/>
              <w:gridCol w:w="832"/>
              <w:gridCol w:w="400"/>
              <w:gridCol w:w="338"/>
              <w:gridCol w:w="338"/>
              <w:gridCol w:w="369"/>
              <w:gridCol w:w="369"/>
              <w:gridCol w:w="369"/>
              <w:gridCol w:w="400"/>
              <w:gridCol w:w="40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Date.min</w:t>
                  </w:r>
                </w:p>
              </w:tc>
              <w:tc>
                <w:tcPr/>
                <w:p>
                  <w:pPr>
                    <w:pStyle w:val="Compact"/>
                    <w:jc w:val="left"/>
                    <w:jc w:val="center"/>
                  </w:pPr>
                  <w:r>
                    <w:t xml:space="preserve">Date.max</w:t>
                  </w:r>
                </w:p>
              </w:tc>
              <w:tc>
                <w:tcPr/>
                <w:p>
                  <w:pPr>
                    <w:pStyle w:val="Compact"/>
                    <w:jc w:val="left"/>
                    <w:jc w:val="center"/>
                  </w:pPr>
                  <w:r>
                    <w:t xml:space="preserve">Date.median</w:t>
                  </w:r>
                </w:p>
              </w:tc>
              <w:tc>
                <w:tcPr/>
                <w:p>
                  <w:pPr>
                    <w:pStyle w:val="Compact"/>
                    <w:jc w:val="right"/>
                    <w:jc w:val="center"/>
                  </w:pPr>
                  <w:r>
                    <w:t xml:space="preserve">Date.n_unique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Date</w:t>
                  </w:r>
                </w:p>
              </w:tc>
              <w:tc>
                <w:tcPr/>
                <w:p>
                  <w:pPr>
                    <w:pStyle w:val="Compact"/>
                    <w:jc w:val="left"/>
                    <w:jc w:val="center"/>
                  </w:pPr>
                  <w:r>
                    <w:t xml:space="preserve">enrollment_date</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2021-04-09</w:t>
                  </w:r>
                </w:p>
              </w:tc>
              <w:tc>
                <w:tcPr/>
                <w:p>
                  <w:pPr>
                    <w:pStyle w:val="Compact"/>
                    <w:jc w:val="left"/>
                    <w:jc w:val="center"/>
                  </w:pPr>
                  <w:r>
                    <w:t xml:space="preserve">2023-01-16</w:t>
                  </w:r>
                </w:p>
              </w:tc>
              <w:tc>
                <w:tcPr/>
                <w:p>
                  <w:pPr>
                    <w:pStyle w:val="Compact"/>
                    <w:jc w:val="left"/>
                    <w:jc w:val="center"/>
                  </w:pPr>
                  <w:r>
                    <w:t xml:space="preserve">2022-04-07</w:t>
                  </w:r>
                </w:p>
              </w:tc>
              <w:tc>
                <w:tcPr/>
                <w:p>
                  <w:pPr>
                    <w:pStyle w:val="Compact"/>
                    <w:jc w:val="right"/>
                    <w:jc w:val="center"/>
                  </w:pPr>
                  <w:r>
                    <w:t xml:space="preserve">101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Date</w:t>
                  </w:r>
                </w:p>
              </w:tc>
              <w:tc>
                <w:tcPr/>
                <w:p>
                  <w:pPr>
                    <w:pStyle w:val="Compact"/>
                    <w:jc w:val="left"/>
                    <w:jc w:val="center"/>
                  </w:pPr>
                  <w:r>
                    <w:t xml:space="preserve">conversion_date</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2021-07-22</w:t>
                  </w:r>
                </w:p>
              </w:tc>
              <w:tc>
                <w:tcPr/>
                <w:p>
                  <w:pPr>
                    <w:pStyle w:val="Compact"/>
                    <w:jc w:val="left"/>
                    <w:jc w:val="center"/>
                  </w:pPr>
                  <w:r>
                    <w:t xml:space="preserve">2025-05-11</w:t>
                  </w:r>
                </w:p>
              </w:tc>
              <w:tc>
                <w:tcPr/>
                <w:p>
                  <w:pPr>
                    <w:pStyle w:val="Compact"/>
                    <w:jc w:val="left"/>
                    <w:jc w:val="center"/>
                  </w:pPr>
                  <w:r>
                    <w:t xml:space="preserve">2023-05-24</w:t>
                  </w:r>
                </w:p>
              </w:tc>
              <w:tc>
                <w:tcPr/>
                <w:p>
                  <w:pPr>
                    <w:pStyle w:val="Compact"/>
                    <w:jc w:val="right"/>
                    <w:jc w:val="center"/>
                  </w:pPr>
                  <w:r>
                    <w:t xml:space="preserve">215</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sex</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2: 543, 1: 359</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ltbi</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0: 850, 1: 52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alcohol_consumption</w:t>
                  </w:r>
                </w:p>
              </w:tc>
              <w:tc>
                <w:tcPr/>
                <w:p>
                  <w:pPr>
                    <w:pStyle w:val="Compact"/>
                    <w:jc w:val="right"/>
                    <w:jc w:val="center"/>
                  </w:pPr>
                  <w:r>
                    <w:t xml:space="preserve">0</w:t>
                  </w:r>
                </w:p>
              </w:tc>
              <w:tc>
                <w:tcPr/>
                <w:p>
                  <w:pPr>
                    <w:pStyle w:val="Compact"/>
                    <w:jc w:val="right"/>
                    <w:jc w:val="center"/>
                  </w:pPr>
                  <w:r>
                    <w:t xml:space="preserve">1.0000000</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0: 549, 1: 353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hiv_status</w:t>
                  </w:r>
                </w:p>
              </w:tc>
              <w:tc>
                <w:tcPr/>
                <w:p>
                  <w:pPr>
                    <w:pStyle w:val="Compact"/>
                    <w:jc w:val="right"/>
                    <w:jc w:val="center"/>
                  </w:pPr>
                  <w:r>
                    <w:t xml:space="preserve">14</w:t>
                  </w:r>
                </w:p>
              </w:tc>
              <w:tc>
                <w:tcPr/>
                <w:p>
                  <w:pPr>
                    <w:pStyle w:val="Compact"/>
                    <w:jc w:val="right"/>
                    <w:jc w:val="center"/>
                  </w:pPr>
                  <w:r>
                    <w:t xml:space="preserve">0.9844789</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2: 784, 9: 61, 1: 41, 3: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age</w:t>
                  </w:r>
                </w:p>
              </w:tc>
              <w:tc>
                <w:tcPr/>
                <w:p>
                  <w:pPr>
                    <w:pStyle w:val="Compact"/>
                    <w:jc w:val="right"/>
                    <w:jc w:val="center"/>
                  </w:pPr>
                  <w:r>
                    <w:t xml:space="preserve">1</w:t>
                  </w:r>
                </w:p>
              </w:tc>
              <w:tc>
                <w:tcPr/>
                <w:p>
                  <w:pPr>
                    <w:pStyle w:val="Compact"/>
                    <w:jc w:val="right"/>
                    <w:jc w:val="center"/>
                  </w:pPr>
                  <w:r>
                    <w:t xml:space="preserve">0.9988914</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29.36515</w:t>
                  </w:r>
                </w:p>
              </w:tc>
              <w:tc>
                <w:tcPr/>
                <w:p>
                  <w:pPr>
                    <w:pStyle w:val="Compact"/>
                    <w:jc w:val="right"/>
                    <w:jc w:val="center"/>
                  </w:pPr>
                  <w:r>
                    <w:t xml:space="preserve">10.70695</w:t>
                  </w:r>
                </w:p>
              </w:tc>
              <w:tc>
                <w:tcPr/>
                <w:p>
                  <w:pPr>
                    <w:pStyle w:val="Compact"/>
                    <w:jc w:val="right"/>
                    <w:jc w:val="center"/>
                  </w:pPr>
                  <w:r>
                    <w:t xml:space="preserve">15</w:t>
                  </w:r>
                </w:p>
              </w:tc>
              <w:tc>
                <w:tcPr/>
                <w:p>
                  <w:pPr>
                    <w:pStyle w:val="Compact"/>
                    <w:jc w:val="right"/>
                    <w:jc w:val="center"/>
                  </w:pPr>
                  <w:r>
                    <w:t xml:space="preserve">21</w:t>
                  </w:r>
                </w:p>
              </w:tc>
              <w:tc>
                <w:tcPr/>
                <w:p>
                  <w:pPr>
                    <w:pStyle w:val="Compact"/>
                    <w:jc w:val="right"/>
                    <w:jc w:val="center"/>
                  </w:pPr>
                  <w:r>
                    <w:t xml:space="preserve">27</w:t>
                  </w:r>
                </w:p>
              </w:tc>
              <w:tc>
                <w:tcPr/>
                <w:p>
                  <w:pPr>
                    <w:pStyle w:val="Compact"/>
                    <w:jc w:val="right"/>
                    <w:jc w:val="center"/>
                  </w:pPr>
                  <w:r>
                    <w:t xml:space="preserve">35</w:t>
                  </w:r>
                </w:p>
              </w:tc>
              <w:tc>
                <w:tcPr/>
                <w:p>
                  <w:pPr>
                    <w:pStyle w:val="Compact"/>
                    <w:jc w:val="right"/>
                    <w:jc w:val="center"/>
                  </w:pPr>
                  <w:r>
                    <w:t xml:space="preserve">65</w:t>
                  </w:r>
                </w:p>
              </w:tc>
              <w:tc>
                <w:tcPr/>
                <w:p>
                  <w:pPr>
                    <w:pStyle w:val="Compact"/>
                    <w:jc w:val="left"/>
                    <w:jc w:val="center"/>
                  </w:pPr>
                  <w:r>
                    <w:t xml:space="preserve">▇▅▂▁▁</w:t>
                  </w:r>
                </w:p>
              </w:tc>
            </w:tr>
          </w:tbl>
          <w:bookmarkEnd w:id="34"/>
          <w:p/>
        </w:tc>
      </w:tr>
    </w:tbl>
    <w:p>
      <w:pPr>
        <w:pStyle w:val="BodyText"/>
      </w:pPr>
      <w:r>
        <w:t xml:space="preserve">Looking at Age distribution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"age_distribution.png"</w:t>
      </w:r>
      <w:r>
        <w:rPr>
          <w:rStyle w:val="NormalTok"/>
        </w:rPr>
        <w:t xml:space="preserve">))</w:t>
      </w:r>
    </w:p>
    <w:p>
      <w:pPr>
        <w:pStyle w:val="FirstParagraph"/>
      </w:pPr>
      <w:r>
        <w:drawing>
          <wp:inline>
            <wp:extent cx="5334000" cy="3809273"/>
            <wp:effectExtent b="0" l="0" r="0" t="0"/>
            <wp:docPr descr="" title="" id="36" name="Picture"/>
            <a:graphic>
              <a:graphicData uri="http://schemas.openxmlformats.org/drawingml/2006/picture">
                <pic:pic>
                  <pic:nvPicPr>
                    <pic:cNvPr descr="../../results/age_distribution.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t xml:space="preserve">Now I will at the box plot of TB infection and Age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"ltbi_age.png"</w:t>
      </w:r>
      <w:r>
        <w:rPr>
          <w:rStyle w:val="NormalTok"/>
        </w:rPr>
        <w:t xml:space="preserve">))</w:t>
      </w:r>
    </w:p>
    <w:p>
      <w:pPr>
        <w:pStyle w:val="FirstParagraph"/>
      </w:pPr>
      <w:r>
        <w:drawing>
          <wp:inline>
            <wp:extent cx="5334000" cy="3809273"/>
            <wp:effectExtent b="0" l="0" r="0" t="0"/>
            <wp:docPr descr="" title="" id="39" name="Picture"/>
            <a:graphic>
              <a:graphicData uri="http://schemas.openxmlformats.org/drawingml/2006/picture">
                <pic:pic>
                  <pic:nvPicPr>
                    <pic:cNvPr descr="../../results/ltbi_age.png" id="40" name="Picture"/>
                    <pic:cNvPicPr>
                      <a:picLocks noChangeArrowheads="1" noChangeAspect="1"/>
                    </pic:cNvPicPr>
                  </pic:nvPicPr>
                  <pic:blipFill>
                    <a:blip r:embed="rId38"/>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t xml:space="preserve">Now I will look at Alcohol Consumption and Tb Infection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"alcohol consumption_ltbi_stacked.png"</w:t>
      </w:r>
      <w:r>
        <w:rPr>
          <w:rStyle w:val="NormalTok"/>
        </w:rPr>
        <w:t xml:space="preserve">))</w:t>
      </w:r>
    </w:p>
    <w:p>
      <w:pPr>
        <w:pStyle w:val="FirstParagraph"/>
      </w:pPr>
      <w:r>
        <w:drawing>
          <wp:inline>
            <wp:extent cx="5334000" cy="3809273"/>
            <wp:effectExtent b="0" l="0" r="0" t="0"/>
            <wp:docPr descr="" title="" id="42" name="Picture"/>
            <a:graphic>
              <a:graphicData uri="http://schemas.openxmlformats.org/drawingml/2006/picture">
                <pic:pic>
                  <pic:nvPicPr>
                    <pic:cNvPr descr="../../results/alcohol%20consumption_ltbi_stacked.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bookmarkEnd w:id="44"/>
    <w:bookmarkStart w:id="45" w:name="basic-statistical-analysis"/>
    <w:p>
      <w:pPr>
        <w:pStyle w:val="Heading2"/>
      </w:pPr>
      <w:r>
        <w:t xml:space="preserve">4.2 Basic statistical analysis</w:t>
      </w:r>
    </w:p>
    <w:bookmarkEnd w:id="45"/>
    <w:bookmarkStart w:id="46" w:name="full-analysis"/>
    <w:p>
      <w:pPr>
        <w:pStyle w:val="Heading2"/>
      </w:pPr>
      <w:r>
        <w:t xml:space="preserve">4.3 Full analysis</w:t>
      </w:r>
    </w:p>
    <w:p>
      <w:r>
        <w:br w:type="page"/>
      </w:r>
    </w:p>
    <w:bookmarkEnd w:id="46"/>
    <w:bookmarkEnd w:id="47"/>
    <w:bookmarkStart w:id="51" w:name="discussion"/>
    <w:p>
      <w:pPr>
        <w:pStyle w:val="Heading1"/>
      </w:pPr>
      <w:r>
        <w:t xml:space="preserve">5. Discussion</w:t>
      </w:r>
    </w:p>
    <w:bookmarkStart w:id="4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8"/>
    <w:bookmarkStart w:id="49"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9"/>
    <w:bookmarkStart w:id="5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r>
        <w:br w:type="page"/>
      </w:r>
    </w:p>
    <w:bookmarkEnd w:id="50"/>
    <w:bookmarkEnd w:id="51"/>
    <w:bookmarkStart w:id="52" w:name="references"/>
    <w:p>
      <w:pPr>
        <w:pStyle w:val="Heading1"/>
      </w:pPr>
      <w:r>
        <w:t xml:space="preserve">6. 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of the relationship between Alcohol consumption and Latent TB in Kampala</dc:title>
  <dc:creator>Patrick Kaggwa</dc:creator>
  <cp:keywords/>
  <dcterms:created xsi:type="dcterms:W3CDTF">2024-02-25T10:35:14Z</dcterms:created>
  <dcterms:modified xsi:type="dcterms:W3CDTF">2024-02-25T10:35:14Z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/Users/sandi/MADA-course/Kaggwa-MADA-project/assets/dataanalysis-references.bib</vt:lpwstr>
  </property>
  <property fmtid="{D5CDD505-2E9C-101B-9397-08002B2CF9AE}" pid="5" name="by-author">
    <vt:lpwstr/>
  </property>
  <property fmtid="{D5CDD505-2E9C-101B-9397-08002B2CF9AE}" pid="6" name="csl">
    <vt:lpwstr>/Users/sandi/MADA-course/Kaggwa-MADA-project/assets/apa.csl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