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 of successful TB control, diagnostic delay is still long and common in Uganda. Therefore, the study aimed at developing a tool that uses machine-learning techniques to detect and diagnose TB more accurately in a shorter time.</w:t>
      </w:r>
    </w:p>
    <w:bookmarkEnd w:id="20"/>
    <w:bookmarkStart w:id="21" w:name="methods"/>
    <w:p>
      <w:pPr>
        <w:pStyle w:val="Heading2"/>
      </w:pPr>
      <w:r>
        <w:t xml:space="preserve">1.2 Methods</w:t>
      </w:r>
    </w:p>
    <w:p>
      <w:pPr>
        <w:pStyle w:val="FirstParagraph"/>
      </w:pPr>
      <w:r>
        <w:t xml:space="preserve">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models—LASSO, Random Forest, Support Vector Machine (SVM), and Null model—revealed notable performance differences. Notably, the Random Forest model achieved the highest accuracy at 81.57% and an AUC of 0.8868, outperforming the other models.</w:t>
      </w:r>
    </w:p>
    <w:bookmarkEnd w:id="22"/>
    <w:bookmarkStart w:id="23" w:name="consclusion"/>
    <w:p>
      <w:pPr>
        <w:pStyle w:val="Heading2"/>
      </w:pPr>
      <w:r>
        <w:t xml:space="preserve">1.4 Consclusion</w:t>
      </w:r>
    </w:p>
    <w:p>
      <w:pPr>
        <w:pStyle w:val="FirstParagraph"/>
      </w:pPr>
      <w:r>
        <w:t xml:space="preserve">The results highlight the potential of advanced machine learning algorithms, particularly Random Forest, in enhancing TB diagnosis and early detection strategies, offering valuable insights for clinical decision-making and the development of more effective screening protocols.</w:t>
      </w:r>
      <w:r>
        <w:t xml:space="preserve"> </w:t>
      </w:r>
      <w:p>
        <w:r>
          <w:br w:type="page"/>
        </w:r>
      </w:p>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(Sagili et al., 2022)</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(Baykan et al., 2022)</w:t>
      </w:r>
      <w:r>
        <w:t xml:space="preserve">,. In 2020, TB ranked among the top 10 causes of death globally, with over 10 million new cases and 1.3 million deaths reported. Africa bears a considerable burden, with an estimated quarter of new cases globally, resulting in approximately 417,000 deaths annually</w:t>
      </w:r>
      <w:r>
        <w:t xml:space="preserve">(Chakaya et al., 2022)</w:t>
      </w:r>
      <w:r>
        <w:t xml:space="preserve">. TB is a leading cause of death among HIV-infected patients in sub-Saharan Africa, compounded by the low sensitivity of the commonly used sputum smear microscopy, particularly in detecting TB among people living with HIV</w:t>
      </w:r>
      <w:r>
        <w:t xml:space="preserve">(Palattiyil et al., 2022)</w:t>
      </w:r>
      <w:r>
        <w:t xml:space="preserve">.</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w:t>
      </w:r>
      <w:r>
        <w:t xml:space="preserve">(Kintu et al., 2023)</w:t>
      </w:r>
      <w:r>
        <w:t xml:space="preserve">. Diagnostic delays persist due to health services often waiting for systematic symptoms before examining sputum smears, leading to missed opportunities for timely diagnosis. The GeneXpert diagnostic tool offers superior sensitivity compared to sputum smear microscopy but is underutilized in Uganda due to its expense</w:t>
      </w:r>
      <w:r>
        <w:t xml:space="preserve">(Brown, Leavy, &amp; Jancey, 2021)</w:t>
      </w:r>
      <w:r>
        <w:t xml:space="preserve">, resulting in over 41,000 undiagnosed cases annually. Even with existing diagnostic methods like blood tests or sputum tests, analysis times are prolonged, allowing culture-positive TB cases to go undetected</w:t>
      </w:r>
      <w:r>
        <w:t xml:space="preserve">(Dong et al., 2022)</w:t>
      </w:r>
      <w:r>
        <w:t xml:space="preserve">.</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pStyle w:val="FirstParagraph"/>
      </w:pPr>
      <w:r>
        <w:t xml:space="preserve">The prediction of TB can be modeled using early clinical patient data from Kampala residents who visited the IDRC between 2011 and 2018 and presented with a persistent cough lasting two weeks or more.</w:t>
      </w:r>
    </w:p>
    <w:p>
      <w:r>
        <w:br w:type="page"/>
      </w:r>
    </w:p>
    <w:bookmarkEnd w:id="27"/>
    <w:bookmarkEnd w:id="28"/>
    <w:bookmarkStart w:id="37"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bookmarkEnd w:id="33"/>
    <w:bookmarkStart w:id="34" w:name="model-development"/>
    <w:p>
      <w:pPr>
        <w:pStyle w:val="Heading2"/>
      </w:pPr>
      <w:r>
        <w:t xml:space="preserve">3.6 Model Development</w:t>
      </w:r>
    </w:p>
    <w:p>
      <w:pPr>
        <w:pStyle w:val="FirstParagraph"/>
      </w:pPr>
      <w:r>
        <w:t xml:space="preserve">Three models were considered for the prediction analysis, and each were fit for both outcomes of interest (tuberculosis). The data were split such that 70% were used for training the models and the remaining 30% were used for testing the final chosen model. Cross-validation was used for all models, using a ten-fold resampling structure. The tidymodel framework was utilized in the analysis.</w:t>
      </w:r>
    </w:p>
    <w:bookmarkEnd w:id="34"/>
    <w:bookmarkStart w:id="35" w:name="model-definition"/>
    <w:p>
      <w:pPr>
        <w:pStyle w:val="Heading2"/>
      </w:pPr>
      <w:r>
        <w:t xml:space="preserve">3.7 Model Definition</w:t>
      </w:r>
    </w:p>
    <w:p>
      <w:pPr>
        <w:pStyle w:val="FirstParagraph"/>
      </w:pPr>
      <w:r>
        <w:t xml:space="preserve">There are several machine learning models suitable for addressing the research question, but this analysis primarily focused on three different types of models: Random Forest, LASSO, and Support Vector Machine (SVM).</w:t>
      </w:r>
    </w:p>
    <w:p>
      <w:pPr>
        <w:pStyle w:val="BodyText"/>
      </w:pPr>
      <w:r>
        <w:t xml:space="preserve">Random Forest (RF): RF is a versatile and robust ensemble learning method that aims to reduce variance by building multiple decision trees on random subsets of the data and then averaging their predictions. It can handle large datasets with high-dimensional feature spaces and is less prone to overfitting compared to individual decision trees</w:t>
      </w:r>
      <w:r>
        <w:t xml:space="preserve">(Simon, Glaum, &amp; Valdovinos, 2023)</w:t>
      </w:r>
      <w:r>
        <w:t xml:space="preserve">. However, RF models are more complex and may be challenging to interpret compared to simpler models like decision trees.</w:t>
      </w:r>
    </w:p>
    <w:p>
      <w:pPr>
        <w:pStyle w:val="BodyText"/>
      </w:pPr>
      <w:r>
        <w:t xml:space="preserve">LASSO: LASSO is a regularization-based linear regression method that balances model complexity and goodness of fit by penalizing the absolute values of the regression coefficients. This encourages sparsity in the model, meaning it tends to select a subset of the most important features while shrinking the coefficients of less important ones towards zero</w:t>
      </w:r>
      <w:r>
        <w:t xml:space="preserve">(Zhao &amp; Yu, 2006)</w:t>
      </w:r>
      <w:r>
        <w:t xml:space="preserve">. However, LASSO may struggle with highly correlated predictors and can only select one variable from a group of highly correlated variables, potentially ignoring important information.</w:t>
      </w:r>
    </w:p>
    <w:p>
      <w:pPr>
        <w:pStyle w:val="BodyText"/>
      </w:pPr>
      <w:r>
        <w:t xml:space="preserve">Support Vector Machine (SVM): SVM is a powerful supervised learning algorithm commonly used for classification tasks. It works by finding the optimal hyperplane that separates data points belonging to different classes with the maximum margin of separation. SVM is effective in high-dimensional spaces and is versatile in handling linear and non-linear relationships through different kernel functions.</w:t>
      </w:r>
      <w:r>
        <w:t xml:space="preserve">(JavaTpoint, 2021)</w:t>
      </w:r>
      <w:r>
        <w:t xml:space="preserve"> </w:t>
      </w:r>
      <w:r>
        <w:t xml:space="preserve">However, SVM can be computationally intensive, especially with large datasets, and may require careful tuning of hyperparameters for optimal performance.</w:t>
      </w:r>
    </w:p>
    <w:p>
      <w:pPr>
        <w:pStyle w:val="BodyText"/>
      </w:pPr>
      <w:r>
        <w:t xml:space="preserve">These three models were selected to provide a diverse set of approaches for predicting TB classification based on early clinical patient data. Random Forest offers a robust ensemble learning approach, LASSO provides a sparse and interpretable linear model, and SVM offers flexibility in handling complex relationships between predictors. By comparing and contrasting the performance of these models, we aim to identify the most effective approach for TB prediction in our study population.</w:t>
      </w:r>
      <w:r>
        <w:t xml:space="preserve"> </w:t>
      </w:r>
      <w:p>
        <w:r>
          <w:br w:type="page"/>
        </w:r>
      </w:p>
    </w:p>
    <w:bookmarkEnd w:id="35"/>
    <w:bookmarkStart w:id="36" w:name="model-performance-evaluation"/>
    <w:p>
      <w:pPr>
        <w:pStyle w:val="Heading2"/>
      </w:pPr>
      <w:r>
        <w:t xml:space="preserve">3.8 Model Performance Evaluation</w:t>
      </w:r>
    </w:p>
    <w:p>
      <w:pPr>
        <w:pStyle w:val="FirstParagraph"/>
      </w:pPr>
      <w:r>
        <w:t xml:space="preserve">A confusion matrix or contingency table was used to determine the classification performance of the various classification models. Given m classes, the confusion matrix is a table of at least size m by m</w:t>
      </w:r>
      <w:r>
        <w:t xml:space="preserve"> </w:t>
      </w:r>
      <w:r>
        <w:t xml:space="preserve">(Riehl, Neunteufel, &amp; Hemberg, 2023)</w:t>
      </w:r>
      <w:r>
        <w:t xml:space="preserve">. In a confusion matrix, if the instance is positive and it is classified as positive, it is counted as a true positive (TP); if it is classified as negative, it is counted as a false negative (FN). If the instance is negative and it is classified as negative, it is counted as a true negative (TN); if it is classified as positive, it is counted as a false positive (FP). These terms are useful when analyzing a classifier’s ability to determine accuracy based on the correct and incorrect classes produced by the confusion matrix. Accuracy was used as it signifies the proportion of the total number of TB patient predictions that are correct</w:t>
      </w:r>
      <w:r>
        <w:t xml:space="preserve">(Carvalho, Pereira, &amp; Cardoso, 2019)</w:t>
      </w:r>
      <w:r>
        <w:t xml:space="preserve">. True positive means the number of actual TB patients that are accurately classified, and true negatives refer to the number of patients that are correctly classified as not having TB. The ROC (Receiver Operating Characteristic) curve was also used, which is a graphical representation to measure the performance of the classifier system. It shows the trade-off between sensitivity and specificity for every possible cut-off for a test</w:t>
      </w:r>
      <w:r>
        <w:t xml:space="preserve">(Robinson, Glen, &amp; Lee, 2020)</w:t>
      </w:r>
      <w:r>
        <w:t xml:space="preserve">. The area under the curve ranges from 0 to 1, where 1 implies an excellent test and 0 implies a useless test.</w:t>
      </w:r>
    </w:p>
    <w:p>
      <w:r>
        <w:br w:type="page"/>
      </w:r>
    </w:p>
    <w:bookmarkEnd w:id="36"/>
    <w:bookmarkEnd w:id="37"/>
    <w:bookmarkStart w:id="57" w:name="results-1"/>
    <w:p>
      <w:pPr>
        <w:pStyle w:val="Heading1"/>
      </w:pPr>
      <w:r>
        <w:t xml:space="preserve">4. Results</w:t>
      </w:r>
    </w:p>
    <w:bookmarkStart w:id="38" w:name="exploratorydescriptive-analysis"/>
    <w:p>
      <w:pPr>
        <w:pStyle w:val="Heading2"/>
      </w:pPr>
      <w:r>
        <w:t xml:space="preserve">4.1 Exploratory/Descriptive analysis</w:t>
      </w:r>
    </w:p>
    <w:p>
      <w:pPr>
        <w:pStyle w:val="FirstParagraph"/>
      </w:pPr>
      <w:r>
        <w:t xml:space="preserve">Data analysis was conducted using R Studio version RStudio RStudio 2024.04.0.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bookmarkEnd w:id="38"/>
    <w:bookmarkStart w:id="56" w:name="model-results-and-accuracy-assessment"/>
    <w:p>
      <w:pPr>
        <w:pStyle w:val="Heading2"/>
      </w:pPr>
      <w:r>
        <w:t xml:space="preserve">4.2 Model results and accuracy assessment</w:t>
      </w:r>
    </w:p>
    <w:tbl>
      <w:tblPr>
        <w:tblStyle w:val="Table"/>
        <w:tblW w:type="pct" w:w="5000"/>
        <w:tblLook w:firstRow="0" w:lastRow="0" w:firstColumn="0" w:lastColumn="0" w:noHBand="0" w:noVBand="0" w:val="0000"/>
        <w:jc w:val="start"/>
        <w:tblLayout w:type="fixed"/>
      </w:tblPr>
      <w:tblGrid>
        <w:gridCol w:w="7920"/>
      </w:tblGrid>
      <w:tr>
        <w:tc>
          <w:tcPr/>
          <w:bookmarkStart w:id="39" w:name="tbl-schematic1"/>
          <w:p>
            <w:pPr>
              <w:jc w:val="center"/>
            </w:pPr>
            <w:pPr>
              <w:jc w:val="start"/>
              <w:spacing w:before="200"/>
              <w:pStyle w:val="ImageCaption"/>
            </w:pPr>
            <w:r>
              <w:t xml:space="preserve">Table 1: Model Perfomance for the Training Dataset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9"/>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tbl>
      <w:tblPr>
        <w:tblStyle w:val="Table"/>
        <w:tblW w:type="pct" w:w="5000"/>
        <w:tblLook w:firstRow="0" w:lastRow="0" w:firstColumn="0" w:lastColumn="0" w:noHBand="0" w:noVBand="0" w:val="0000"/>
        <w:jc w:val="start"/>
        <w:tblLayout w:type="fixed"/>
      </w:tblPr>
      <w:tblGrid>
        <w:gridCol w:w="7920"/>
      </w:tblGrid>
      <w:tr>
        <w:tc>
          <w:tcPr/>
          <w:bookmarkStart w:id="40" w:name="tbl-schematic2"/>
          <w:p>
            <w:pPr>
              <w:jc w:val="center"/>
            </w:pPr>
            <w:pPr>
              <w:jc w:val="start"/>
              <w:spacing w:before="200"/>
              <w:pStyle w:val="ImageCaption"/>
            </w:pPr>
            <w:r>
              <w:t xml:space="preserve">Table 2: Random Forest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633</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44</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152</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776</w:t>
                  </w:r>
                </w:p>
              </w:tc>
            </w:tr>
          </w:tbl>
          <w:bookmarkEnd w:id="40"/>
          <w:p/>
        </w:tc>
      </w:tr>
    </w:tbl>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4" w:name="fig-schematic1"/>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rf_ROCCURVE.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Random Forest ROC Curve</w:t>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5" w:name="tbl-schematic5"/>
          <w:p>
            <w:pPr>
              <w:jc w:val="center"/>
            </w:pPr>
            <w:pPr>
              <w:jc w:val="start"/>
              <w:spacing w:before="200"/>
              <w:pStyle w:val="ImageCaption"/>
            </w:pPr>
            <w:r>
              <w:t xml:space="preserve">Table 3: Support Vector Machine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629</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48</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296</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632</w:t>
                  </w:r>
                </w:p>
              </w:tc>
            </w:tr>
          </w:tbl>
          <w:bookmarkEnd w:id="45"/>
          <w:p/>
        </w:tc>
      </w:tr>
    </w:tbl>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tbl>
      <w:tblPr>
        <w:tblStyle w:val="Table"/>
        <w:tblW w:type="pct" w:w="5000"/>
        <w:tblLook w:firstRow="0" w:lastRow="0" w:firstColumn="0" w:lastColumn="0" w:noHBand="0" w:noVBand="0" w:val="0000"/>
        <w:jc w:val="start"/>
        <w:tblLayout w:type="fixed"/>
      </w:tblPr>
      <w:tblGrid>
        <w:gridCol w:w="7920"/>
      </w:tblGrid>
      <w:tr>
        <w:tc>
          <w:tcPr/>
          <w:bookmarkStart w:id="49" w:name="fig-schematic2"/>
          <w:p>
            <w:pPr>
              <w:pStyle w:val="Compact"/>
              <w:jc w:val="center"/>
            </w:pPr>
            <w:r>
              <w:drawing>
                <wp:inline>
                  <wp:extent cx="5334000" cy="3295031"/>
                  <wp:effectExtent b="0" l="0" r="0" t="0"/>
                  <wp:docPr descr="" title="" id="47" name="Picture"/>
                  <a:graphic>
                    <a:graphicData uri="http://schemas.openxmlformats.org/drawingml/2006/picture">
                      <pic:pic>
                        <pic:nvPicPr>
                          <pic:cNvPr descr="../../results/figures/svm_ROCCURVE.png" id="48" name="Picture"/>
                          <pic:cNvPicPr>
                            <a:picLocks noChangeArrowheads="1" noChangeAspect="1"/>
                          </pic:cNvPicPr>
                        </pic:nvPicPr>
                        <pic:blipFill>
                          <a:blip r:embed="rId46"/>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Support Vector Machine ROC Curve</w:t>
            </w:r>
          </w:p>
          <w:bookmarkEnd w:id="49"/>
        </w:tc>
      </w:tr>
    </w:tbl>
    <w:tbl>
      <w:tblPr>
        <w:tblStyle w:val="Table"/>
        <w:tblW w:type="pct" w:w="5000"/>
        <w:tblLook w:firstRow="0" w:lastRow="0" w:firstColumn="0" w:lastColumn="0" w:noHBand="0" w:noVBand="0" w:val="0000"/>
        <w:jc w:val="start"/>
        <w:tblLayout w:type="fixed"/>
      </w:tblPr>
      <w:tblGrid>
        <w:gridCol w:w="7920"/>
      </w:tblGrid>
      <w:tr>
        <w:tc>
          <w:tcPr/>
          <w:bookmarkStart w:id="50" w:name="tbl-schematic3"/>
          <w:p>
            <w:pPr>
              <w:jc w:val="center"/>
            </w:pPr>
            <w:pPr>
              <w:jc w:val="start"/>
              <w:spacing w:before="200"/>
              <w:pStyle w:val="ImageCaption"/>
            </w:pPr>
            <w:r>
              <w:t xml:space="preserve">Table 4: lassoconf_table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654</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23</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325</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603</w:t>
                  </w:r>
                </w:p>
              </w:tc>
            </w:tr>
          </w:tbl>
          <w:bookmarkEnd w:id="50"/>
          <w:p/>
        </w:tc>
      </w:tr>
    </w:tbl>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54" w:name="fig-schematic3"/>
          <w:p>
            <w:pPr>
              <w:pStyle w:val="Compact"/>
              <w:jc w:val="center"/>
            </w:pPr>
            <w:r>
              <w:drawing>
                <wp:inline>
                  <wp:extent cx="5334000" cy="3295031"/>
                  <wp:effectExtent b="0" l="0" r="0" t="0"/>
                  <wp:docPr descr="" title="" id="52" name="Picture"/>
                  <a:graphic>
                    <a:graphicData uri="http://schemas.openxmlformats.org/drawingml/2006/picture">
                      <pic:pic>
                        <pic:nvPicPr>
                          <pic:cNvPr descr="../../results/figures/Lasso_ROCCURVE.png" id="53" name="Picture"/>
                          <pic:cNvPicPr>
                            <a:picLocks noChangeArrowheads="1" noChangeAspect="1"/>
                          </pic:cNvPicPr>
                        </pic:nvPicPr>
                        <pic:blipFill>
                          <a:blip r:embed="rId5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LASSO ROC Curve</w:t>
            </w:r>
          </w:p>
          <w:bookmarkEnd w:id="54"/>
        </w:tc>
      </w:tr>
    </w:tbl>
    <w:tbl>
      <w:tblPr>
        <w:tblStyle w:val="Table"/>
        <w:tblW w:type="pct" w:w="5000"/>
        <w:tblLook w:firstRow="0" w:lastRow="0" w:firstColumn="0" w:lastColumn="0" w:noHBand="0" w:noVBand="0" w:val="0000"/>
        <w:jc w:val="start"/>
        <w:tblLayout w:type="fixed"/>
      </w:tblPr>
      <w:tblGrid>
        <w:gridCol w:w="7920"/>
      </w:tblGrid>
      <w:tr>
        <w:tc>
          <w:tcPr/>
          <w:bookmarkStart w:id="55" w:name="tbl-schematic4"/>
          <w:p>
            <w:pPr>
              <w:jc w:val="center"/>
            </w:pPr>
            <w:pPr>
              <w:jc w:val="start"/>
              <w:spacing w:before="200"/>
              <w:pStyle w:val="ImageCaption"/>
            </w:pPr>
            <w:r>
              <w:t xml:space="preserve">Table 5: Model Perfomance Testing Results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0.6023222</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0.8026125</w:t>
                  </w:r>
                </w:p>
              </w:tc>
              <w:tc>
                <w:tcPr/>
                <w:p>
                  <w:pPr>
                    <w:pStyle w:val="Compact"/>
                    <w:jc w:val="right"/>
                    <w:jc w:val="center"/>
                  </w:pPr>
                  <w:r>
                    <w:t xml:space="preserve">0.8894864</w:t>
                  </w:r>
                </w:p>
              </w:tc>
            </w:tr>
            <w:tr>
              <w:tc>
                <w:tcPr/>
                <w:p>
                  <w:pPr>
                    <w:pStyle w:val="Compact"/>
                    <w:jc w:val="left"/>
                    <w:jc w:val="center"/>
                  </w:pPr>
                  <w:r>
                    <w:t xml:space="preserve">Random Forest Model</w:t>
                  </w:r>
                </w:p>
              </w:tc>
              <w:tc>
                <w:tcPr/>
                <w:p>
                  <w:pPr>
                    <w:pStyle w:val="Compact"/>
                    <w:jc w:val="right"/>
                    <w:jc w:val="center"/>
                  </w:pPr>
                  <w:r>
                    <w:t xml:space="preserve">0.8156749</w:t>
                  </w:r>
                </w:p>
              </w:tc>
              <w:tc>
                <w:tcPr/>
                <w:p>
                  <w:pPr>
                    <w:pStyle w:val="Compact"/>
                    <w:jc w:val="right"/>
                    <w:jc w:val="center"/>
                  </w:pPr>
                  <w:r>
                    <w:t xml:space="preserve">0.8868349</w:t>
                  </w:r>
                </w:p>
              </w:tc>
            </w:tr>
            <w:tr>
              <w:tc>
                <w:tcPr/>
                <w:p>
                  <w:pPr>
                    <w:pStyle w:val="Compact"/>
                    <w:jc w:val="left"/>
                    <w:jc w:val="center"/>
                  </w:pPr>
                  <w:r>
                    <w:t xml:space="preserve">Support Vector model</w:t>
                  </w:r>
                </w:p>
              </w:tc>
              <w:tc>
                <w:tcPr/>
                <w:p>
                  <w:pPr>
                    <w:pStyle w:val="Compact"/>
                    <w:jc w:val="right"/>
                    <w:jc w:val="center"/>
                  </w:pPr>
                  <w:r>
                    <w:t xml:space="preserve">0.7968070</w:t>
                  </w:r>
                </w:p>
              </w:tc>
              <w:tc>
                <w:tcPr/>
                <w:p>
                  <w:pPr>
                    <w:pStyle w:val="Compact"/>
                    <w:jc w:val="right"/>
                    <w:jc w:val="center"/>
                  </w:pPr>
                  <w:r>
                    <w:t xml:space="preserve">0.8824730</w:t>
                  </w:r>
                </w:p>
              </w:tc>
            </w:tr>
          </w:tbl>
          <w:bookmarkEnd w:id="55"/>
          <w:p/>
        </w:tc>
      </w:tr>
    </w:tbl>
    <w:bookmarkEnd w:id="56"/>
    <w:bookmarkEnd w:id="57"/>
    <w:bookmarkStart w:id="58" w:name="models-evaluation"/>
    <w:p>
      <w:pPr>
        <w:pStyle w:val="Heading1"/>
      </w:pPr>
      <w:r>
        <w:t xml:space="preserve">5.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58"/>
    <w:bookmarkStart w:id="59" w:name="discussion"/>
    <w:p>
      <w:pPr>
        <w:pStyle w:val="Heading1"/>
      </w:pPr>
      <w:r>
        <w:t xml:space="preserve">6. Discussion</w:t>
      </w:r>
    </w:p>
    <w:p>
      <w:pPr>
        <w:pStyle w:val="FirstParagraph"/>
      </w:pPr>
      <w:r>
        <w:t xml:space="preserve">The study presents a comprehensive analysis of machine learning models’ efficacy in predicting the presence of tuberculosis (TB) based on a dataset comprising 2296 instances and 14 variables associated with TB. The study selected nine variables for prediction after conducting chi-square tests to eliminate non-statistically significant variables associated with the outcome. The retained variables for prediction included asthma, alcohol use, fever, chest radiography, home fuel use, weight loss, presence of blood in sputum, oxygen saturation, and HIV status. The study evaluated four distinct machine learning models, namely LASSO, Random Forest, Support Vector Machine (SVM), and a Null model, for their predictive performance using key metrics accuracy and Area Under the Curve (AUC). The LASSO model achieved an accuracy of 80.26% and an AUC of 0.8895. The Random Forest model outperformed others with an accuracy of 81.57% and an AUC of 0.8868. SVM achieved an accuracy of 79.68% and an AUC of 0.8825. The Null model achieved an accuracy of 60.23% and an AUC of 0.5.</w:t>
      </w:r>
    </w:p>
    <w:p>
      <w:pPr>
        <w:pStyle w:val="BodyText"/>
      </w:pPr>
      <w:r>
        <w:t xml:space="preserve">Furthermore, the study presented detailed classification results for each model, emphasizing their ability to correctly classify true positives and true negatives while minimizing false positives and false negatives. Particularly, the Random Forest model demonstrated robust performance in correctly identifying true positives and true negatives, with minimal misclassifications. The findings underscore the potential of advanced machine learning algorithms, particularly Random Forest and LASSO, in enhancing TB diagnosis and early detection strategies. The manuscript provides valuable insights into the predictive capabilities of different machine learning models which can inform clinical decision-making and aid in the development of more effective TB screening tolls and protocols.</w:t>
      </w:r>
    </w:p>
    <w:bookmarkEnd w:id="59"/>
    <w:bookmarkStart w:id="60" w:name="strengths"/>
    <w:p>
      <w:pPr>
        <w:pStyle w:val="Heading1"/>
      </w:pPr>
      <w:r>
        <w:t xml:space="preserve">7. Strengths</w:t>
      </w:r>
    </w:p>
    <w:p>
      <w:pPr>
        <w:pStyle w:val="FirstParagraph"/>
      </w:pPr>
      <w:r>
        <w:t xml:space="preserve">In this study, a rigorous variable selection process was implemented, utilizing chi-square tests to identify statistically significant predictors associated with tuberculosis (TB) from a dataset comprising 2296 instances and 14 variables. By employing stringent selection criteria, the study ensures that only variables with meaningful associations with TB are included in subsequent analyses, thereby enhancing the model’s interpretability, and reducing the risk of overfitting. Moreover, the evaluation of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w:t>
      </w:r>
    </w:p>
    <w:p>
      <w:pPr>
        <w:pStyle w:val="BodyText"/>
      </w:pP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60"/>
    <w:bookmarkStart w:id="61" w:name="limitations-and-recommendations"/>
    <w:p>
      <w:pPr>
        <w:pStyle w:val="Heading1"/>
      </w:pPr>
      <w:r>
        <w:t xml:space="preserve">8.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Additionally, while the variable selection methodology employed chi-square tests, alternative feature selection methods like recursive feature elimination could offer further insights into the predictive variables’ relevance and importance. Future research should aim incorporate larger, more diverse datasets and conducting external validation studies to assess model performance in real-world clinical settings and use of more robust techniques such as neural networks.</w:t>
      </w:r>
    </w:p>
    <w:bookmarkEnd w:id="61"/>
    <w:bookmarkStart w:id="62" w:name="conclusions"/>
    <w:p>
      <w:pPr>
        <w:pStyle w:val="Heading1"/>
      </w:pPr>
      <w:r>
        <w:t xml:space="preserve">9.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62"/>
    <w:bookmarkStart w:id="90" w:name="references"/>
    <w:p>
      <w:pPr>
        <w:pStyle w:val="Heading1"/>
      </w:pPr>
      <w:r>
        <w:t xml:space="preserve">10. References</w:t>
      </w:r>
    </w:p>
    <w:bookmarkStart w:id="89" w:name="refs"/>
    <w:bookmarkStart w:id="64" w:name="ref-baykan_extrapulmonary_2022"/>
    <w:p>
      <w:pPr>
        <w:pStyle w:val="Bibliography"/>
      </w:pPr>
      <w:r>
        <w:t xml:space="preserve">Baykan, A. H., Sayiner, H. S., Aydin, E., Koc, M., Inan, I., &amp; Erturk, S. M. (2022). Extrapulmonary tuberculosıs: An old but resurgent problem.</w:t>
      </w:r>
      <w:r>
        <w:t xml:space="preserve"> </w:t>
      </w:r>
      <w:r>
        <w:rPr>
          <w:iCs/>
          <w:i/>
        </w:rPr>
        <w:t xml:space="preserve">Insights into Imaging</w:t>
      </w:r>
      <w:r>
        <w:t xml:space="preserve">,</w:t>
      </w:r>
      <w:r>
        <w:t xml:space="preserve"> </w:t>
      </w:r>
      <w:r>
        <w:rPr>
          <w:iCs/>
          <w:i/>
        </w:rPr>
        <w:t xml:space="preserve">13</w:t>
      </w:r>
      <w:r>
        <w:t xml:space="preserve">(1), undefined–undefined.</w:t>
      </w:r>
      <w:r>
        <w:t xml:space="preserve"> </w:t>
      </w:r>
      <w:hyperlink r:id="rId63">
        <w:r>
          <w:rPr>
            <w:rStyle w:val="Hyperlink"/>
          </w:rPr>
          <w:t xml:space="preserve">https://doi.org/10.1186/s13244-022-01172-0</w:t>
        </w:r>
      </w:hyperlink>
    </w:p>
    <w:bookmarkEnd w:id="64"/>
    <w:bookmarkStart w:id="66" w:name="ref-brown_implementation_2021"/>
    <w:p>
      <w:pPr>
        <w:pStyle w:val="Bibliography"/>
      </w:pPr>
      <w:r>
        <w:t xml:space="preserve">Brown, S., Leavy, J. E., &amp; Jancey, J. (2021). Implementation of genexpert for tb testing in low-</w:t>
      </w:r>
      <w:r>
        <w:t xml:space="preserve"> </w:t>
      </w:r>
      <w:r>
        <w:t xml:space="preserve">And</w:t>
      </w:r>
      <w:r>
        <w:t xml:space="preserve"> </w:t>
      </w:r>
      <w:r>
        <w:t xml:space="preserve">middle-income countries:</w:t>
      </w:r>
      <w:r>
        <w:t xml:space="preserve"> </w:t>
      </w:r>
      <w:r>
        <w:t xml:space="preserve">A</w:t>
      </w:r>
      <w:r>
        <w:t xml:space="preserve"> </w:t>
      </w:r>
      <w:r>
        <w:t xml:space="preserve">systematic review.</w:t>
      </w:r>
      <w:r>
        <w:t xml:space="preserve"> </w:t>
      </w:r>
      <w:r>
        <w:rPr>
          <w:iCs/>
          <w:i/>
        </w:rPr>
        <w:t xml:space="preserve">Global Health Science and Practice</w:t>
      </w:r>
      <w:r>
        <w:t xml:space="preserve">,</w:t>
      </w:r>
      <w:r>
        <w:t xml:space="preserve"> </w:t>
      </w:r>
      <w:r>
        <w:rPr>
          <w:iCs/>
          <w:i/>
        </w:rPr>
        <w:t xml:space="preserve">9</w:t>
      </w:r>
      <w:r>
        <w:t xml:space="preserve">(3), 698–710.</w:t>
      </w:r>
      <w:r>
        <w:t xml:space="preserve"> </w:t>
      </w:r>
      <w:hyperlink r:id="rId65">
        <w:r>
          <w:rPr>
            <w:rStyle w:val="Hyperlink"/>
          </w:rPr>
          <w:t xml:space="preserve">https://doi.org/10.9745/GHSP-D-21-00121</w:t>
        </w:r>
      </w:hyperlink>
    </w:p>
    <w:bookmarkEnd w:id="66"/>
    <w:bookmarkStart w:id="68" w:name="ref-carvalho_machine_2019"/>
    <w:p>
      <w:pPr>
        <w:pStyle w:val="Bibliography"/>
      </w:pPr>
      <w:r>
        <w:t xml:space="preserve">Carvalho, D. V., Pereira, E. M., &amp; Cardoso, J. S. (2019). Machine</w:t>
      </w:r>
      <w:r>
        <w:t xml:space="preserve"> </w:t>
      </w:r>
      <w:r>
        <w:t xml:space="preserve">Learning</w:t>
      </w:r>
      <w:r>
        <w:t xml:space="preserve"> </w:t>
      </w:r>
      <w:r>
        <w:t xml:space="preserve">Interpretability</w:t>
      </w:r>
      <w:r>
        <w:t xml:space="preserve">:</w:t>
      </w:r>
      <w:r>
        <w:t xml:space="preserve"> </w:t>
      </w:r>
      <w:r>
        <w:t xml:space="preserve">A</w:t>
      </w:r>
      <w:r>
        <w:t xml:space="preserve"> </w:t>
      </w:r>
      <w:r>
        <w:t xml:space="preserve">Survey</w:t>
      </w:r>
      <w:r>
        <w:t xml:space="preserve"> </w:t>
      </w:r>
      <w:r>
        <w:t xml:space="preserve">on</w:t>
      </w:r>
      <w:r>
        <w:t xml:space="preserve"> </w:t>
      </w:r>
      <w:r>
        <w:t xml:space="preserve">Methods</w:t>
      </w:r>
      <w:r>
        <w:t xml:space="preserve"> </w:t>
      </w:r>
      <w:r>
        <w:t xml:space="preserve">and</w:t>
      </w:r>
      <w:r>
        <w:t xml:space="preserve"> </w:t>
      </w:r>
      <w:r>
        <w:t xml:space="preserve">Metrics</w:t>
      </w:r>
      <w:r>
        <w:t xml:space="preserve">.</w:t>
      </w:r>
      <w:r>
        <w:t xml:space="preserve"> </w:t>
      </w:r>
      <w:r>
        <w:rPr>
          <w:iCs/>
          <w:i/>
        </w:rPr>
        <w:t xml:space="preserve">Electronics</w:t>
      </w:r>
      <w:r>
        <w:t xml:space="preserve">,</w:t>
      </w:r>
      <w:r>
        <w:t xml:space="preserve"> </w:t>
      </w:r>
      <w:r>
        <w:rPr>
          <w:iCs/>
          <w:i/>
        </w:rPr>
        <w:t xml:space="preserve">8</w:t>
      </w:r>
      <w:r>
        <w:t xml:space="preserve">(8), 832.</w:t>
      </w:r>
      <w:r>
        <w:t xml:space="preserve"> </w:t>
      </w:r>
      <w:hyperlink r:id="rId67">
        <w:r>
          <w:rPr>
            <w:rStyle w:val="Hyperlink"/>
          </w:rPr>
          <w:t xml:space="preserve">https://doi.org/10.3390/electronics8080832</w:t>
        </w:r>
      </w:hyperlink>
    </w:p>
    <w:bookmarkEnd w:id="68"/>
    <w:bookmarkStart w:id="70" w:name="ref-chakaya_who_2022"/>
    <w:p>
      <w:pPr>
        <w:pStyle w:val="Bibliography"/>
      </w:pPr>
      <w:r>
        <w:t xml:space="preserve">Chakaya, J., Petersen, E., Nantanda, R., Mungai, B. N., Migliori, G. B., Amanullah, F., … Zumla, A. (2022). The</w:t>
      </w:r>
      <w:r>
        <w:t xml:space="preserve"> </w:t>
      </w:r>
      <w:r>
        <w:t xml:space="preserve">WHO</w:t>
      </w:r>
      <w:r>
        <w:t xml:space="preserve"> </w:t>
      </w:r>
      <w:r>
        <w:t xml:space="preserve">Global</w:t>
      </w:r>
      <w:r>
        <w:t xml:space="preserve"> </w:t>
      </w:r>
      <w:r>
        <w:t xml:space="preserve">Tuberculosis</w:t>
      </w:r>
      <w:r>
        <w:t xml:space="preserve"> </w:t>
      </w:r>
      <w:r>
        <w:t xml:space="preserve">2021</w:t>
      </w:r>
      <w:r>
        <w:t xml:space="preserve"> </w:t>
      </w:r>
      <w:r>
        <w:t xml:space="preserve">Report</w:t>
      </w:r>
      <w:r>
        <w:t xml:space="preserve"> </w:t>
      </w:r>
      <w:r>
        <w:t xml:space="preserve">– not so good news and turning the tide back to</w:t>
      </w:r>
      <w:r>
        <w:t xml:space="preserve"> </w:t>
      </w:r>
      <w:r>
        <w:t xml:space="preserve">End</w:t>
      </w:r>
      <w:r>
        <w:t xml:space="preserve"> </w:t>
      </w:r>
      <w:r>
        <w:t xml:space="preserve">TB</w:t>
      </w:r>
      <w:r>
        <w:t xml:space="preserve">.</w:t>
      </w:r>
      <w:r>
        <w:t xml:space="preserve"> </w:t>
      </w:r>
      <w:r>
        <w:rPr>
          <w:iCs/>
          <w:i/>
        </w:rPr>
        <w:t xml:space="preserve">International Journal of Infectious Diseases</w:t>
      </w:r>
      <w:r>
        <w:t xml:space="preserve">,</w:t>
      </w:r>
      <w:r>
        <w:t xml:space="preserve"> </w:t>
      </w:r>
      <w:r>
        <w:rPr>
          <w:iCs/>
          <w:i/>
        </w:rPr>
        <w:t xml:space="preserve">124</w:t>
      </w:r>
      <w:r>
        <w:t xml:space="preserve">, undefined–undefined.</w:t>
      </w:r>
      <w:r>
        <w:t xml:space="preserve"> </w:t>
      </w:r>
      <w:hyperlink r:id="rId69">
        <w:r>
          <w:rPr>
            <w:rStyle w:val="Hyperlink"/>
          </w:rPr>
          <w:t xml:space="preserve">https://doi.org/10.1016/j.ijid.2022.03.011</w:t>
        </w:r>
      </w:hyperlink>
    </w:p>
    <w:bookmarkEnd w:id="70"/>
    <w:bookmarkStart w:id="72" w:name="ref-dong_improved_2022"/>
    <w:p>
      <w:pPr>
        <w:pStyle w:val="Bibliography"/>
      </w:pPr>
      <w:r>
        <w:t xml:space="preserve">Dong, B., He, Z., Li, Y., Xu, X., Wang, C., &amp; Zeng, J. (2022). Improved</w:t>
      </w:r>
      <w:r>
        <w:t xml:space="preserve"> </w:t>
      </w:r>
      <w:r>
        <w:t xml:space="preserve">Conventional</w:t>
      </w:r>
      <w:r>
        <w:t xml:space="preserve"> </w:t>
      </w:r>
      <w:r>
        <w:t xml:space="preserve">and</w:t>
      </w:r>
      <w:r>
        <w:t xml:space="preserve"> </w:t>
      </w:r>
      <w:r>
        <w:t xml:space="preserve">New</w:t>
      </w:r>
      <w:r>
        <w:t xml:space="preserve"> </w:t>
      </w:r>
      <w:r>
        <w:t xml:space="preserve">Approaches</w:t>
      </w:r>
      <w:r>
        <w:t xml:space="preserve"> </w:t>
      </w:r>
      <w:r>
        <w:t xml:space="preserve">in the</w:t>
      </w:r>
      <w:r>
        <w:t xml:space="preserve"> </w:t>
      </w:r>
      <w:r>
        <w:t xml:space="preserve">Diagnosis</w:t>
      </w:r>
      <w:r>
        <w:t xml:space="preserve"> </w:t>
      </w:r>
      <w:r>
        <w:t xml:space="preserve">of</w:t>
      </w:r>
      <w:r>
        <w:t xml:space="preserve"> </w:t>
      </w:r>
      <w:r>
        <w:t xml:space="preserve">Tuberculosis</w:t>
      </w:r>
      <w:r>
        <w:t xml:space="preserve">.</w:t>
      </w:r>
      <w:r>
        <w:t xml:space="preserve"> </w:t>
      </w:r>
      <w:r>
        <w:rPr>
          <w:iCs/>
          <w:i/>
        </w:rPr>
        <w:t xml:space="preserve">Frontiers in Microbiology</w:t>
      </w:r>
      <w:r>
        <w:t xml:space="preserve">,</w:t>
      </w:r>
      <w:r>
        <w:t xml:space="preserve"> </w:t>
      </w:r>
      <w:r>
        <w:rPr>
          <w:iCs/>
          <w:i/>
        </w:rPr>
        <w:t xml:space="preserve">13</w:t>
      </w:r>
      <w:r>
        <w:t xml:space="preserve">, undefined–undefined.</w:t>
      </w:r>
      <w:r>
        <w:t xml:space="preserve"> </w:t>
      </w:r>
      <w:hyperlink r:id="rId71">
        <w:r>
          <w:rPr>
            <w:rStyle w:val="Hyperlink"/>
          </w:rPr>
          <w:t xml:space="preserve">https://doi.org/10.3389/fmicb.2022.924410</w:t>
        </w:r>
      </w:hyperlink>
    </w:p>
    <w:bookmarkEnd w:id="72"/>
    <w:bookmarkStart w:id="74" w:name="ref-javatpoint_support_2021"/>
    <w:p>
      <w:pPr>
        <w:pStyle w:val="Bibliography"/>
      </w:pPr>
      <w:r>
        <w:t xml:space="preserve">JavaTpoint, U. (2021). Support</w:t>
      </w:r>
      <w:r>
        <w:t xml:space="preserve"> </w:t>
      </w:r>
      <w:r>
        <w:t xml:space="preserve">Vector</w:t>
      </w:r>
      <w:r>
        <w:t xml:space="preserve"> </w:t>
      </w:r>
      <w:r>
        <w:t xml:space="preserve">Machine</w:t>
      </w:r>
      <w:r>
        <w:t xml:space="preserve"> </w:t>
      </w:r>
      <w:r>
        <w:t xml:space="preserve">Algorithm</w:t>
      </w:r>
      <w:r>
        <w:t xml:space="preserve">.</w:t>
      </w:r>
      <w:r>
        <w:t xml:space="preserve"> </w:t>
      </w:r>
      <w:r>
        <w:rPr>
          <w:iCs/>
          <w:i/>
        </w:rPr>
        <w:t xml:space="preserve">JavaTpoint</w:t>
      </w:r>
      <w:r>
        <w:t xml:space="preserve">, undefined–undefined. Retrieved from</w:t>
      </w:r>
      <w:r>
        <w:t xml:space="preserve"> </w:t>
      </w:r>
      <w:hyperlink r:id="rId73">
        <w:r>
          <w:rPr>
            <w:rStyle w:val="Hyperlink"/>
          </w:rPr>
          <w:t xml:space="preserve">https://www.mendeley.com/catalogue/243af9d0-11e4-30d2-bdf5-97610716bdc8/</w:t>
        </w:r>
      </w:hyperlink>
    </w:p>
    <w:bookmarkEnd w:id="74"/>
    <w:bookmarkStart w:id="76" w:name="ref-kintu_unfavorable_2023"/>
    <w:p>
      <w:pPr>
        <w:pStyle w:val="Bibliography"/>
      </w:pPr>
      <w:r>
        <w:t xml:space="preserve">Kintu, T. M., Mwanahamisi, B. S., Muwanguzi, M., Kyagambiddwa, T., Miiro, E., Tishekwa, N., … Nuwagira, E. (2023). Unfavorable treatment outcomes among patients with drug-resistant</w:t>
      </w:r>
      <w:r>
        <w:t xml:space="preserve"> </w:t>
      </w:r>
      <w:r>
        <w:t xml:space="preserve">TB</w:t>
      </w:r>
      <w:r>
        <w:t xml:space="preserve"> </w:t>
      </w:r>
      <w:r>
        <w:t xml:space="preserve">in</w:t>
      </w:r>
      <w:r>
        <w:t xml:space="preserve"> </w:t>
      </w:r>
      <w:r>
        <w:t xml:space="preserve">Uganda</w:t>
      </w:r>
      <w:r>
        <w:t xml:space="preserve">.</w:t>
      </w:r>
      <w:r>
        <w:t xml:space="preserve"> </w:t>
      </w:r>
      <w:r>
        <w:rPr>
          <w:iCs/>
          <w:i/>
        </w:rPr>
        <w:t xml:space="preserve">International Journal of Tuberculosis and Lung Disease</w:t>
      </w:r>
      <w:r>
        <w:t xml:space="preserve">,</w:t>
      </w:r>
      <w:r>
        <w:t xml:space="preserve"> </w:t>
      </w:r>
      <w:r>
        <w:rPr>
          <w:iCs/>
          <w:i/>
        </w:rPr>
        <w:t xml:space="preserve">27</w:t>
      </w:r>
      <w:r>
        <w:t xml:space="preserve">(4), 291–297.</w:t>
      </w:r>
      <w:r>
        <w:t xml:space="preserve"> </w:t>
      </w:r>
      <w:hyperlink r:id="rId75">
        <w:r>
          <w:rPr>
            <w:rStyle w:val="Hyperlink"/>
          </w:rPr>
          <w:t xml:space="preserve">https://doi.org/10.5588/ijtld.22.0638</w:t>
        </w:r>
      </w:hyperlink>
    </w:p>
    <w:bookmarkEnd w:id="76"/>
    <w:bookmarkStart w:id="78" w:name="ref-palattiyil_access_2022"/>
    <w:p>
      <w:pPr>
        <w:pStyle w:val="Bibliography"/>
      </w:pPr>
      <w:r>
        <w:t xml:space="preserve">Palattiyil, G., Kisaakye, P., Mwenyango, H., Katongole, S., Mulekya, F., Sidhva, D., … Bukuluki, P. (2022). Access to</w:t>
      </w:r>
      <w:r>
        <w:t xml:space="preserve"> </w:t>
      </w:r>
      <w:r>
        <w:t xml:space="preserve">HIV</w:t>
      </w:r>
      <w:r>
        <w:t xml:space="preserve">/</w:t>
      </w:r>
      <w:r>
        <w:t xml:space="preserve">AIDS</w:t>
      </w:r>
      <w:r>
        <w:t xml:space="preserve"> </w:t>
      </w:r>
      <w:r>
        <w:t xml:space="preserve">or</w:t>
      </w:r>
      <w:r>
        <w:t xml:space="preserve"> </w:t>
      </w:r>
      <w:r>
        <w:t xml:space="preserve">TB</w:t>
      </w:r>
      <w:r>
        <w:t xml:space="preserve"> </w:t>
      </w:r>
      <w:r>
        <w:t xml:space="preserve">care among refugees in</w:t>
      </w:r>
      <w:r>
        <w:t xml:space="preserve"> </w:t>
      </w:r>
      <w:r>
        <w:t xml:space="preserve">Kampala</w:t>
      </w:r>
      <w:r>
        <w:t xml:space="preserve">,</w:t>
      </w:r>
      <w:r>
        <w:t xml:space="preserve"> </w:t>
      </w:r>
      <w:r>
        <w:t xml:space="preserve">Uganda</w:t>
      </w:r>
      <w:r>
        <w:t xml:space="preserve">: Exploring the enablers and barriers during the</w:t>
      </w:r>
      <w:r>
        <w:t xml:space="preserve"> </w:t>
      </w:r>
      <w:r>
        <w:t xml:space="preserve">COVID</w:t>
      </w:r>
      <w:r>
        <w:t xml:space="preserve">-19 pandemic.</w:t>
      </w:r>
      <w:r>
        <w:t xml:space="preserve"> </w:t>
      </w:r>
      <w:r>
        <w:rPr>
          <w:iCs/>
          <w:i/>
        </w:rPr>
        <w:t xml:space="preserve">Journal of Migration and Health</w:t>
      </w:r>
      <w:r>
        <w:t xml:space="preserve">,</w:t>
      </w:r>
      <w:r>
        <w:t xml:space="preserve"> </w:t>
      </w:r>
      <w:r>
        <w:rPr>
          <w:iCs/>
          <w:i/>
        </w:rPr>
        <w:t xml:space="preserve">5</w:t>
      </w:r>
      <w:r>
        <w:t xml:space="preserve">, undefined–undefined.</w:t>
      </w:r>
      <w:r>
        <w:t xml:space="preserve"> </w:t>
      </w:r>
      <w:hyperlink r:id="rId77">
        <w:r>
          <w:rPr>
            <w:rStyle w:val="Hyperlink"/>
          </w:rPr>
          <w:t xml:space="preserve">https://doi.org/10.1016/j.jmh.2022.100098</w:t>
        </w:r>
      </w:hyperlink>
    </w:p>
    <w:bookmarkEnd w:id="78"/>
    <w:bookmarkStart w:id="80" w:name="ref-riehl_hierarchical_2023"/>
    <w:p>
      <w:pPr>
        <w:pStyle w:val="Bibliography"/>
      </w:pPr>
      <w:r>
        <w:t xml:space="preserve">Riehl, K., Neunteufel, M., &amp; Hemberg, M. (2023). Hierarchical confusion matrix for classification performance evaluation.</w:t>
      </w:r>
      <w:r>
        <w:t xml:space="preserve"> </w:t>
      </w:r>
      <w:r>
        <w:rPr>
          <w:iCs/>
          <w:i/>
        </w:rPr>
        <w:t xml:space="preserve">Journal of the Royal Statistical Society Series C: Applied Statistics</w:t>
      </w:r>
      <w:r>
        <w:t xml:space="preserve">,</w:t>
      </w:r>
      <w:r>
        <w:t xml:space="preserve"> </w:t>
      </w:r>
      <w:r>
        <w:rPr>
          <w:iCs/>
          <w:i/>
        </w:rPr>
        <w:t xml:space="preserve">72</w:t>
      </w:r>
      <w:r>
        <w:t xml:space="preserve">(5), 1394–1412.</w:t>
      </w:r>
      <w:r>
        <w:t xml:space="preserve"> </w:t>
      </w:r>
      <w:hyperlink r:id="rId79">
        <w:r>
          <w:rPr>
            <w:rStyle w:val="Hyperlink"/>
          </w:rPr>
          <w:t xml:space="preserve">https://doi.org/10.1093/jrsssc/qlad057</w:t>
        </w:r>
      </w:hyperlink>
    </w:p>
    <w:bookmarkEnd w:id="80"/>
    <w:bookmarkStart w:id="82" w:name="ref-robinson_validating_2020"/>
    <w:p>
      <w:pPr>
        <w:pStyle w:val="Bibliography"/>
      </w:pPr>
      <w:r>
        <w:t xml:space="preserve">Robinson, M. C., Glen, R. C., &amp; Lee, A. A. (2020). Validating the validation: Reanalyzing a large-scale comparison of deep learning and machine learning models for bioactivity prediction.</w:t>
      </w:r>
      <w:r>
        <w:t xml:space="preserve"> </w:t>
      </w:r>
      <w:r>
        <w:rPr>
          <w:iCs/>
          <w:i/>
        </w:rPr>
        <w:t xml:space="preserve">Journal of Computer-Aided Molecular Design</w:t>
      </w:r>
      <w:r>
        <w:t xml:space="preserve">,</w:t>
      </w:r>
      <w:r>
        <w:t xml:space="preserve"> </w:t>
      </w:r>
      <w:r>
        <w:rPr>
          <w:iCs/>
          <w:i/>
        </w:rPr>
        <w:t xml:space="preserve">34</w:t>
      </w:r>
      <w:r>
        <w:t xml:space="preserve">(7), 717–730.</w:t>
      </w:r>
      <w:r>
        <w:t xml:space="preserve"> </w:t>
      </w:r>
      <w:hyperlink r:id="rId81">
        <w:r>
          <w:rPr>
            <w:rStyle w:val="Hyperlink"/>
          </w:rPr>
          <w:t xml:space="preserve">https://doi.org/10.1007/s10822-019-00274-0</w:t>
        </w:r>
      </w:hyperlink>
    </w:p>
    <w:bookmarkEnd w:id="82"/>
    <w:bookmarkStart w:id="84" w:name="ref-sagili_strategies_2022"/>
    <w:p>
      <w:pPr>
        <w:pStyle w:val="Bibliography"/>
      </w:pPr>
      <w:r>
        <w:t xml:space="preserve">Sagili, K. D., Muniyandi, M., Shringarpure, K., Singh, K., Kirubakaran, R., Rao, R., … Tharyan, P. (2022). Strategies to detect and manage latent tuberculosis infection among household contacts of pulmonary</w:t>
      </w:r>
      <w:r>
        <w:t xml:space="preserve"> </w:t>
      </w:r>
      <w:r>
        <w:t xml:space="preserve">TB</w:t>
      </w:r>
      <w:r>
        <w:t xml:space="preserve"> </w:t>
      </w:r>
      <w:r>
        <w:t xml:space="preserve">patients in high</w:t>
      </w:r>
      <w:r>
        <w:t xml:space="preserve"> </w:t>
      </w:r>
      <w:r>
        <w:t xml:space="preserve">TB</w:t>
      </w:r>
      <w:r>
        <w:t xml:space="preserve"> </w:t>
      </w:r>
      <w:r>
        <w:t xml:space="preserve">burden countries - a systematic review and meta-analysis.</w:t>
      </w:r>
      <w:r>
        <w:t xml:space="preserve"> </w:t>
      </w:r>
      <w:r>
        <w:rPr>
          <w:iCs/>
          <w:i/>
        </w:rPr>
        <w:t xml:space="preserve">Tropical Medicine and International Health</w:t>
      </w:r>
      <w:r>
        <w:t xml:space="preserve">,</w:t>
      </w:r>
      <w:r>
        <w:t xml:space="preserve"> </w:t>
      </w:r>
      <w:r>
        <w:rPr>
          <w:iCs/>
          <w:i/>
        </w:rPr>
        <w:t xml:space="preserve">27</w:t>
      </w:r>
      <w:r>
        <w:t xml:space="preserve">(10), 842–863.</w:t>
      </w:r>
      <w:r>
        <w:t xml:space="preserve"> </w:t>
      </w:r>
      <w:hyperlink r:id="rId83">
        <w:r>
          <w:rPr>
            <w:rStyle w:val="Hyperlink"/>
          </w:rPr>
          <w:t xml:space="preserve">https://doi.org/10.1111/tmi.13808</w:t>
        </w:r>
      </w:hyperlink>
    </w:p>
    <w:bookmarkEnd w:id="84"/>
    <w:bookmarkStart w:id="86" w:name="ref-simon_interpreting_2023"/>
    <w:p>
      <w:pPr>
        <w:pStyle w:val="Bibliography"/>
      </w:pPr>
      <w:r>
        <w:t xml:space="preserve">Simon, S. M., Glaum, P., &amp; Valdovinos, F. S. (2023). Interpreting random forest analysis of ecological models to move from prediction to explanation.</w:t>
      </w:r>
      <w:r>
        <w:t xml:space="preserve"> </w:t>
      </w:r>
      <w:r>
        <w:rPr>
          <w:iCs/>
          <w:i/>
        </w:rPr>
        <w:t xml:space="preserve">Scientific Reports</w:t>
      </w:r>
      <w:r>
        <w:t xml:space="preserve">,</w:t>
      </w:r>
      <w:r>
        <w:t xml:space="preserve"> </w:t>
      </w:r>
      <w:r>
        <w:rPr>
          <w:iCs/>
          <w:i/>
        </w:rPr>
        <w:t xml:space="preserve">13</w:t>
      </w:r>
      <w:r>
        <w:t xml:space="preserve">(1), undefined–undefined.</w:t>
      </w:r>
      <w:r>
        <w:t xml:space="preserve"> </w:t>
      </w:r>
      <w:hyperlink r:id="rId85">
        <w:r>
          <w:rPr>
            <w:rStyle w:val="Hyperlink"/>
          </w:rPr>
          <w:t xml:space="preserve">https://doi.org/10.1038/s41598-023-30313-8</w:t>
        </w:r>
      </w:hyperlink>
    </w:p>
    <w:bookmarkEnd w:id="86"/>
    <w:bookmarkStart w:id="88" w:name="ref-zhao_model_2006"/>
    <w:p>
      <w:pPr>
        <w:pStyle w:val="Bibliography"/>
      </w:pPr>
      <w:r>
        <w:t xml:space="preserve">Zhao, P., &amp; Yu, B. (2006). On model selection consistency of</w:t>
      </w:r>
      <w:r>
        <w:t xml:space="preserve"> </w:t>
      </w:r>
      <w:r>
        <w:t xml:space="preserve">Lasso</w:t>
      </w:r>
      <w:r>
        <w:t xml:space="preserve">.</w:t>
      </w:r>
      <w:r>
        <w:t xml:space="preserve"> </w:t>
      </w:r>
      <w:r>
        <w:rPr>
          <w:iCs/>
          <w:i/>
        </w:rPr>
        <w:t xml:space="preserve">Journal of Machine Learning Research</w:t>
      </w:r>
      <w:r>
        <w:t xml:space="preserve">,</w:t>
      </w:r>
      <w:r>
        <w:t xml:space="preserve"> </w:t>
      </w:r>
      <w:r>
        <w:rPr>
          <w:iCs/>
          <w:i/>
        </w:rPr>
        <w:t xml:space="preserve">7</w:t>
      </w:r>
      <w:r>
        <w:t xml:space="preserve">, 2541–2563. Retrieved from</w:t>
      </w:r>
      <w:r>
        <w:t xml:space="preserve"> </w:t>
      </w:r>
      <w:hyperlink r:id="rId87">
        <w:r>
          <w:rPr>
            <w:rStyle w:val="Hyperlink"/>
          </w:rPr>
          <w:t xml:space="preserve">https://www.mendeley.com/catalogue/bb7b560c-7710-3e67-8975-46ef01e2d999/</w:t>
        </w:r>
      </w:hyperlink>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2024-05-05T01:46:07Z</dcterms:created>
  <dcterms:modified xsi:type="dcterms:W3CDTF">2024-05-05T01:46:07Z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../../assets/MADAPROJECT.bib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