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bidi w:val="false"/>
        <w:jc w:val="center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激素治疗</w:t>
      </w:r>
    </w:p>
    <w:p>
      <w:pPr>
        <w:pStyle w:val="style0"/>
        <w:rPr>
          <w:rFonts w:hint="eastAsia"/>
        </w:rPr>
      </w:pPr>
      <w:r>
        <w:rPr>
          <w:rFonts w:hint="eastAsia"/>
        </w:rPr>
        <w:t>主要目的:</w:t>
      </w:r>
    </w:p>
    <w:p>
      <w:pPr>
        <w:pStyle w:val="style0"/>
        <w:rPr>
          <w:rFonts w:hint="eastAsia"/>
        </w:rPr>
      </w:pPr>
      <w:r>
        <w:rPr>
          <w:rFonts w:hint="eastAsia"/>
        </w:rPr>
        <w:t>1.体验所认同性别（女性）的生理状态，帮助接纳自我</w:t>
      </w:r>
    </w:p>
    <w:p>
      <w:pPr>
        <w:pStyle w:val="style0"/>
        <w:rPr>
          <w:rFonts w:hint="eastAsia"/>
        </w:rPr>
      </w:pPr>
      <w:r>
        <w:rPr>
          <w:rFonts w:hint="eastAsia"/>
        </w:rPr>
        <w:t>2.如果已经接受性别重置手术，维持术后认同性别（女性）的基础性的雌激素水平</w:t>
      </w:r>
    </w:p>
    <w:p>
      <w:pPr>
        <w:pStyle w:val="style0"/>
        <w:rPr>
          <w:rFonts w:hint="eastAsia"/>
        </w:rPr>
      </w:pPr>
      <w:r>
        <w:rPr>
          <w:rFonts w:hint="eastAsia"/>
        </w:rPr>
        <w:t>次要目的:1.帮助减少男性第二性征；</w:t>
      </w:r>
    </w:p>
    <w:p>
      <w:pPr>
        <w:pStyle w:val="style0"/>
        <w:rPr>
          <w:rFonts w:hint="eastAsia"/>
        </w:rPr>
      </w:pPr>
      <w:r>
        <w:rPr>
          <w:rFonts w:hint="eastAsia"/>
        </w:rPr>
        <w:t>2.接近认同性别（女性）的基础性的雌激素水平，帮助促进/维持女性第二性征表达</w:t>
      </w:r>
    </w:p>
    <w:p>
      <w:pPr>
        <w:pStyle w:val="style0"/>
        <w:rPr>
          <w:rFonts w:hint="eastAsia"/>
        </w:rPr>
      </w:pPr>
      <w:r>
        <w:rPr>
          <w:rFonts w:hint="eastAsia"/>
        </w:rPr>
        <w:t>前提条件:</w:t>
      </w:r>
    </w:p>
    <w:p>
      <w:pPr>
        <w:pStyle w:val="style0"/>
        <w:rPr>
          <w:rFonts w:hint="eastAsia"/>
        </w:rPr>
      </w:pPr>
      <w:r>
        <w:rPr>
          <w:rFonts w:hint="eastAsia"/>
        </w:rPr>
        <w:t>1.具有正规、明确的易性症诊断</w:t>
      </w:r>
    </w:p>
    <w:p>
      <w:pPr>
        <w:pStyle w:val="style0"/>
        <w:rPr>
          <w:rFonts w:hint="eastAsia"/>
        </w:rPr>
      </w:pPr>
      <w:r>
        <w:rPr>
          <w:rFonts w:hint="eastAsia"/>
        </w:rPr>
        <w:t>2心理疏导、化妆、异装、美容等不能缓解患者的痛苦，患者本人具有自发、明确、强烈的激素治疗诉求。</w:t>
      </w:r>
    </w:p>
    <w:p>
      <w:pPr>
        <w:pStyle w:val="style0"/>
        <w:rPr>
          <w:rFonts w:hint="eastAsia"/>
        </w:rPr>
      </w:pPr>
      <w:r>
        <w:rPr>
          <w:rFonts w:hint="eastAsia"/>
        </w:rPr>
        <w:t>3治疗前筛查无激素治疗的禁忌症</w:t>
      </w:r>
    </w:p>
    <w:p>
      <w:pPr>
        <w:pStyle w:val="style0"/>
        <w:rPr>
          <w:rFonts w:hint="eastAsia"/>
        </w:rPr>
      </w:pPr>
      <w:r>
        <w:rPr>
          <w:rFonts w:hint="eastAsia"/>
        </w:rPr>
        <w:t>4年满18周岁，或年满16周岁且父母双方已书面知情同意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5.目前和将来无自然生育的诉求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6无烟酒嗜好，或已经戒烟、不嗜酒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7能够规律、正规地监测和随诊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使用药物: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雌激素、雄激素拮抗剂、孕激素（暂有争议）参考药品及用量:</w:t>
      </w:r>
    </w:p>
    <w:p>
      <w:pPr>
        <w:pStyle w:val="style0"/>
        <w:numPr>
          <w:ilvl w:val="0"/>
          <w:numId w:val="0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drawing>
          <wp:inline distL="0" distT="0" distB="0" distR="0">
            <wp:extent cx="5154295" cy="1214755"/>
            <wp:effectExtent l="0" t="0" r="1905" b="4445"/>
            <wp:docPr id="1026" name="图片 1" descr="微信图片_202008082108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2806" t="12017" r="3371" b="9185"/>
                    <a:stretch/>
                  </pic:blipFill>
                  <pic:spPr>
                    <a:xfrm rot="0">
                      <a:off x="0" y="0"/>
                      <a:ext cx="5154295" cy="1214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禁忌症: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1、近期患有心肌梗死、脑血管病变、急性或复发性血栓病变患者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2、对药物过敏者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3、高血压病、糖尿病、高血脂症、肝肾功能不全患者者慎用或需严密监测下使用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治疗前检查: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四肢体格检查（是否有血管畸形等）、血常规、肝肾功能、血糖、血脂、凝血功能、甲状腺功能等，以及血清睾酮水平，骨密度检查40岁以上行胸部X线以及心电图检查</w:t>
      </w:r>
      <w:r>
        <w:rPr>
          <w:rFonts w:hint="default"/>
          <w:lang w:val="en-US"/>
        </w:rPr>
        <w:t>。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治疗中监测:定期（3个月一次）复查血常规、肝肾功能、血糖、血脂，雌激素、催乳素水平以及睾酮水平，定期检查乳房及骨密度。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疗程: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遵医嘱，部分药物在达到相反性征表达完全或性别改换手术后减量或停用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效果及生理变化:</w:t>
      </w:r>
    </w:p>
    <w:p>
      <w:pPr>
        <w:pStyle w:val="style0"/>
        <w:numPr>
          <w:ilvl w:val="0"/>
          <w:numId w:val="0"/>
        </w:num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drawing>
          <wp:inline distL="0" distT="0" distB="0" distR="0">
            <wp:extent cx="3273425" cy="2117725"/>
            <wp:effectExtent l="0" t="0" r="3175" b="3175"/>
            <wp:docPr id="1027" name="图片 2" descr="微信图片_2020080821090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2890" t="6644" r="2649" b="2975"/>
                    <a:stretch/>
                  </pic:blipFill>
                  <pic:spPr>
                    <a:xfrm rot="0">
                      <a:off x="0" y="0"/>
                      <a:ext cx="3273425" cy="2117725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可能出现的并发症与风险: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1雌二醇和螺内酯治疗易性症为超说明书用药，用药有效性和副作用存在不确定等风险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2.血栓（深部血栓、肺栓塞、心脑血管意外）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3性欲降低，男性性功能障碍，不育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4泌乳素升高、罕见泌乳素瘤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5.多尿、血压降低、电解质紊乱，其中严重高钾血症可导致猝死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6.肝损伤（肝炎、黄疸）、胆结石，严重者可导致肝衰竭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7体重增加、糖尿病、血脂异常、高尿酸血症、高血压风险增加，心脑血管疾病风险增加。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8乳腺癌风险可能增加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9骨质疏松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10抑郁、脑膜瘤风险增加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11.其他尚不明确的风险</w:t>
      </w:r>
    </w:p>
    <w:p>
      <w:pPr>
        <w:pStyle w:val="style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12激素治疗也可能无法完全缓解性别焦虑状态，最终仍需要求助于其它替代治疗方案可能</w:t>
      </w:r>
    </w:p>
    <w:sectPr>
      <w:pgSz w:w="11906" w:h="16838" w:orient="portrait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beforeAutospacing="false" w:after="330" w:afterAutospacing="false" w:lineRule="auto" w:line="576"/>
      <w:outlineLvl w:val="0"/>
    </w:pPr>
    <w:rPr>
      <w:b/>
      <w:kern w:val="44"/>
      <w:sz w:val="44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832</Words>
  <Pages>1</Pages>
  <Characters>849</Characters>
  <Application>WPS Office</Application>
  <DocSecurity>0</DocSecurity>
  <Paragraphs>41</Paragraphs>
  <ScaleCrop>false</ScaleCrop>
  <LinksUpToDate>false</LinksUpToDate>
  <CharactersWithSpaces>849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2020-08-08T13:08:00Z</dcterms:created>
  <dc:creator>Nathan</dc:creator>
  <lastModifiedBy>KB2000</lastModifiedBy>
  <lastPrinted>2020-08-08T13:13:00Z</lastPrinted>
  <dcterms:modified xsi:type="dcterms:W3CDTF">2020-12-29T02:47:32Z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