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AfriAssistive: Venture and Platform Master Documentation</w:t>
      </w:r>
    </w:p>
    <w:p>
      <w:pPr/>
      <w:r>
        <w:t xml:space="preserve">Version 3.0 · 7 October 2026 · Status: pre-pilot, pre-build · Audience: founders, clinical and manufacturing partners, funders, regulators (pre-engagement), engineers</w:t>
      </w:r>
    </w:p>
    <w:p>
      <w:pPr>
        <w:pStyle w:val="Heading2"/>
      </w:pPr>
      <w:r>
        <w:t xml:space="preserve">About this document</w:t>
      </w:r>
    </w:p>
    <w:p>
      <w:pPr/>
      <w:r>
        <w:t xml:space="preserve">AfriAssistive is a Kenyan social enterprise that designs, produces, fits and services assistive technology (AT), and runs the software platform that ties the whole service chain together. This document is the single, self-contained reference for both halves of that work: </w:t>
      </w:r>
      <w:r>
        <w:rPr>
          <w:b/>
        </w:rPr>
        <w:t xml:space="preserve">Part I</w:t>
      </w:r>
      <w:r>
        <w:t xml:space="preserve"> is the venture (need, market, strategy, regulation, economics, funding, risks, validation plan) and </w:t>
      </w:r>
      <w:r>
        <w:rPr>
          <w:b/>
        </w:rPr>
        <w:t xml:space="preserve">Part II</w:t>
      </w:r>
      <w:r>
        <w:t xml:space="preserve"> is the platform (requirements, architecture, data, APIs, security, compliance, roadmap). The appendices hold glossaries, flows, checklists and the evidence register.</w:t>
      </w:r>
    </w:p>
    <w:p>
      <w:pPr/>
      <w:r>
        <w:t xml:space="preserve">The idea began as coursework at Daystar University (ACS-404A, Entrepreneurship and Small Business Development; Group 4: V. Mungai, J. Ndereba, K. Kagunya, V. Mutuma, E. Onganga). It has since been rebuilt around live research completed in October 2026.</w:t>
      </w:r>
    </w:p>
    <w:p>
      <w:pPr>
        <w:pStyle w:val="Heading3"/>
      </w:pPr>
      <w:r>
        <w:t xml:space="preserve">How to read the evidence tags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Tag</w:t>
            </w:r>
          </w:p>
        </w:tc>
        <w:tc>
          <w:tcPr>
            <w:tcW w:w="4680" w:type="dxa"/>
            <w:shd w:val="clear" w:color="auto" w:fill="F2F2F2"/>
          </w:tcPr>
          <w:p>
            <w:pPr/>
            <w:r>
              <w:t xml:space="preserve">Meaning</w:t>
            </w:r>
          </w:p>
        </w:tc>
      </w:tr>
      <w:tr>
        <w:tc>
          <w:tcPr>
            <w:tcW w:w="4680" w:type="dxa"/>
          </w:tcPr>
          <w:p>
            <w:pPr/>
            <w:r>
              <w:t xml:space="preserve">✅P</w:t>
            </w:r>
          </w:p>
        </w:tc>
        <w:tc>
          <w:tcPr>
            <w:tcW w:w="4680" w:type="dxa"/>
          </w:tcPr>
          <w:p>
            <w:pPr/>
            <w:r>
              <w:t xml:space="preserve">Confirmed in a primary document opened during research (statute text, regulator guidance note, official schedule, programme report).</w:t>
            </w:r>
          </w:p>
        </w:tc>
      </w:tr>
      <w:tr>
        <w:tc>
          <w:tcPr>
            <w:tcW w:w="4680" w:type="dxa"/>
          </w:tcPr>
          <w:p>
            <w:pPr/>
            <w:r>
              <w:t xml:space="preserve">✅</w:t>
            </w:r>
          </w:p>
        </w:tc>
        <w:tc>
          <w:tcPr>
            <w:tcW w:w="4680" w:type="dxa"/>
          </w:tcPr>
          <w:p>
            <w:pPr/>
            <w:r>
              <w:t xml:space="preserve">Confirmed in at least one secondary source (news report, law-firm note, organisation page). Open the source before quoting it formally.</w:t>
            </w:r>
          </w:p>
        </w:tc>
      </w:tr>
      <w:tr>
        <w:tc>
          <w:tcPr>
            <w:tcW w:w="4680" w:type="dxa"/>
          </w:tcPr>
          <w:p>
            <w:pPr/>
            <w:r>
              <w:t xml:space="preserve">[V]</w:t>
            </w:r>
          </w:p>
        </w:tc>
        <w:tc>
          <w:tcPr>
            <w:tcW w:w="4680" w:type="dxa"/>
          </w:tcPr>
          <w:p>
            <w:pPr/>
            <w:r>
              <w:t xml:space="preserve">Unverified. Plausible, but not checked. Confirm before relying on it.</w:t>
            </w:r>
          </w:p>
        </w:tc>
      </w:tr>
      <w:tr>
        <w:tc>
          <w:tcPr>
            <w:tcW w:w="4680" w:type="dxa"/>
          </w:tcPr>
          <w:p>
            <w:pPr/>
            <w:r>
              <w:t xml:space="preserve">[A]</w:t>
            </w:r>
          </w:p>
        </w:tc>
        <w:tc>
          <w:tcPr>
            <w:tcW w:w="4680" w:type="dxa"/>
          </w:tcPr>
          <w:p>
            <w:pPr/>
            <w:r>
              <w:t xml:space="preserve">An assumption, estimate or recommendation made by the authors. It is not a fact.</w:t>
            </w:r>
          </w:p>
        </w:tc>
      </w:tr>
    </w:tbl>
    <w:p>
      <w:pPr/>
      <w:r>
        <w:t xml:space="preserve">All costs, prices, volumes and timelines in this document are [A] unless tagged otherwise, until they are replaced by supplier quotes and pilot data. Nothing here is legal, regulatory or clinical advice; have a Kenyan lawyer and the relevant regulators confirm the compliance sections before launch.</w:t>
      </w:r>
    </w:p>
    <w:p>
      <w:pPr>
        <w:pStyle w:val="Heading2"/>
      </w:pPr>
      <w:r>
        <w:t xml:space="preserve">1. Executive summary</w:t>
      </w:r>
    </w:p>
    <w:p>
      <w:pPr/>
      <w:r>
        <w:rPr>
          <w:b/>
        </w:rPr>
        <w:t xml:space="preserve">What we do.</w:t>
      </w:r>
      <w:r>
        <w:t xml:space="preserve"> AfriAssistive makes and services assistive devices across three capability tiers: </w:t>
      </w:r>
      <w:r>
        <w:rPr>
          <w:b/>
        </w:rPr>
        <w:t xml:space="preserve">Tier 1 low-tech</w:t>
      </w:r>
      <w:r>
        <w:t xml:space="preserve"> (crutches, canes, walking frames, manual community wheelchairs, daily-living aids), </w:t>
      </w:r>
      <w:r>
        <w:rPr>
          <w:b/>
        </w:rPr>
        <w:t xml:space="preserve">Tier 2 intermediate</w:t>
      </w:r>
      <w:r>
        <w:t xml:space="preserve"> (clinically fitted orthoses, prosthetic sockets, postural seating, low-vision and tactile aids) and </w:t>
      </w:r>
      <w:r>
        <w:rPr>
          <w:b/>
        </w:rPr>
        <w:t xml:space="preserve">Tier 3 hybrid/AI-enabled</w:t>
      </w:r>
      <w:r>
        <w:t xml:space="preserve"> (smartphone-scan fitting, predictive maintenance, usage analytics, Swahili voice and vision tools). We start where evidence of need and our manufacturing ability are strongest, and add technology only where it measurably improves fit, cost or follow-up.</w:t>
      </w:r>
    </w:p>
    <w:p>
      <w:pPr/>
      <w:r>
        <w:rPr>
          <w:b/>
        </w:rPr>
        <w:t xml:space="preserve">The core insight.</w:t>
      </w:r>
      <w:r>
        <w:t xml:space="preserve"> The binding constraint in Kenya is not only device supply; it is the full service chain of assessment, correct fit, training, repair and follow-up. Donated or imported devices without that chain are often abandoned. Our defensible position is therefore </w:t>
      </w:r>
      <w:r>
        <w:rPr>
          <w:b/>
        </w:rPr>
        <w:t xml:space="preserve">local manufacture plus clinical partnership plus a repair network plus data</w:t>
      </w:r>
      <w:r>
        <w:t xml:space="preserve">, with the software platform as the connective tissue. The 3D printer is not the moat.</w:t>
      </w:r>
    </w:p>
    <w:p>
      <w:pPr/>
      <w:r>
        <w:rPr>
          <w:b/>
        </w:rPr>
        <w:t xml:space="preserve">What the October 2026 research changed.</w:t>
      </w:r>
    </w:p>
    <w:p>
      <w:pPr>
        <w:pStyle w:val="ListParagraph"/>
        <w:numPr>
          <w:ilvl w:val="0"/>
          <w:numId w:val="2"/>
        </w:numPr>
      </w:pPr>
      <w:r>
        <w:t xml:space="preserve">Government has moved toward the same diagnosis. In July 2026 the Ministry of Health said it is advancing a </w:t>
      </w:r>
      <w:r>
        <w:rPr>
          <w:b/>
        </w:rPr>
        <w:t xml:space="preserve">government-led wheelchair service delivery system</w:t>
      </w:r>
      <w:r>
        <w:t xml:space="preserve"> against an estimated unmet need of about 550,000 wheelchairs, stressing assessment, prescription, fitting, training, repair and follow-up ✅. This validates the service-chain thesis and also means the state is becoming a large actor and a potential partner.</w:t>
      </w:r>
    </w:p>
    <w:p>
      <w:pPr>
        <w:pStyle w:val="ListParagraph"/>
        <w:numPr>
          <w:ilvl w:val="0"/>
          <w:numId w:val="2"/>
        </w:numPr>
      </w:pPr>
      <w:r>
        <w:t xml:space="preserve">The product space is more crowded than it looked: a government assistive-devices factory at KISE is nearly complete, 3D-printed prosthetics already operate in Nairobi, and several NGOs make and service wheelchairs ✅. Selling on price alone is not viable.</w:t>
      </w:r>
    </w:p>
    <w:p>
      <w:pPr>
        <w:pStyle w:val="ListParagraph"/>
        <w:numPr>
          <w:ilvl w:val="0"/>
          <w:numId w:val="2"/>
        </w:numPr>
      </w:pPr>
      <w:r>
        <w:rPr>
          <w:b/>
        </w:rPr>
        <w:t xml:space="preserve">Public payment is not settled.</w:t>
      </w:r>
      <w:r>
        <w:t xml:space="preserve"> Advocacy groups petitioned the Social Health Authority (SHA) in March 2026 because comprehensive coverage of devices is still missing ✅; the SHA schedule for one scheme (POMSF) requires manual pre-authorisation for every assistive device ✅P; and the tariffs announced for basic items in 2024 (about KES 900 for crutches, KES 500 for a walking frame) are below plausible direct costs for quality devices ✅ [A on cost].</w:t>
      </w:r>
    </w:p>
    <w:p>
      <w:pPr>
        <w:pStyle w:val="ListParagraph"/>
        <w:numPr>
          <w:ilvl w:val="0"/>
          <w:numId w:val="2"/>
        </w:numPr>
      </w:pPr>
      <w:r>
        <w:rPr>
          <w:b/>
        </w:rPr>
        <w:t xml:space="preserve">Regulatory and data obligations got more specific</w:t>
      </w:r>
      <w:r>
        <w:t xml:space="preserve">: PPB device classes and certification for public tenders ✅P, a pending Kenya Health Products and Technologies Regulatory Authority ✅, draft PPB guidance on software as a medical device (April 2026) ✅, Digital Health Act regulations (2025) requiring certification of digital health solutions ✅, ODPC cross-border and localisation guidance (2026) ✅P, and CBK licensing that now reaches pay-as-you-go credit ✅.</w:t>
      </w:r>
    </w:p>
    <w:p>
      <w:pPr>
        <w:pStyle w:val="ListParagraph"/>
        <w:numPr>
          <w:ilvl w:val="0"/>
          <w:numId w:val="2"/>
        </w:numPr>
      </w:pPr>
      <w:r>
        <w:rPr>
          <w:b/>
        </w:rPr>
        <w:t xml:space="preserve">Funding shifted.</w:t>
      </w:r>
      <w:r>
        <w:t xml:space="preserve"> USAID-linked money is gone (ATscale received a termination notice on 27 February 2025) ✅, while AT4D's Momentous Pilot Fund and the Kenya AI for Disability Project opened new, mostly digital-leaning doors ✅.</w:t>
      </w:r>
    </w:p>
    <w:p>
      <w:pPr/>
      <w:r>
        <w:rPr>
          <w:b/>
        </w:rPr>
        <w:t xml:space="preserve">Strategic position.</w:t>
      </w:r>
      <w:r>
        <w:t xml:space="preserve"> A service-and-data company: assessment, fitting, repair hubs, device traceability and outcome data for payers, delivered with partners, plus a narrow manufacturing niche we can do better than others. It is not a pure consumer-product business, and it is not an AI-first company.</w:t>
      </w:r>
    </w:p>
    <w:p>
      <w:pPr/>
      <w:r>
        <w:rPr>
          <w:b/>
        </w:rPr>
        <w:t xml:space="preserve">Economics, honestly.</w:t>
      </w:r>
      <w:r>
        <w:t xml:space="preserve"> On the illustrative unit economics in Section 11, the venture is roughly break-even in Year 1 only because of grants and remains loss-making in Years 2 and 3 even with grants, because operating costs grow ahead of volume. Break-even without grants needs about 4,000-4,500 devices per year, or a better mix of orthoses, care plans and service contracts. Section 11 shows which levers must move.</w:t>
      </w:r>
    </w:p>
    <w:p>
      <w:pPr/>
      <w:r>
        <w:rPr>
          <w:b/>
        </w:rPr>
        <w:t xml:space="preserve">The ask.</w:t>
      </w:r>
      <w:r>
        <w:t xml:space="preserve"> (1) A 90-day, 50-device pilot costed at about </w:t>
      </w:r>
      <w:r>
        <w:rPr>
          <w:b/>
        </w:rPr>
        <w:t xml:space="preserve">KES 1.92 million</w:t>
      </w:r>
      <w:r>
        <w:t xml:space="preserve"> (Section 12); (2) a signed clinical partner and ethics route; (3) at least one paying institutional buyer; (4) a qualified manufacturing/clinical lead; (5) a platform MVP of about 12 weeks (Part II, Section 27) to run the pilot end to end.</w:t>
      </w:r>
    </w:p>
    <w:p>
      <w:pPr>
        <w:pStyle w:val="Heading2"/>
      </w:pPr>
      <w:r>
        <w:t xml:space="preserve">2. The landscape in October 2026: what the research found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Finding</w:t>
            </w:r>
          </w:p>
        </w:tc>
        <w:tc>
          <w:tcPr>
            <w:tcW w:w="2340" w:type="dxa"/>
            <w:shd w:val="clear" w:color="auto" w:fill="F2F2F2"/>
          </w:tcPr>
          <w:p>
            <w:pPr/>
            <w:r>
              <w:t xml:space="preserve">Evidence</w:t>
            </w:r>
          </w:p>
        </w:tc>
        <w:tc>
          <w:tcPr>
            <w:tcW w:w="2340" w:type="dxa"/>
            <w:shd w:val="clear" w:color="auto" w:fill="F2F2F2"/>
          </w:tcPr>
          <w:p>
            <w:pPr/>
            <w:r>
              <w:t xml:space="preserve">What it means for AfriAssistive</w:t>
            </w:r>
          </w:p>
        </w:tc>
      </w:tr>
      <w:tr>
        <w:tc>
          <w:tcPr>
            <w:tcW w:w="2340" w:type="dxa"/>
          </w:tcPr>
          <w:p>
            <w:pPr/>
            <w:r>
              <w:t xml:space="preserve">1</w:t>
            </w:r>
          </w:p>
        </w:tc>
        <w:tc>
          <w:tcPr>
            <w:tcW w:w="2340" w:type="dxa"/>
          </w:tcPr>
          <w:p>
            <w:pPr/>
            <w:r>
              <w:t xml:space="preserve">Need is large and the data are contested</w:t>
            </w:r>
          </w:p>
        </w:tc>
        <w:tc>
          <w:tcPr>
            <w:tcW w:w="2340" w:type="dxa"/>
          </w:tcPr>
          <w:p>
            <w:pPr/>
            <w:r>
              <w:t xml:space="preserve">2019 census: 918,270 people aged 5+ with a disability (about 2.2%), 57% women and girls, mobility the largest domain (about 42%), rural prevalence 2.6% vs 1.4% urban ✅. The Washington Group country report gives an age-adjusted figure of 3.5% for ages 5+ ✅; WHO uses about 15% globally ✅. A national disability census is planned ✅.</w:t>
            </w:r>
          </w:p>
        </w:tc>
        <w:tc>
          <w:tcPr>
            <w:tcW w:w="2340" w:type="dxa"/>
          </w:tcPr>
          <w:p>
            <w:pPr/>
            <w:r>
              <w:t xml:space="preserve">Treat 2.2% as a floor and always show a range. Rural focus is justified.</w:t>
            </w:r>
          </w:p>
        </w:tc>
      </w:tr>
      <w:tr>
        <w:tc>
          <w:tcPr>
            <w:tcW w:w="2340" w:type="dxa"/>
          </w:tcPr>
          <w:p>
            <w:pPr/>
            <w:r>
              <w:t xml:space="preserve">2</w:t>
            </w:r>
          </w:p>
        </w:tc>
        <w:tc>
          <w:tcPr>
            <w:tcW w:w="2340" w:type="dxa"/>
          </w:tcPr>
          <w:p>
            <w:pPr/>
            <w:r>
              <w:t xml:space="preserve">The state quantifies the unmet wheelchair need</w:t>
            </w:r>
          </w:p>
        </w:tc>
        <w:tc>
          <w:tcPr>
            <w:tcW w:w="2340" w:type="dxa"/>
          </w:tcPr>
          <w:p>
            <w:pPr/>
            <w:r>
              <w:t xml:space="preserve">MoH (July 2026): about 550,000 wheelchairs unmet; ATscale Kenya has trained 218 rehabilitation professionals on WHO Wheelchair Service packages and routed 1,000 donated wheelchairs through KEMSA ✅. KEMSA has integrated priority assistive products into its logistics system ✅.</w:t>
            </w:r>
          </w:p>
        </w:tc>
        <w:tc>
          <w:tcPr>
            <w:tcW w:w="2340" w:type="dxa"/>
          </w:tcPr>
          <w:p>
            <w:pPr/>
            <w:r>
              <w:t xml:space="preserve">Plan to plug into KEMSA and county referral facilities rather than build a parallel distribution system.</w:t>
            </w:r>
          </w:p>
        </w:tc>
      </w:tr>
      <w:tr>
        <w:tc>
          <w:tcPr>
            <w:tcW w:w="2340" w:type="dxa"/>
          </w:tcPr>
          <w:p>
            <w:pPr/>
            <w:r>
              <w:t xml:space="preserve">3</w:t>
            </w:r>
          </w:p>
        </w:tc>
        <w:tc>
          <w:tcPr>
            <w:tcW w:w="2340" w:type="dxa"/>
          </w:tcPr>
          <w:p>
            <w:pPr/>
            <w:r>
              <w:t xml:space="preserve">Wheelchair supply is getting crowded</w:t>
            </w:r>
          </w:p>
        </w:tc>
        <w:tc>
          <w:tcPr>
            <w:tcW w:w="2340" w:type="dxa"/>
          </w:tcPr>
          <w:p>
            <w:pPr/>
            <w:r>
              <w:t xml:space="preserve">Imported chairs about KES 45,000-80,000 ✅. KISE's National Assistive Devices Production Unit is nearly complete but faced a funding shortfall ✅P. Motivation, APDK, Hope Mobility Kenya, Bethany Kids and Walkabout Foundation joined the MoH consultation ✅. Regional bamboo-frame producer Kyaninga Mobility targets 75 chairs a month by September 2026 ✅.</w:t>
            </w:r>
          </w:p>
        </w:tc>
        <w:tc>
          <w:tcPr>
            <w:tcW w:w="2340" w:type="dxa"/>
          </w:tcPr>
          <w:p>
            <w:pPr/>
            <w:r>
              <w:t xml:space="preserve">Compete on fit, service, traceability and speed; partner with large producers.</w:t>
            </w:r>
          </w:p>
        </w:tc>
      </w:tr>
      <w:tr>
        <w:tc>
          <w:tcPr>
            <w:tcW w:w="2340" w:type="dxa"/>
          </w:tcPr>
          <w:p>
            <w:pPr/>
            <w:r>
              <w:t xml:space="preserve">4</w:t>
            </w:r>
          </w:p>
        </w:tc>
        <w:tc>
          <w:tcPr>
            <w:tcW w:w="2340" w:type="dxa"/>
          </w:tcPr>
          <w:p>
            <w:pPr/>
            <w:r>
              <w:t xml:space="preserve">3D-printed limbs already exist locally</w:t>
            </w:r>
          </w:p>
        </w:tc>
        <w:tc>
          <w:tcPr>
            <w:tcW w:w="2340" w:type="dxa"/>
          </w:tcPr>
          <w:p>
            <w:pPr/>
            <w:r>
              <w:t xml:space="preserve">Prothea Kenya (Ugani Prosthetics) has operated in Nairobi since April 2023 using phone/3D scanning and printing ✅; Victoria Hand Project runs clinics including in Kenya ✅. Clinical evidence for 3D-printed prostheses is promising but thin: small samples and varied outcome tools ✅.</w:t>
            </w:r>
          </w:p>
        </w:tc>
        <w:tc>
          <w:tcPr>
            <w:tcW w:w="2340" w:type="dxa"/>
          </w:tcPr>
          <w:p>
            <w:pPr/>
            <w:r>
              <w:t xml:space="preserve">Tier 2 is not first-mover. Specialise (orthoses, paediatric, aftercare, rural outreach) or white-label, and generate our own outcome evidence.</w:t>
            </w:r>
          </w:p>
        </w:tc>
      </w:tr>
      <w:tr>
        <w:tc>
          <w:tcPr>
            <w:tcW w:w="2340" w:type="dxa"/>
          </w:tcPr>
          <w:p>
            <w:pPr/>
            <w:r>
              <w:t xml:space="preserve">5</w:t>
            </w:r>
          </w:p>
        </w:tc>
        <w:tc>
          <w:tcPr>
            <w:tcW w:w="2340" w:type="dxa"/>
          </w:tcPr>
          <w:p>
            <w:pPr/>
            <w:r>
              <w:t xml:space="preserve">Public payer pathway is unsettled</w:t>
            </w:r>
          </w:p>
        </w:tc>
        <w:tc>
          <w:tcPr>
            <w:tcW w:w="2340" w:type="dxa"/>
          </w:tcPr>
          <w:p>
            <w:pPr/>
            <w:r>
              <w:t xml:space="preserve">Mar 2026 SHA petition ✅; POMSF schedule: every assistive device needs manual pre-authorisation backed by clinical assessment and records ✅P; 2024 announcements: crutches about KES 900, clubfoot braces KES 1,000, walking frames KES 500, therapeutic footwear KES 1,000 ✅.</w:t>
            </w:r>
          </w:p>
        </w:tc>
        <w:tc>
          <w:tcPr>
            <w:tcW w:w="2340" w:type="dxa"/>
          </w:tcPr>
          <w:p>
            <w:pPr/>
            <w:r>
              <w:t xml:space="preserve">Do not assume SHA revenue. Build the base case on NGO, county, KEMSA and self-pay. Make the platform produce pre-authorisation-ready records.</w:t>
            </w:r>
          </w:p>
        </w:tc>
      </w:tr>
      <w:tr>
        <w:tc>
          <w:tcPr>
            <w:tcW w:w="2340" w:type="dxa"/>
          </w:tcPr>
          <w:p>
            <w:pPr/>
            <w:r>
              <w:t xml:space="preserve">6</w:t>
            </w:r>
          </w:p>
        </w:tc>
        <w:tc>
          <w:tcPr>
            <w:tcW w:w="2340" w:type="dxa"/>
          </w:tcPr>
          <w:p>
            <w:pPr/>
            <w:r>
              <w:t xml:space="preserve">Donor funding shifted</w:t>
            </w:r>
          </w:p>
        </w:tc>
        <w:tc>
          <w:tcPr>
            <w:tcW w:w="2340" w:type="dxa"/>
          </w:tcPr>
          <w:p>
            <w:pPr/>
            <w:r>
              <w:t xml:space="preserve">ATscale USAID termination (27 Feb 2025), shortfall about USD 7 million ✅. AT4D and the Judith Neilson Foundation launched the Momentous Pilot Fund (March 2026) for up to five early-stage African AT ventures, targeting digital solutions ✅; later reporting says AT4D secured USD 650,000 and offers SAFE notes and convertible debt ✅.</w:t>
            </w:r>
          </w:p>
        </w:tc>
        <w:tc>
          <w:tcPr>
            <w:tcW w:w="2340" w:type="dxa"/>
          </w:tcPr>
          <w:p>
            <w:pPr/>
            <w:r>
              <w:t xml:space="preserve">Remove USAID from the plan. Lead with the </w:t>
            </w:r>
            <w:r>
              <w:rPr>
                <w:b/>
              </w:rPr>
              <w:t xml:space="preserve">digital platform</w:t>
            </w:r>
            <w:r>
              <w:t xml:space="preserve"> when approaching Momentous.</w:t>
            </w:r>
          </w:p>
        </w:tc>
      </w:tr>
      <w:tr>
        <w:tc>
          <w:tcPr>
            <w:tcW w:w="2340" w:type="dxa"/>
          </w:tcPr>
          <w:p>
            <w:pPr/>
            <w:r>
              <w:t xml:space="preserve">7</w:t>
            </w:r>
          </w:p>
        </w:tc>
        <w:tc>
          <w:tcPr>
            <w:tcW w:w="2340" w:type="dxa"/>
          </w:tcPr>
          <w:p>
            <w:pPr/>
            <w:r>
              <w:t xml:space="preserve">New disability law has manufacturing incentives</w:t>
            </w:r>
          </w:p>
        </w:tc>
        <w:tc>
          <w:tcPr>
            <w:tcW w:w="2340" w:type="dxa"/>
          </w:tcPr>
          <w:p>
            <w:pPr/>
            <w:r>
              <w:t xml:space="preserve">Persons with Disabilities Act 2025 (assented 8 May, in force 27 May 2025): duty and VAT exemption for PWD equipment (s.56), employer deductions (s.60), postal exemption (s.61), ICT accessibility duty (s.26), and possible incentives for local manufacturers on raw materials, inputs and imported capital equipment ✅P.</w:t>
            </w:r>
          </w:p>
        </w:tc>
        <w:tc>
          <w:tcPr>
            <w:tcW w:w="2340" w:type="dxa"/>
          </w:tcPr>
          <w:p>
            <w:pPr/>
            <w:r>
              <w:t xml:space="preserve">Find out exactly which inputs qualify and how to apply. ATscale guidance says exemption letters are rarely issued to businesses ✅P, so plan for that friction.</w:t>
            </w:r>
          </w:p>
        </w:tc>
      </w:tr>
      <w:tr>
        <w:tc>
          <w:tcPr>
            <w:tcW w:w="2340" w:type="dxa"/>
          </w:tcPr>
          <w:p>
            <w:pPr/>
            <w:r>
              <w:t xml:space="preserve">8</w:t>
            </w:r>
          </w:p>
        </w:tc>
        <w:tc>
          <w:tcPr>
            <w:tcW w:w="2340" w:type="dxa"/>
          </w:tcPr>
          <w:p>
            <w:pPr/>
            <w:r>
              <w:t xml:space="preserve">Local manufacturing policy is live</w:t>
            </w:r>
          </w:p>
        </w:tc>
        <w:tc>
          <w:tcPr>
            <w:tcW w:w="2340" w:type="dxa"/>
          </w:tcPr>
          <w:p>
            <w:pPr/>
            <w:r>
              <w:t xml:space="preserve">Kenya Health Products and Technologies Local Manufacturing Strategy 2026-2030 launched 23 June 2026, with pillars on regulatory reform, capacity and market assurance, and a planned financing facility including medical devices ✅. ATscale's guidance warns that outside designated zones high material and utility costs make local production less competitive than imports ✅P.</w:t>
            </w:r>
          </w:p>
        </w:tc>
        <w:tc>
          <w:tcPr>
            <w:tcW w:w="2340" w:type="dxa"/>
          </w:tcPr>
          <w:p>
            <w:pPr/>
            <w:r>
              <w:t xml:space="preserve">Position as a strategy beneficiary; cost every product against imports honestly.</w:t>
            </w:r>
          </w:p>
        </w:tc>
      </w:tr>
      <w:tr>
        <w:tc>
          <w:tcPr>
            <w:tcW w:w="2340" w:type="dxa"/>
          </w:tcPr>
          <w:p>
            <w:pPr/>
            <w:r>
              <w:t xml:space="preserve">9</w:t>
            </w:r>
          </w:p>
        </w:tc>
        <w:tc>
          <w:tcPr>
            <w:tcW w:w="2340" w:type="dxa"/>
          </w:tcPr>
          <w:p>
            <w:pPr/>
            <w:r>
              <w:t xml:space="preserve">Device regulation has teeth</w:t>
            </w:r>
          </w:p>
        </w:tc>
        <w:tc>
          <w:tcPr>
            <w:tcW w:w="2340" w:type="dxa"/>
          </w:tcPr>
          <w:p>
            <w:pPr/>
            <w:r>
              <w:t xml:space="preserve">PPB classifies devices A to D; for public tenders each assistive product must be PPB-certified, which can take up to two years for multiple products ✅P; registration certificates run five years ✅; 22% of health products were declared non-compliant in February 2026 for missing renewals ✅.</w:t>
            </w:r>
          </w:p>
        </w:tc>
        <w:tc>
          <w:tcPr>
            <w:tcW w:w="2340" w:type="dxa"/>
          </w:tcPr>
          <w:p>
            <w:pPr/>
            <w:r>
              <w:t xml:space="preserve">Start PPB engagement before the pilot, not after.</w:t>
            </w:r>
          </w:p>
        </w:tc>
      </w:tr>
      <w:tr>
        <w:tc>
          <w:tcPr>
            <w:tcW w:w="2340" w:type="dxa"/>
          </w:tcPr>
          <w:p>
            <w:pPr/>
            <w:r>
              <w:t xml:space="preserve">10</w:t>
            </w:r>
          </w:p>
        </w:tc>
        <w:tc>
          <w:tcPr>
            <w:tcW w:w="2340" w:type="dxa"/>
          </w:tcPr>
          <w:p>
            <w:pPr/>
            <w:r>
              <w:t xml:space="preserve">Software and data rules tightened</w:t>
            </w:r>
          </w:p>
        </w:tc>
        <w:tc>
          <w:tcPr>
            <w:tcW w:w="2340" w:type="dxa"/>
          </w:tcPr>
          <w:p>
            <w:pPr/>
            <w:r>
              <w:t xml:space="preserve">PPB draft guidance on Medical Device Software (April 2026) ✅; Digital Health Act regulations 2025 require certification of digital health solutions ✅; ODPC cross-border guidance (April 2026) ✅P.</w:t>
            </w:r>
          </w:p>
        </w:tc>
        <w:tc>
          <w:tcPr>
            <w:tcW w:w="2340" w:type="dxa"/>
          </w:tcPr>
          <w:p>
            <w:pPr/>
            <w:r>
              <w:t xml:space="preserve">Platform design must be compliance-aware from day one (Part II, Sections 17 and 22).</w:t>
            </w:r>
          </w:p>
        </w:tc>
      </w:tr>
      <w:tr>
        <w:tc>
          <w:tcPr>
            <w:tcW w:w="2340" w:type="dxa"/>
          </w:tcPr>
          <w:p>
            <w:pPr/>
            <w:r>
              <w:t xml:space="preserve">11</w:t>
            </w:r>
          </w:p>
        </w:tc>
        <w:tc>
          <w:tcPr>
            <w:tcW w:w="2340" w:type="dxa"/>
          </w:tcPr>
          <w:p>
            <w:pPr/>
            <w:r>
              <w:t xml:space="preserve">Messaging got costlier</w:t>
            </w:r>
          </w:p>
        </w:tc>
        <w:tc>
          <w:tcPr>
            <w:tcW w:w="2340" w:type="dxa"/>
          </w:tcPr>
          <w:p>
            <w:pPr/>
            <w:r>
              <w:t xml:space="preserve">WhatsApp moved to per-message pricing in July 2025; from 1 October 2026, replies and utility messages inside the 24-hour window also become chargeable, reported at about USD 0.004 (KES 0.52) per message for Kenya ✅ (rates differ between reports [V]).</w:t>
            </w:r>
          </w:p>
        </w:tc>
        <w:tc>
          <w:tcPr>
            <w:tcW w:w="2340" w:type="dxa"/>
          </w:tcPr>
          <w:p>
            <w:pPr/>
            <w:r>
              <w:t xml:space="preserve">Budget messaging explicitly; use USSD/SMS and PWA where cheaper.</w:t>
            </w:r>
          </w:p>
        </w:tc>
      </w:tr>
      <w:tr>
        <w:tc>
          <w:tcPr>
            <w:tcW w:w="2340" w:type="dxa"/>
          </w:tcPr>
          <w:p>
            <w:pPr/>
            <w:r>
              <w:t xml:space="preserve">12</w:t>
            </w:r>
          </w:p>
        </w:tc>
        <w:tc>
          <w:tcPr>
            <w:tcW w:w="2340" w:type="dxa"/>
          </w:tcPr>
          <w:p>
            <w:pPr/>
            <w:r>
              <w:t xml:space="preserve">Credit rules reach pay-as-you-go</w:t>
            </w:r>
          </w:p>
        </w:tc>
        <w:tc>
          <w:tcPr>
            <w:tcW w:w="2340" w:type="dxa"/>
          </w:tcPr>
          <w:p>
            <w:pPr/>
            <w:r>
              <w:t xml:space="preserve">Business Laws (Amendment) Act 2024: CBK licensing for non-deposit-taking credit, expressly including pay-as-you-go and buy-now-pay-later ✅P. Draft regulations suggest sellers extending credit only incidentally may be outside licensing ✅ [V].</w:t>
            </w:r>
          </w:p>
        </w:tc>
        <w:tc>
          <w:tcPr>
            <w:tcW w:w="2340" w:type="dxa"/>
          </w:tcPr>
          <w:p>
            <w:pPr/>
            <w:r>
              <w:t xml:space="preserve">Design instalments as seller credit on our own devices and get a lawyer's opinion.</w:t>
            </w:r>
          </w:p>
        </w:tc>
      </w:tr>
      <w:tr>
        <w:tc>
          <w:tcPr>
            <w:tcW w:w="2340" w:type="dxa"/>
          </w:tcPr>
          <w:p>
            <w:pPr/>
            <w:r>
              <w:t xml:space="preserve">13</w:t>
            </w:r>
          </w:p>
        </w:tc>
        <w:tc>
          <w:tcPr>
            <w:tcW w:w="2340" w:type="dxa"/>
          </w:tcPr>
          <w:p>
            <w:pPr/>
            <w:r>
              <w:t xml:space="preserve">Channels favour mobile money and WhatsApp</w:t>
            </w:r>
          </w:p>
        </w:tc>
        <w:tc>
          <w:tcPr>
            <w:tcW w:w="2340" w:type="dxa"/>
          </w:tcPr>
          <w:p>
            <w:pPr/>
            <w:r>
              <w:t xml:space="preserve">78.7 million connected mobile devices, 63.7% smartphones; M-Pesa holds about 89% of active mobile-money subscriptions (CA, Q3 FY2025/26) ✅.</w:t>
            </w:r>
          </w:p>
        </w:tc>
        <w:tc>
          <w:tcPr>
            <w:tcW w:w="2340" w:type="dxa"/>
          </w:tcPr>
          <w:p>
            <w:pPr/>
            <w:r>
              <w:t xml:space="preserve">M-Pesa-first payments; keep USSD/SMS for the roughly one-third without smartphones.</w:t>
            </w:r>
          </w:p>
        </w:tc>
      </w:tr>
    </w:tbl>
    <w:p>
      <w:pPr/>
      <w:r>
        <w:rPr>
          <w:b/>
        </w:rPr>
        <w:t xml:space="preserve">Strategic implication.</w:t>
      </w:r>
      <w:r>
        <w:t xml:space="preserve"> The original pitch of "locally made, 3D-printed devices" is no longer unique. The defensible position is the </w:t>
      </w:r>
      <w:r>
        <w:rPr>
          <w:b/>
        </w:rPr>
        <w:t xml:space="preserve">service-and-data layer</w:t>
      </w:r>
      <w:r>
        <w:t xml:space="preserve"> delivered with partners, plus a narrow manufacturing niche. Sections 3 to 8 build on this.</w:t>
      </w:r>
    </w:p>
    <w:p>
      <w:pPr>
        <w:pStyle w:val="Heading2"/>
      </w:pPr>
      <w:r>
        <w:t xml:space="preserve">3. Problem, need and market</w:t>
      </w:r>
    </w:p>
    <w:p>
      <w:pPr>
        <w:pStyle w:val="Heading3"/>
      </w:pPr>
      <w:r>
        <w:t xml:space="preserve">3.1 Evidence of need</w:t>
      </w:r>
    </w:p>
    <w:p>
      <w:pPr>
        <w:pStyle w:val="ListParagraph"/>
        <w:numPr>
          <w:ilvl w:val="0"/>
          <w:numId w:val="3"/>
        </w:numPr>
      </w:pPr>
      <w:r>
        <w:rPr>
          <w:b/>
        </w:rPr>
        <w:t xml:space="preserve">Global.</w:t>
      </w:r>
      <w:r>
        <w:t xml:space="preserve"> The WHO/UNICEF Global Report on Assistive Technology (2022) found more than 2.5 billion people need at least one assistive product, nearly 1 billion are denied access, access can be as low as 3% of need in low-income settings, need is projected to reach 3.5 billion by 2050, and about two-thirds of users pay out of pocket ✅P.</w:t>
      </w:r>
    </w:p>
    <w:p>
      <w:pPr>
        <w:pStyle w:val="ListParagraph"/>
        <w:numPr>
          <w:ilvl w:val="0"/>
          <w:numId w:val="3"/>
        </w:numPr>
      </w:pPr>
      <w:r>
        <w:rPr>
          <w:b/>
        </w:rPr>
        <w:t xml:space="preserve">Wheelchairs.</w:t>
      </w:r>
      <w:r>
        <w:t xml:space="preserve"> WHO's 2023 Wheelchair Provision Guidelines estimate about 80 million people need a wheelchair worldwide and make seven recommendations that centre on personalised assessment, fitting, training and follow-up ✅P.</w:t>
      </w:r>
    </w:p>
    <w:p>
      <w:pPr>
        <w:pStyle w:val="ListParagraph"/>
        <w:numPr>
          <w:ilvl w:val="0"/>
          <w:numId w:val="3"/>
        </w:numPr>
      </w:pPr>
      <w:r>
        <w:rPr>
          <w:b/>
        </w:rPr>
        <w:t xml:space="preserve">Kenya.</w:t>
      </w:r>
      <w:r>
        <w:t xml:space="preserve"> The 2019 census counted 918,270 people aged 5+ with a disability. Domains (people can report more than one): mobility 42%, visual 36.4%, cognition 23.2%, hearing 16.7%, self-care 15.3%, communication 12.1%; more than 80% of people with disabilities live in rural areas ✅. Prevalence rises steeply with age, from about 1% among 18-29-year-olds to about 20% in the oldest group ✅. Organisations of people with disabilities argue the census undercounts, partly due to questionnaire design and under-reporting for young children and intellectual disability ✅.</w:t>
      </w:r>
    </w:p>
    <w:p>
      <w:pPr>
        <w:pStyle w:val="ListParagraph"/>
        <w:numPr>
          <w:ilvl w:val="0"/>
          <w:numId w:val="3"/>
        </w:numPr>
      </w:pPr>
      <w:r>
        <w:rPr>
          <w:b/>
        </w:rPr>
        <w:t xml:space="preserve">Policy.</w:t>
      </w:r>
      <w:r>
        <w:t xml:space="preserve"> The Ministry of Health's Rehabilitative Services and Assistive Technology Strategy 2022-2026 was launched on 2 March 2023 with the ATscale project; Kenya was ATscale's first country for catalytic investment (USD 7.5 million over 2023-2025, aiming for 275,000 additional people reached, with CHAI implementing) ✅P. The strategy period ends in 2026, so a successor or extension is a key item to track [V].</w:t>
      </w:r>
    </w:p>
    <w:p>
      <w:pPr>
        <w:pStyle w:val="ListParagraph"/>
        <w:numPr>
          <w:ilvl w:val="0"/>
          <w:numId w:val="3"/>
        </w:numPr>
      </w:pPr>
      <w:r>
        <w:rPr>
          <w:b/>
        </w:rPr>
        <w:t xml:space="preserve">Cost signals.</w:t>
      </w:r>
      <w:r>
        <w:t xml:space="preserve"> A 2023 report put a locally 3D-printed below-knee prosthesis at about KES 100,000 against about KES 350,000 for a good conventional one, and a Nairobi printing firm claims 3-5x savings ✅. These are claims, not audited costs.</w:t>
      </w:r>
    </w:p>
    <w:p>
      <w:pPr/>
      <w:r>
        <w:rPr>
          <w:b/>
        </w:rPr>
        <w:t xml:space="preserve">Statistics to avoid.</w:t>
      </w:r>
      <w:r>
        <w:t xml:space="preserve"> The census count (918,270) is people with any disability aged 5+, not the number needing mobility devices. The claims "less than 20% have access" and "local manufacture cuts costs 40-60%" are unsourced [V]; replace them with pilot costing.</w:t>
      </w:r>
    </w:p>
    <w:p>
      <w:pPr>
        <w:pStyle w:val="Heading3"/>
      </w:pPr>
      <w:r>
        <w:t xml:space="preserve">3.2 Sizing the market: method and a worked range</w:t>
      </w:r>
    </w:p>
    <w:p>
      <w:pPr/>
      <w:r>
        <w:t xml:space="preserve">Use a bottom-up funnel and fill every cell with a sourced number during validation.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Definition</w:t>
            </w:r>
          </w:p>
        </w:tc>
        <w:tc>
          <w:tcPr>
            <w:tcW w:w="3120" w:type="dxa"/>
            <w:shd w:val="clear" w:color="auto" w:fill="F2F2F2"/>
          </w:tcPr>
          <w:p>
            <w:pPr/>
            <w:r>
              <w:t xml:space="preserve">Worked starting point (to be refined)</w:t>
            </w:r>
          </w:p>
        </w:tc>
      </w:tr>
      <w:tr>
        <w:tc>
          <w:tcPr>
            <w:tcW w:w="3120" w:type="dxa"/>
          </w:tcPr>
          <w:p>
            <w:pPr/>
            <w:r>
              <w:t xml:space="preserve">TAM</w:t>
            </w:r>
          </w:p>
        </w:tc>
        <w:tc>
          <w:tcPr>
            <w:tcW w:w="3120" w:type="dxa"/>
          </w:tcPr>
          <w:p>
            <w:pPr/>
            <w:r>
              <w:t xml:space="preserve">Kenyans who need at least one AT product</w:t>
            </w:r>
          </w:p>
        </w:tc>
        <w:tc>
          <w:tcPr>
            <w:tcW w:w="3120" w:type="dxa"/>
          </w:tcPr>
          <w:p>
            <w:pPr/>
            <w:r>
              <w:t xml:space="preserve">Low: 0.92 million (census floor). Mid: the age-adjusted 3.5% figure applied to the population aged 5+ [A]. High: WHO's 15% disability rate, which would imply several million. Report all three.</w:t>
            </w:r>
          </w:p>
        </w:tc>
      </w:tr>
      <w:tr>
        <w:tc>
          <w:tcPr>
            <w:tcW w:w="3120" w:type="dxa"/>
          </w:tcPr>
          <w:p>
            <w:pPr/>
            <w:r>
              <w:t xml:space="preserve">SAM</w:t>
            </w:r>
          </w:p>
        </w:tc>
        <w:tc>
          <w:tcPr>
            <w:tcW w:w="3120" w:type="dxa"/>
          </w:tcPr>
          <w:p>
            <w:pPr/>
            <w:r>
              <w:t xml:space="preserve">Need for products we can make (mobility, O&amp;P, low-vision, ADL) in counties we can serve with a payer pathway</w:t>
            </w:r>
          </w:p>
        </w:tc>
        <w:tc>
          <w:tcPr>
            <w:tcW w:w="3120" w:type="dxa"/>
          </w:tcPr>
          <w:p>
            <w:pPr/>
            <w:r>
              <w:t xml:space="preserve">Wheelchair anchor: MoH's unmet need of about 550,000 ✅. Mobility domain is about 42% of people with disabilities ✅. Apply county presence and payer filters from intake data.</w:t>
            </w:r>
          </w:p>
        </w:tc>
      </w:tr>
      <w:tr>
        <w:tc>
          <w:tcPr>
            <w:tcW w:w="3120" w:type="dxa"/>
          </w:tcPr>
          <w:p>
            <w:pPr/>
            <w:r>
              <w:t xml:space="preserve">SOM</w:t>
            </w:r>
          </w:p>
        </w:tc>
        <w:tc>
          <w:tcPr>
            <w:tcW w:w="3120" w:type="dxa"/>
          </w:tcPr>
          <w:p>
            <w:pPr/>
            <w:r>
              <w:t xml:space="preserve">What we can serve in 3 years given capacity</w:t>
            </w:r>
          </w:p>
        </w:tc>
        <w:tc>
          <w:tcPr>
            <w:tcW w:w="3120" w:type="dxa"/>
          </w:tcPr>
          <w:p>
            <w:pPr/>
            <w:r>
              <w:t xml:space="preserve">Scenario in Section 11: 300 / 1,200 / 3,000 devices per year, i.e. 4,500 devices in 3 years, about 0.8% of the 550,000 wheelchair gap if they were all wheelchairs (they will not be).</w:t>
            </w:r>
          </w:p>
        </w:tc>
      </w:tr>
    </w:tbl>
    <w:p>
      <w:pPr/>
      <w:r>
        <w:t xml:space="preserve">The small SOM relative to TAM is the point: the constraint is delivery capacity and payers, not demand.</w:t>
      </w:r>
    </w:p>
    <w:p>
      <w:pPr>
        <w:pStyle w:val="Heading3"/>
      </w:pPr>
      <w:r>
        <w:t xml:space="preserve">3.3 Why devices fail in practice</w:t>
      </w:r>
    </w:p>
    <w:p>
      <w:pPr>
        <w:pStyle w:val="ListParagraph"/>
        <w:numPr>
          <w:ilvl w:val="0"/>
          <w:numId w:val="4"/>
        </w:numPr>
      </w:pPr>
      <w:r>
        <w:rPr>
          <w:b/>
        </w:rPr>
        <w:t xml:space="preserve">Wrong fit or wrong type:</w:t>
      </w:r>
      <w:r>
        <w:t xml:space="preserve"> donated chairs unsuited to terrain, body size or posture; poor seating causes pressure injuries.</w:t>
      </w:r>
    </w:p>
    <w:p>
      <w:pPr>
        <w:pStyle w:val="ListParagraph"/>
        <w:numPr>
          <w:ilvl w:val="0"/>
          <w:numId w:val="4"/>
        </w:numPr>
      </w:pPr>
      <w:r>
        <w:rPr>
          <w:b/>
        </w:rPr>
        <w:t xml:space="preserve">No repair chain:</w:t>
      </w:r>
      <w:r>
        <w:t xml:space="preserve"> a puncture, loose bearing or cracked socket ends use.</w:t>
      </w:r>
    </w:p>
    <w:p>
      <w:pPr>
        <w:pStyle w:val="ListParagraph"/>
        <w:numPr>
          <w:ilvl w:val="0"/>
          <w:numId w:val="4"/>
        </w:numPr>
      </w:pPr>
      <w:r>
        <w:rPr>
          <w:b/>
        </w:rPr>
        <w:t xml:space="preserve">No training or follow-up,</w:t>
      </w:r>
      <w:r>
        <w:t xml:space="preserve"> especially for children who outgrow devices.</w:t>
      </w:r>
    </w:p>
    <w:p>
      <w:pPr>
        <w:pStyle w:val="ListParagraph"/>
        <w:numPr>
          <w:ilvl w:val="0"/>
          <w:numId w:val="4"/>
        </w:numPr>
      </w:pPr>
      <w:r>
        <w:rPr>
          <w:b/>
        </w:rPr>
        <w:t xml:space="preserve">Cost and affordability:</w:t>
      </w:r>
      <w:r>
        <w:t xml:space="preserve"> import duty, shipping and middleman margins; families often cannot self-fund. Duty exemptions mostly benefit donated or NGO-procured goods, not commercial supply ✅P.</w:t>
      </w:r>
    </w:p>
    <w:p>
      <w:pPr>
        <w:pStyle w:val="ListParagraph"/>
        <w:numPr>
          <w:ilvl w:val="0"/>
          <w:numId w:val="4"/>
        </w:numPr>
      </w:pPr>
      <w:r>
        <w:rPr>
          <w:b/>
        </w:rPr>
        <w:t xml:space="preserve">Weak data:</w:t>
      </w:r>
      <w:r>
        <w:t xml:space="preserve"> nobody knows who has what, what failed, or what resulted, so procurement cannot improve.</w:t>
      </w:r>
    </w:p>
    <w:p>
      <w:pPr>
        <w:pStyle w:val="Heading3"/>
      </w:pPr>
      <w:r>
        <w:t xml:space="preserve">3.4 The service model we design around: WHO's eight steps</w:t>
      </w:r>
    </w:p>
    <w:p>
      <w:pPr/>
      <w:r>
        <w:t xml:space="preserve">WHO's wheelchair service guidance defines eight steps: referral, assessment, prescription, funding and ordering, product preparation, fitting and adjusting, user training, and follow-up with maintenance and repair ✅. We use the same backbone for all products, because it is evidence-based, familiar to the Ministry and trained clinicians, and maps cleanly to software.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 step</w:t>
            </w:r>
          </w:p>
        </w:tc>
        <w:tc>
          <w:tcPr>
            <w:tcW w:w="3120" w:type="dxa"/>
            <w:shd w:val="clear" w:color="auto" w:fill="F2F2F2"/>
          </w:tcPr>
          <w:p>
            <w:pPr/>
            <w:r>
              <w:t xml:space="preserve">AfriAssistive activity</w:t>
            </w:r>
          </w:p>
        </w:tc>
        <w:tc>
          <w:tcPr>
            <w:tcW w:w="3120" w:type="dxa"/>
            <w:shd w:val="clear" w:color="auto" w:fill="F2F2F2"/>
          </w:tcPr>
          <w:p>
            <w:pPr/>
            <w:r>
              <w:t xml:space="preserve">Platform module (Part II)</w:t>
            </w:r>
          </w:p>
        </w:tc>
      </w:tr>
      <w:tr>
        <w:tc>
          <w:tcPr>
            <w:tcW w:w="3120" w:type="dxa"/>
          </w:tcPr>
          <w:p>
            <w:pPr/>
            <w:r>
              <w:t xml:space="preserve">1 Referral</w:t>
            </w:r>
          </w:p>
        </w:tc>
        <w:tc>
          <w:tcPr>
            <w:tcW w:w="3120" w:type="dxa"/>
          </w:tcPr>
          <w:p>
            <w:pPr/>
            <w:r>
              <w:t xml:space="preserve">Self, caregiver, CHW, school, clinic or NGO referral; triage</w:t>
            </w:r>
          </w:p>
        </w:tc>
        <w:tc>
          <w:tcPr>
            <w:tcW w:w="3120" w:type="dxa"/>
          </w:tcPr>
          <w:p>
            <w:pPr/>
            <w:r>
              <w:t xml:space="preserve">M2 Intake and referral</w:t>
            </w:r>
          </w:p>
        </w:tc>
      </w:tr>
      <w:tr>
        <w:tc>
          <w:tcPr>
            <w:tcW w:w="3120" w:type="dxa"/>
          </w:tcPr>
          <w:p>
            <w:pPr/>
            <w:r>
              <w:t xml:space="preserve">2 Assessment</w:t>
            </w:r>
          </w:p>
        </w:tc>
        <w:tc>
          <w:tcPr>
            <w:tcW w:w="3120" w:type="dxa"/>
          </w:tcPr>
          <w:p>
            <w:pPr/>
            <w:r>
              <w:t xml:space="preserve">Clinician assessment, measurements, photos, consent</w:t>
            </w:r>
          </w:p>
        </w:tc>
        <w:tc>
          <w:tcPr>
            <w:tcW w:w="3120" w:type="dxa"/>
          </w:tcPr>
          <w:p>
            <w:pPr/>
            <w:r>
              <w:t xml:space="preserve">M3 Consent; M4 Assessment</w:t>
            </w:r>
          </w:p>
        </w:tc>
      </w:tr>
      <w:tr>
        <w:tc>
          <w:tcPr>
            <w:tcW w:w="3120" w:type="dxa"/>
          </w:tcPr>
          <w:p>
            <w:pPr/>
            <w:r>
              <w:t xml:space="preserve">3 Prescription</w:t>
            </w:r>
          </w:p>
        </w:tc>
        <w:tc>
          <w:tcPr>
            <w:tcW w:w="3120" w:type="dxa"/>
          </w:tcPr>
          <w:p>
            <w:pPr/>
            <w:r>
              <w:t xml:space="preserve">Device type and size, signed by a qualified clinician</w:t>
            </w:r>
          </w:p>
        </w:tc>
        <w:tc>
          <w:tcPr>
            <w:tcW w:w="3120" w:type="dxa"/>
          </w:tcPr>
          <w:p>
            <w:pPr/>
            <w:r>
              <w:t xml:space="preserve">M4 Prescription</w:t>
            </w:r>
          </w:p>
        </w:tc>
      </w:tr>
      <w:tr>
        <w:tc>
          <w:tcPr>
            <w:tcW w:w="3120" w:type="dxa"/>
          </w:tcPr>
          <w:p>
            <w:pPr/>
            <w:r>
              <w:t xml:space="preserve">4 Funding and ordering</w:t>
            </w:r>
          </w:p>
        </w:tc>
        <w:tc>
          <w:tcPr>
            <w:tcW w:w="3120" w:type="dxa"/>
          </w:tcPr>
          <w:p>
            <w:pPr/>
            <w:r>
              <w:t xml:space="preserve">Payer match (partner, county, SHA, self-pay); work order</w:t>
            </w:r>
          </w:p>
        </w:tc>
        <w:tc>
          <w:tcPr>
            <w:tcW w:w="3120" w:type="dxa"/>
          </w:tcPr>
          <w:p>
            <w:pPr/>
            <w:r>
              <w:t xml:space="preserve">M10 Payments; M12 Partner portal; M6 Production</w:t>
            </w:r>
          </w:p>
        </w:tc>
      </w:tr>
      <w:tr>
        <w:tc>
          <w:tcPr>
            <w:tcW w:w="3120" w:type="dxa"/>
          </w:tcPr>
          <w:p>
            <w:pPr/>
            <w:r>
              <w:t xml:space="preserve">5 Product preparation</w:t>
            </w:r>
          </w:p>
        </w:tc>
        <w:tc>
          <w:tcPr>
            <w:tcW w:w="3120" w:type="dxa"/>
          </w:tcPr>
          <w:p>
            <w:pPr/>
            <w:r>
              <w:t xml:space="preserve">Build, QA, release with serial and QR</w:t>
            </w:r>
          </w:p>
        </w:tc>
        <w:tc>
          <w:tcPr>
            <w:tcW w:w="3120" w:type="dxa"/>
          </w:tcPr>
          <w:p>
            <w:pPr/>
            <w:r>
              <w:t xml:space="preserve">M5 Registry; M6 Production and QA</w:t>
            </w:r>
          </w:p>
        </w:tc>
      </w:tr>
      <w:tr>
        <w:tc>
          <w:tcPr>
            <w:tcW w:w="3120" w:type="dxa"/>
          </w:tcPr>
          <w:p>
            <w:pPr/>
            <w:r>
              <w:t xml:space="preserve">6 Fitting and adjusting</w:t>
            </w:r>
          </w:p>
        </w:tc>
        <w:tc>
          <w:tcPr>
            <w:tcW w:w="3120" w:type="dxa"/>
          </w:tcPr>
          <w:p>
            <w:pPr/>
            <w:r>
              <w:t xml:space="preserve">Delivery, fitting record, adjustments</w:t>
            </w:r>
          </w:p>
        </w:tc>
        <w:tc>
          <w:tcPr>
            <w:tcW w:w="3120" w:type="dxa"/>
          </w:tcPr>
          <w:p>
            <w:pPr/>
            <w:r>
              <w:t xml:space="preserve">M7 Delivery; M8 Fitting</w:t>
            </w:r>
          </w:p>
        </w:tc>
      </w:tr>
      <w:tr>
        <w:tc>
          <w:tcPr>
            <w:tcW w:w="3120" w:type="dxa"/>
          </w:tcPr>
          <w:p>
            <w:pPr/>
            <w:r>
              <w:t xml:space="preserve">7 User training</w:t>
            </w:r>
          </w:p>
        </w:tc>
        <w:tc>
          <w:tcPr>
            <w:tcW w:w="3120" w:type="dxa"/>
          </w:tcPr>
          <w:p>
            <w:pPr/>
            <w:r>
              <w:t xml:space="preserve">Training checklist and caregiver guidance</w:t>
            </w:r>
          </w:p>
        </w:tc>
        <w:tc>
          <w:tcPr>
            <w:tcW w:w="3120" w:type="dxa"/>
          </w:tcPr>
          <w:p>
            <w:pPr/>
            <w:r>
              <w:t xml:space="preserve">M8 Fitting and follow-up</w:t>
            </w:r>
          </w:p>
        </w:tc>
      </w:tr>
      <w:tr>
        <w:tc>
          <w:tcPr>
            <w:tcW w:w="3120" w:type="dxa"/>
          </w:tcPr>
          <w:p>
            <w:pPr/>
            <w:r>
              <w:t xml:space="preserve">8 Follow-up, maintenance, repair</w:t>
            </w:r>
          </w:p>
        </w:tc>
        <w:tc>
          <w:tcPr>
            <w:tcW w:w="3120" w:type="dxa"/>
          </w:tcPr>
          <w:p>
            <w:pPr/>
            <w:r>
              <w:t xml:space="preserve">2-week, 3-month, 12-month follow-ups; repair tickets; spares</w:t>
            </w:r>
          </w:p>
        </w:tc>
        <w:tc>
          <w:tcPr>
            <w:tcW w:w="3120" w:type="dxa"/>
          </w:tcPr>
          <w:p>
            <w:pPr/>
            <w:r>
              <w:t xml:space="preserve">M8; M9 Service and repair</w:t>
            </w:r>
          </w:p>
        </w:tc>
      </w:tr>
    </w:tbl>
    <w:p>
      <w:pPr>
        <w:pStyle w:val="Heading2"/>
      </w:pPr>
      <w:r>
        <w:t xml:space="preserve">4. Levels of assistive technology: low, intermediate and hybrid-AI</w:t>
      </w:r>
    </w:p>
    <w:p>
      <w:pPr/>
      <w:r>
        <w:t xml:space="preserve">The WHO Priority Assistive Products List (50 products) is the backbone for choosing what to make ✅. Our three-tier framework groups products by technical and clinical complexity, which drives cost, regulation, skills and risk.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Tier 1: Low-tech</w:t>
            </w:r>
          </w:p>
        </w:tc>
        <w:tc>
          <w:tcPr>
            <w:tcW w:w="2340" w:type="dxa"/>
            <w:shd w:val="clear" w:color="auto" w:fill="F2F2F2"/>
          </w:tcPr>
          <w:p>
            <w:pPr/>
            <w:r>
              <w:t xml:space="preserve">Tier 2: Intermediate</w:t>
            </w:r>
          </w:p>
        </w:tc>
        <w:tc>
          <w:tcPr>
            <w:tcW w:w="2340" w:type="dxa"/>
            <w:shd w:val="clear" w:color="auto" w:fill="F2F2F2"/>
          </w:tcPr>
          <w:p>
            <w:pPr/>
            <w:r>
              <w:t xml:space="preserve">Tier 3: Hybrid / AI-enabled</w:t>
            </w:r>
          </w:p>
        </w:tc>
      </w:tr>
      <w:tr>
        <w:tc>
          <w:tcPr>
            <w:tcW w:w="2340" w:type="dxa"/>
          </w:tcPr>
          <w:p>
            <w:pPr/>
            <w:r>
              <w:t xml:space="preserve">What it is</w:t>
            </w:r>
          </w:p>
        </w:tc>
        <w:tc>
          <w:tcPr>
            <w:tcW w:w="2340" w:type="dxa"/>
          </w:tcPr>
          <w:p>
            <w:pPr/>
            <w:r>
              <w:t xml:space="preserve">Purely mechanical; simple to make and repair</w:t>
            </w:r>
          </w:p>
        </w:tc>
        <w:tc>
          <w:tcPr>
            <w:tcW w:w="2340" w:type="dxa"/>
          </w:tcPr>
          <w:p>
            <w:pPr/>
            <w:r>
              <w:t xml:space="preserve">Engineered, custom-fitted or with basic electronics; needs clinical assessment</w:t>
            </w:r>
          </w:p>
        </w:tc>
        <w:tc>
          <w:tcPr>
            <w:tcW w:w="2340" w:type="dxa"/>
          </w:tcPr>
          <w:p>
            <w:pPr/>
            <w:r>
              <w:t xml:space="preserve">Sensors, software and/or AI add fit, adaptation, monitoring or sensing</w:t>
            </w:r>
          </w:p>
        </w:tc>
      </w:tr>
      <w:tr>
        <w:tc>
          <w:tcPr>
            <w:tcW w:w="2340" w:type="dxa"/>
          </w:tcPr>
          <w:p>
            <w:pPr/>
            <w:r>
              <w:t xml:space="preserve">Examples</w:t>
            </w:r>
          </w:p>
        </w:tc>
        <w:tc>
          <w:tcPr>
            <w:tcW w:w="2340" w:type="dxa"/>
          </w:tcPr>
          <w:p>
            <w:pPr/>
            <w:r>
              <w:t xml:space="preserve">Crutches, canes, walking frames, manual community wheelchairs, ADL grips and openers, white canes, tactile boards, basic pressure-relief cushions</w:t>
            </w:r>
          </w:p>
        </w:tc>
        <w:tc>
          <w:tcPr>
            <w:tcW w:w="2340" w:type="dxa"/>
          </w:tcPr>
          <w:p>
            <w:pPr/>
            <w:r>
              <w:t xml:space="preserve">3D-printed sockets and orthoses, postural seating, body-powered prosthetic hands, low-vision magnifiers, solar-charged hearing aids</w:t>
            </w:r>
          </w:p>
        </w:tc>
        <w:tc>
          <w:tcPr>
            <w:tcW w:w="2340" w:type="dxa"/>
          </w:tcPr>
          <w:p>
            <w:pPr/>
            <w:r>
              <w:t xml:space="preserve">Smartphone-scan fitting, myoelectric hands, IoT usage/failure sensors, Swahili speech/vision apps, Kenyan Sign Language tools, AI-assisted design and demand planning</w:t>
            </w:r>
          </w:p>
        </w:tc>
      </w:tr>
      <w:tr>
        <w:tc>
          <w:tcPr>
            <w:tcW w:w="2340" w:type="dxa"/>
          </w:tcPr>
          <w:p>
            <w:pPr/>
            <w:r>
              <w:t xml:space="preserve">Typical user cost [V]</w:t>
            </w:r>
          </w:p>
        </w:tc>
        <w:tc>
          <w:tcPr>
            <w:tcW w:w="2340" w:type="dxa"/>
          </w:tcPr>
          <w:p>
            <w:pPr/>
            <w:r>
              <w:t xml:space="preserve">KES 500-30,000</w:t>
            </w:r>
          </w:p>
        </w:tc>
        <w:tc>
          <w:tcPr>
            <w:tcW w:w="2340" w:type="dxa"/>
          </w:tcPr>
          <w:p>
            <w:pPr/>
            <w:r>
              <w:t xml:space="preserve">KES 10,000-120,000</w:t>
            </w:r>
          </w:p>
        </w:tc>
        <w:tc>
          <w:tcPr>
            <w:tcW w:w="2340" w:type="dxa"/>
          </w:tcPr>
          <w:p>
            <w:pPr/>
            <w:r>
              <w:t xml:space="preserve">KES 50,000+ for hardware; software layers can be cheap or free</w:t>
            </w:r>
          </w:p>
        </w:tc>
      </w:tr>
      <w:tr>
        <w:tc>
          <w:tcPr>
            <w:tcW w:w="2340" w:type="dxa"/>
          </w:tcPr>
          <w:p>
            <w:pPr/>
            <w:r>
              <w:t xml:space="preserve">Clinical need</w:t>
            </w:r>
          </w:p>
        </w:tc>
        <w:tc>
          <w:tcPr>
            <w:tcW w:w="2340" w:type="dxa"/>
          </w:tcPr>
          <w:p>
            <w:pPr/>
            <w:r>
              <w:t xml:space="preserve">Low to moderate (fitting still matters)</w:t>
            </w:r>
          </w:p>
        </w:tc>
        <w:tc>
          <w:tcPr>
            <w:tcW w:w="2340" w:type="dxa"/>
          </w:tcPr>
          <w:p>
            <w:pPr/>
            <w:r>
              <w:t xml:space="preserve">High: physiotherapist or orthopaedic technologist</w:t>
            </w:r>
          </w:p>
        </w:tc>
        <w:tc>
          <w:tcPr>
            <w:tcW w:w="2340" w:type="dxa"/>
          </w:tcPr>
          <w:p>
            <w:pPr/>
            <w:r>
              <w:t xml:space="preserve">High, plus data governance</w:t>
            </w:r>
          </w:p>
        </w:tc>
      </w:tr>
      <w:tr>
        <w:tc>
          <w:tcPr>
            <w:tcW w:w="2340" w:type="dxa"/>
          </w:tcPr>
          <w:p>
            <w:pPr/>
            <w:r>
              <w:t xml:space="preserve">Regulatory exposure</w:t>
            </w:r>
          </w:p>
        </w:tc>
        <w:tc>
          <w:tcPr>
            <w:tcW w:w="2340" w:type="dxa"/>
          </w:tcPr>
          <w:p>
            <w:pPr/>
            <w:r>
              <w:t xml:space="preserve">Lower; product standards such as ISO 7176 (wheelchairs) and ISO 11334 (crutches) [V parts]</w:t>
            </w:r>
          </w:p>
        </w:tc>
        <w:tc>
          <w:tcPr>
            <w:tcW w:w="2340" w:type="dxa"/>
          </w:tcPr>
          <w:p>
            <w:pPr/>
            <w:r>
              <w:t xml:space="preserve">Higher; medical-device pathway, ISO 10328 for lower-limb structural testing, ISO 13485 quality system [V]</w:t>
            </w:r>
          </w:p>
        </w:tc>
        <w:tc>
          <w:tcPr>
            <w:tcW w:w="2340" w:type="dxa"/>
          </w:tcPr>
          <w:p>
            <w:pPr/>
            <w:r>
              <w:t xml:space="preserve">Highest; software-as-medical-device, data protection, validation</w:t>
            </w:r>
          </w:p>
        </w:tc>
      </w:tr>
      <w:tr>
        <w:tc>
          <w:tcPr>
            <w:tcW w:w="2340" w:type="dxa"/>
          </w:tcPr>
          <w:p>
            <w:pPr/>
            <w:r>
              <w:t xml:space="preserve">Skills and capital</w:t>
            </w:r>
          </w:p>
        </w:tc>
        <w:tc>
          <w:tcPr>
            <w:tcW w:w="2340" w:type="dxa"/>
          </w:tcPr>
          <w:p>
            <w:pPr/>
            <w:r>
              <w:t xml:space="preserve">Welding, fabrication, basic QA</w:t>
            </w:r>
          </w:p>
        </w:tc>
        <w:tc>
          <w:tcPr>
            <w:tcW w:w="2340" w:type="dxa"/>
          </w:tcPr>
          <w:p>
            <w:pPr/>
            <w:r>
              <w:t xml:space="preserve">CAD, 3D printing, clinical partners, test equipment</w:t>
            </w:r>
          </w:p>
        </w:tc>
        <w:tc>
          <w:tcPr>
            <w:tcW w:w="2340" w:type="dxa"/>
          </w:tcPr>
          <w:p>
            <w:pPr/>
            <w:r>
              <w:t xml:space="preserve">ML and embedded engineers, data governance</w:t>
            </w:r>
          </w:p>
        </w:tc>
      </w:tr>
      <w:tr>
        <w:tc>
          <w:tcPr>
            <w:tcW w:w="2340" w:type="dxa"/>
          </w:tcPr>
          <w:p>
            <w:pPr/>
            <w:r>
              <w:t xml:space="preserve">Our role and timing</w:t>
            </w:r>
          </w:p>
        </w:tc>
        <w:tc>
          <w:tcPr>
            <w:tcW w:w="2340" w:type="dxa"/>
          </w:tcPr>
          <w:p>
            <w:pPr/>
            <w:r>
              <w:rPr>
                <w:b/>
              </w:rPr>
              <w:t xml:space="preserve">Now:</w:t>
            </w:r>
            <w:r>
              <w:t xml:space="preserve"> volume engine and brand</w:t>
            </w:r>
          </w:p>
        </w:tc>
        <w:tc>
          <w:tcPr>
            <w:tcW w:w="2340" w:type="dxa"/>
          </w:tcPr>
          <w:p>
            <w:pPr/>
            <w:r>
              <w:rPr>
                <w:b/>
              </w:rPr>
              <w:t xml:space="preserve">Year 1-2:</w:t>
            </w:r>
            <w:r>
              <w:t xml:space="preserve"> margin and clinical credibility</w:t>
            </w:r>
          </w:p>
        </w:tc>
        <w:tc>
          <w:tcPr>
            <w:tcW w:w="2340" w:type="dxa"/>
          </w:tcPr>
          <w:p>
            <w:pPr/>
            <w:r>
              <w:rPr>
                <w:b/>
              </w:rPr>
              <w:t xml:space="preserve">Year 2-4:</w:t>
            </w:r>
            <w:r>
              <w:t xml:space="preserve"> differentiation, only after Tier 1-2 data exist</w:t>
            </w:r>
          </w:p>
        </w:tc>
      </w:tr>
      <w:tr>
        <w:tc>
          <w:tcPr>
            <w:tcW w:w="2340" w:type="dxa"/>
          </w:tcPr>
          <w:p>
            <w:pPr/>
            <w:r>
              <w:t xml:space="preserve">Main risk</w:t>
            </w:r>
          </w:p>
        </w:tc>
        <w:tc>
          <w:tcPr>
            <w:tcW w:w="2340" w:type="dxa"/>
          </w:tcPr>
          <w:p>
            <w:pPr/>
            <w:r>
              <w:t xml:space="preserve">Price competition from imports; tariffs below cost</w:t>
            </w:r>
          </w:p>
        </w:tc>
        <w:tc>
          <w:tcPr>
            <w:tcW w:w="2340" w:type="dxa"/>
          </w:tcPr>
          <w:p>
            <w:pPr/>
            <w:r>
              <w:t xml:space="preserve">Safety failure, liability, registration delays</w:t>
            </w:r>
          </w:p>
        </w:tc>
        <w:tc>
          <w:tcPr>
            <w:tcW w:w="2340" w:type="dxa"/>
          </w:tcPr>
          <w:p>
            <w:pPr/>
            <w:r>
              <w:t xml:space="preserve">Over-promising, bias, no connectivity or power, regulatory delay</w:t>
            </w:r>
          </w:p>
        </w:tc>
      </w:tr>
    </w:tbl>
    <w:p>
      <w:pPr>
        <w:pStyle w:val="Heading3"/>
      </w:pPr>
      <w:r>
        <w:t xml:space="preserve">4.1 Where hybrid/AI adds value and where it does not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Use case</w:t>
            </w:r>
          </w:p>
        </w:tc>
        <w:tc>
          <w:tcPr>
            <w:tcW w:w="2340" w:type="dxa"/>
            <w:shd w:val="clear" w:color="auto" w:fill="F2F2F2"/>
          </w:tcPr>
          <w:p>
            <w:pPr/>
            <w:r>
              <w:t xml:space="preserve">Value</w:t>
            </w:r>
          </w:p>
        </w:tc>
        <w:tc>
          <w:tcPr>
            <w:tcW w:w="2340" w:type="dxa"/>
            <w:shd w:val="clear" w:color="auto" w:fill="F2F2F2"/>
          </w:tcPr>
          <w:p>
            <w:pPr/>
            <w:r>
              <w:t xml:space="preserve">Readiness and data needed</w:t>
            </w:r>
          </w:p>
        </w:tc>
        <w:tc>
          <w:tcPr>
            <w:tcW w:w="2340" w:type="dxa"/>
            <w:shd w:val="clear" w:color="auto" w:fill="F2F2F2"/>
          </w:tcPr>
          <w:p>
            <w:pPr/>
            <w:r>
              <w:t xml:space="preserve">Verdict</w:t>
            </w:r>
          </w:p>
        </w:tc>
      </w:tr>
      <w:tr>
        <w:tc>
          <w:tcPr>
            <w:tcW w:w="2340" w:type="dxa"/>
          </w:tcPr>
          <w:p>
            <w:pPr/>
            <w:r>
              <w:t xml:space="preserve">Smartphone/3D scan of residual limb or foot, then generated socket/insole design</w:t>
            </w:r>
          </w:p>
        </w:tc>
        <w:tc>
          <w:tcPr>
            <w:tcW w:w="2340" w:type="dxa"/>
          </w:tcPr>
          <w:p>
            <w:pPr/>
            <w:r>
              <w:t xml:space="preserve">Cuts casting time, enables remote intake</w:t>
            </w:r>
          </w:p>
        </w:tc>
        <w:tc>
          <w:tcPr>
            <w:tcW w:w="2340" w:type="dxa"/>
          </w:tcPr>
          <w:p>
            <w:pPr/>
            <w:r>
              <w:t xml:space="preserve">Needs a validated scan protocol and clinician sign-off; start with scan plus human CAD; structural testing to ISO 10328 matters (reviews of printed sockets note failures concentrate at the distal end and attachment) ✅</w:t>
            </w:r>
          </w:p>
        </w:tc>
        <w:tc>
          <w:tcPr>
            <w:tcW w:w="2340" w:type="dxa"/>
          </w:tcPr>
          <w:p>
            <w:pPr/>
            <w:r>
              <w:rPr>
                <w:b/>
              </w:rPr>
              <w:t xml:space="preserve">Pilot Year 1-2</w:t>
            </w:r>
          </w:p>
        </w:tc>
      </w:tr>
      <w:tr>
        <w:tc>
          <w:tcPr>
            <w:tcW w:w="2340" w:type="dxa"/>
          </w:tcPr>
          <w:p>
            <w:pPr/>
            <w:r>
              <w:t xml:space="preserve">Predictive maintenance from QR/IoT</w:t>
            </w:r>
          </w:p>
        </w:tc>
        <w:tc>
          <w:tcPr>
            <w:tcW w:w="2340" w:type="dxa"/>
          </w:tcPr>
          <w:p>
            <w:pPr/>
            <w:r>
              <w:t xml:space="preserve">Fewer breakdowns, better spares, evidence for payers</w:t>
            </w:r>
          </w:p>
        </w:tc>
        <w:tc>
          <w:tcPr>
            <w:tcW w:w="2340" w:type="dxa"/>
          </w:tcPr>
          <w:p>
            <w:pPr/>
            <w:r>
              <w:t xml:space="preserve">Start with QR repair log, then cheap sensors</w:t>
            </w:r>
          </w:p>
        </w:tc>
        <w:tc>
          <w:tcPr>
            <w:tcW w:w="2340" w:type="dxa"/>
          </w:tcPr>
          <w:p>
            <w:pPr/>
            <w:r>
              <w:rPr>
                <w:b/>
              </w:rPr>
              <w:t xml:space="preserve">Pilot Year 2</w:t>
            </w:r>
          </w:p>
        </w:tc>
      </w:tr>
      <w:tr>
        <w:tc>
          <w:tcPr>
            <w:tcW w:w="2340" w:type="dxa"/>
          </w:tcPr>
          <w:p>
            <w:pPr/>
            <w:r>
              <w:t xml:space="preserve">Outcome tracking and personalised follow-up (SMS/WhatsApp, Swahili)</w:t>
            </w:r>
          </w:p>
        </w:tc>
        <w:tc>
          <w:tcPr>
            <w:tcW w:w="2340" w:type="dxa"/>
          </w:tcPr>
          <w:p>
            <w:pPr/>
            <w:r>
              <w:t xml:space="preserve">Retention, evidence for funders</w:t>
            </w:r>
          </w:p>
        </w:tc>
        <w:tc>
          <w:tcPr>
            <w:tcW w:w="2340" w:type="dxa"/>
          </w:tcPr>
          <w:p>
            <w:pPr/>
            <w:r>
              <w:t xml:space="preserve">Low-tech, high value; structured forms first</w:t>
            </w:r>
          </w:p>
        </w:tc>
        <w:tc>
          <w:tcPr>
            <w:tcW w:w="2340" w:type="dxa"/>
          </w:tcPr>
          <w:p>
            <w:pPr/>
            <w:r>
              <w:rPr>
                <w:b/>
              </w:rPr>
              <w:t xml:space="preserve">Start now (non-AI first)</w:t>
            </w:r>
          </w:p>
        </w:tc>
      </w:tr>
      <w:tr>
        <w:tc>
          <w:tcPr>
            <w:tcW w:w="2340" w:type="dxa"/>
          </w:tcPr>
          <w:p>
            <w:pPr/>
            <w:r>
              <w:t xml:space="preserve">Demand forecasting and inventory</w:t>
            </w:r>
          </w:p>
        </w:tc>
        <w:tc>
          <w:tcPr>
            <w:tcW w:w="2340" w:type="dxa"/>
          </w:tcPr>
          <w:p>
            <w:pPr/>
            <w:r>
              <w:t xml:space="preserve">Right spares at the right hubs</w:t>
            </w:r>
          </w:p>
        </w:tc>
        <w:tc>
          <w:tcPr>
            <w:tcW w:w="2340" w:type="dxa"/>
          </w:tcPr>
          <w:p>
            <w:pPr/>
            <w:r>
              <w:t xml:space="preserve">Needs 12+ months of order data</w:t>
            </w:r>
          </w:p>
        </w:tc>
        <w:tc>
          <w:tcPr>
            <w:tcW w:w="2340" w:type="dxa"/>
          </w:tcPr>
          <w:p>
            <w:pPr/>
            <w:r>
              <w:t xml:space="preserve">Year 3</w:t>
            </w:r>
          </w:p>
        </w:tc>
      </w:tr>
      <w:tr>
        <w:tc>
          <w:tcPr>
            <w:tcW w:w="2340" w:type="dxa"/>
          </w:tcPr>
          <w:p>
            <w:pPr/>
            <w:r>
              <w:t xml:space="preserve">Computer-vision/voice aids for blind and low-vision users</w:t>
            </w:r>
          </w:p>
        </w:tc>
        <w:tc>
          <w:tcPr>
            <w:tcW w:w="2340" w:type="dxa"/>
          </w:tcPr>
          <w:p>
            <w:pPr/>
            <w:r>
              <w:t xml:space="preserve">Wayfinding, reading</w:t>
            </w:r>
          </w:p>
        </w:tc>
        <w:tc>
          <w:tcPr>
            <w:tcW w:w="2340" w:type="dxa"/>
          </w:tcPr>
          <w:p>
            <w:pPr/>
            <w:r>
              <w:t xml:space="preserve">Needs offline models and local-language data; many global apps exist</w:t>
            </w:r>
          </w:p>
        </w:tc>
        <w:tc>
          <w:tcPr>
            <w:tcW w:w="2340" w:type="dxa"/>
          </w:tcPr>
          <w:p>
            <w:pPr/>
            <w:r>
              <w:t xml:space="preserve">Partner, do not build first</w:t>
            </w:r>
          </w:p>
        </w:tc>
      </w:tr>
      <w:tr>
        <w:tc>
          <w:tcPr>
            <w:tcW w:w="2340" w:type="dxa"/>
          </w:tcPr>
          <w:p>
            <w:pPr/>
            <w:r>
              <w:t xml:space="preserve">Kenyan Sign Language recognition</w:t>
            </w:r>
          </w:p>
        </w:tc>
        <w:tc>
          <w:tcPr>
            <w:tcW w:w="2340" w:type="dxa"/>
          </w:tcPr>
          <w:p>
            <w:pPr/>
            <w:r>
              <w:t xml:space="preserve">Education and service access</w:t>
            </w:r>
          </w:p>
        </w:tc>
        <w:tc>
          <w:tcPr>
            <w:tcW w:w="2340" w:type="dxa"/>
          </w:tcPr>
          <w:p>
            <w:pPr/>
            <w:r>
              <w:t xml:space="preserve">Very limited datasets</w:t>
            </w:r>
          </w:p>
        </w:tc>
        <w:tc>
          <w:tcPr>
            <w:tcW w:w="2340" w:type="dxa"/>
          </w:tcPr>
          <w:p>
            <w:pPr/>
            <w:r>
              <w:t xml:space="preserve">Research partnership only</w:t>
            </w:r>
          </w:p>
        </w:tc>
      </w:tr>
      <w:tr>
        <w:tc>
          <w:tcPr>
            <w:tcW w:w="2340" w:type="dxa"/>
          </w:tcPr>
          <w:p>
            <w:pPr/>
            <w:r>
              <w:t xml:space="preserve">Myoelectric/AI prosthetics</w:t>
            </w:r>
          </w:p>
        </w:tc>
        <w:tc>
          <w:tcPr>
            <w:tcW w:w="2340" w:type="dxa"/>
          </w:tcPr>
          <w:p>
            <w:pPr/>
            <w:r>
              <w:t xml:space="preserve">High functional benefit</w:t>
            </w:r>
          </w:p>
        </w:tc>
        <w:tc>
          <w:tcPr>
            <w:tcW w:w="2340" w:type="dxa"/>
          </w:tcPr>
          <w:p>
            <w:pPr/>
            <w:r>
              <w:t xml:space="preserve">High cost, battery and repair issues</w:t>
            </w:r>
          </w:p>
        </w:tc>
        <w:tc>
          <w:tcPr>
            <w:tcW w:w="2340" w:type="dxa"/>
          </w:tcPr>
          <w:p>
            <w:pPr/>
            <w:r>
              <w:t xml:space="preserve">Not near-term</w:t>
            </w:r>
          </w:p>
        </w:tc>
      </w:tr>
      <w:tr>
        <w:tc>
          <w:tcPr>
            <w:tcW w:w="2340" w:type="dxa"/>
          </w:tcPr>
          <w:p>
            <w:pPr/>
            <w:r>
              <w:t xml:space="preserve">Generative design for lighter parts</w:t>
            </w:r>
          </w:p>
        </w:tc>
        <w:tc>
          <w:tcPr>
            <w:tcW w:w="2340" w:type="dxa"/>
          </w:tcPr>
          <w:p>
            <w:pPr/>
            <w:r>
              <w:t xml:space="preserve">Material savings</w:t>
            </w:r>
          </w:p>
        </w:tc>
        <w:tc>
          <w:tcPr>
            <w:tcW w:w="2340" w:type="dxa"/>
          </w:tcPr>
          <w:p>
            <w:pPr/>
            <w:r>
              <w:t xml:space="preserve">Requires validated test methods</w:t>
            </w:r>
          </w:p>
        </w:tc>
        <w:tc>
          <w:tcPr>
            <w:tcW w:w="2340" w:type="dxa"/>
          </w:tcPr>
          <w:p>
            <w:pPr/>
            <w:r>
              <w:t xml:space="preserve">Year 2-3 R&amp;D</w:t>
            </w:r>
          </w:p>
        </w:tc>
      </w:tr>
    </w:tbl>
    <w:p>
      <w:pPr/>
      <w:r>
        <w:rPr>
          <w:b/>
        </w:rPr>
        <w:t xml:space="preserve">Principle.</w:t>
      </w:r>
      <w:r>
        <w:t xml:space="preserve"> AI is a layer on top of a working service chain. Each AI feature must show it improves fit, cost, adherence or outcome in a measured pilot before it is marketed, and no clinical decision is made by an algorithm without clinician sign-off. This also matters legally: PPB's April 2026 draft guidance on medical device software suggests software that influences clinical decisions may be regulated ✅ (see Section 5).</w:t>
      </w:r>
    </w:p>
    <w:p>
      <w:pPr>
        <w:pStyle w:val="Heading2"/>
      </w:pPr>
      <w:r>
        <w:t xml:space="preserve">5. Regulation, standards and compliance</w:t>
      </w:r>
    </w:p>
    <w:p>
      <w:pPr/>
      <w:r>
        <w:t xml:space="preserve">This section covers what the business must satisfy. Platform-specific data and security controls are in Section 22. Treat every row as a question to put to the regulator in writing (see Appendix F).</w:t>
      </w:r>
    </w:p>
    <w:p>
      <w:pPr>
        <w:pStyle w:val="Heading3"/>
      </w:pPr>
      <w:r>
        <w:t xml:space="preserve">5.1 Obligations register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the research found</w:t>
            </w:r>
          </w:p>
        </w:tc>
        <w:tc>
          <w:tcPr>
            <w:tcW w:w="3120" w:type="dxa"/>
            <w:shd w:val="clear" w:color="auto" w:fill="F2F2F2"/>
          </w:tcPr>
          <w:p>
            <w:pPr/>
            <w:r>
              <w:t xml:space="preserve">Action before the pilot</w:t>
            </w:r>
          </w:p>
        </w:tc>
      </w:tr>
      <w:tr>
        <w:tc>
          <w:tcPr>
            <w:tcW w:w="3120" w:type="dxa"/>
          </w:tcPr>
          <w:p>
            <w:pPr/>
            <w:r>
              <w:t xml:space="preserve">Medical device registration</w:t>
            </w:r>
          </w:p>
        </w:tc>
        <w:tc>
          <w:tcPr>
            <w:tcW w:w="3120" w:type="dxa"/>
          </w:tcPr>
          <w:p>
            <w:pPr/>
            <w:r>
              <w:t xml:space="preserve">The Pharmacy and Poisons Board (PPB) regulates devices under the Pharmacy and Poisons Act (Cap 244) ✅. Devices fall into Class A to D on IMDRF-style risk principles, applications go through the PPB online portal, Class A needs only listing, and the PPB may reclassify during evaluation ✅. Full evaluation of a new device is reported at 6-12 months ✅ [V]. Certificates are valid five years and renewal is mandatory; in February 2026 PPB declared 22% of products in circulation non-compliant for missing renewals ✅. Local manufacturers face on-site inspection and Good Manufacturing Practice checks ✅P.</w:t>
            </w:r>
          </w:p>
        </w:tc>
        <w:tc>
          <w:tcPr>
            <w:tcW w:w="3120" w:type="dxa"/>
          </w:tcPr>
          <w:p>
            <w:pPr/>
            <w:r>
              <w:t xml:space="preserve">Ask PPB in writing how wheelchairs, orthoses, sockets and ADL aids are classified and whether clinician-supervised custom-made devices need registration or listing. Register the company's manufacturing premises early.</w:t>
            </w:r>
          </w:p>
        </w:tc>
      </w:tr>
      <w:tr>
        <w:tc>
          <w:tcPr>
            <w:tcW w:w="3120" w:type="dxa"/>
          </w:tcPr>
          <w:p>
            <w:pPr/>
            <w:r>
              <w:t xml:space="preserve">Public tenders</w:t>
            </w:r>
          </w:p>
        </w:tc>
        <w:tc>
          <w:tcPr>
            <w:tcW w:w="3120" w:type="dxa"/>
          </w:tcPr>
          <w:p>
            <w:pPr/>
            <w:r>
              <w:t xml:space="preserve">For public tenders each assistive product must be PPB-certified, which can take up to two years across multiple products; locally made products are generally favoured; KEMSA is being prepared to become the central public procurer of AT by 2026 ✅P.</w:t>
            </w:r>
          </w:p>
        </w:tc>
        <w:tc>
          <w:tcPr>
            <w:tcW w:w="3120" w:type="dxa"/>
          </w:tcPr>
          <w:p>
            <w:pPr/>
            <w:r>
              <w:t xml:space="preserve">Sequence registration by tender potential: standard chair and walking aids first.</w:t>
            </w:r>
          </w:p>
        </w:tc>
      </w:tr>
      <w:tr>
        <w:tc>
          <w:tcPr>
            <w:tcW w:w="3120" w:type="dxa"/>
          </w:tcPr>
          <w:p>
            <w:pPr/>
            <w:r>
              <w:t xml:space="preserve">Regulator transition</w:t>
            </w:r>
          </w:p>
        </w:tc>
        <w:tc>
          <w:tcPr>
            <w:tcW w:w="3120" w:type="dxa"/>
          </w:tcPr>
          <w:p>
            <w:pPr/>
            <w:r>
              <w:t xml:space="preserve">Legislation to create a Kenya Health Products and Technologies Regulatory Authority (KHPTA) that would take over device, software and digital-health products has been reported as advanced in Parliament ✅; PPB continues to operate in the meantime.</w:t>
            </w:r>
          </w:p>
        </w:tc>
        <w:tc>
          <w:tcPr>
            <w:tcW w:w="3120" w:type="dxa"/>
          </w:tcPr>
          <w:p>
            <w:pPr/>
            <w:r>
              <w:t xml:space="preserve">Track the bill; keep the dossier format-agnostic.</w:t>
            </w:r>
          </w:p>
        </w:tc>
      </w:tr>
      <w:tr>
        <w:tc>
          <w:tcPr>
            <w:tcW w:w="3120" w:type="dxa"/>
          </w:tcPr>
          <w:p>
            <w:pPr/>
            <w:r>
              <w:t xml:space="preserve">Software as a medical device</w:t>
            </w:r>
          </w:p>
        </w:tc>
        <w:tc>
          <w:tcPr>
            <w:tcW w:w="3120" w:type="dxa"/>
          </w:tcPr>
          <w:p>
            <w:pPr/>
            <w:r>
              <w:t xml:space="preserve">In April 2026 PPB released draft guidance for Medical Device Software (software as a medical device and software in a medical device), aligned with IMDRF and referencing the Digital Health Act and the Kenya AI Strategy 2025-2030 ✅.</w:t>
            </w:r>
          </w:p>
        </w:tc>
        <w:tc>
          <w:tcPr>
            <w:tcW w:w="3120" w:type="dxa"/>
          </w:tcPr>
          <w:p>
            <w:pPr/>
            <w:r>
              <w:t xml:space="preserve">Keep clinical-decision features out of the MVP; classify each AI feature before release.</w:t>
            </w:r>
          </w:p>
        </w:tc>
      </w:tr>
      <w:tr>
        <w:tc>
          <w:tcPr>
            <w:tcW w:w="3120" w:type="dxa"/>
          </w:tcPr>
          <w:p>
            <w:pPr/>
            <w:r>
              <w:t xml:space="preserve">Traceability</w:t>
            </w:r>
          </w:p>
        </w:tc>
        <w:tc>
          <w:tcPr>
            <w:tcW w:w="3120" w:type="dxa"/>
          </w:tcPr>
          <w:p>
            <w:pPr/>
            <w:r>
              <w:t xml:space="preserve">PPB published Standards for Authentication and Traceability of Health Products and Technologies in October 2025; KEMSA already applies product verification for public facilities ✅.</w:t>
            </w:r>
          </w:p>
        </w:tc>
        <w:tc>
          <w:tcPr>
            <w:tcW w:w="3120" w:type="dxa"/>
          </w:tcPr>
          <w:p>
            <w:pPr/>
            <w:r>
              <w:t xml:space="preserve">Design the QR device passport so it can carry or map to a standard product identifier [V: confirm the required identifier scheme].</w:t>
            </w:r>
          </w:p>
        </w:tc>
      </w:tr>
      <w:tr>
        <w:tc>
          <w:tcPr>
            <w:tcW w:w="3120" w:type="dxa"/>
          </w:tcPr>
          <w:p>
            <w:pPr/>
            <w:r>
              <w:t xml:space="preserve">Standards</w:t>
            </w:r>
          </w:p>
        </w:tc>
        <w:tc>
          <w:tcPr>
            <w:tcW w:w="3120" w:type="dxa"/>
          </w:tcPr>
          <w:p>
            <w:pPr/>
            <w:r>
              <w:t xml:space="preserve">KEBS has no AT-specific specifications yet; stakeholders generally accept products that meet ISO standards ✅P. Benchmarks: ISO 7176 series for wheelchairs (for example static stability, brakes, strength, information disclosure) [V parts]; ISO 11334 crutches [V]; ISO 10328 structural testing of lower-limb prostheses ✅; ISO 22523 requirements for external limb prostheses and orthoses [V]; ISO 13485 quality management, ISO 14971 risk management, IEC 62304 software life cycle, ISO 10993 biocompatibility for skin-contact materials [V].</w:t>
            </w:r>
          </w:p>
        </w:tc>
        <w:tc>
          <w:tcPr>
            <w:tcW w:w="3120" w:type="dxa"/>
          </w:tcPr>
          <w:p>
            <w:pPr/>
            <w:r>
              <w:t xml:space="preserve">Write a test plan mapping every product to the relevant clauses; use external test fees in the pilot budget.</w:t>
            </w:r>
          </w:p>
        </w:tc>
      </w:tr>
      <w:tr>
        <w:tc>
          <w:tcPr>
            <w:tcW w:w="3120" w:type="dxa"/>
          </w:tcPr>
          <w:p>
            <w:pPr/>
            <w:r>
              <w:t xml:space="preserve">Professional scope</w:t>
            </w:r>
          </w:p>
        </w:tc>
        <w:tc>
          <w:tcPr>
            <w:tcW w:w="3120" w:type="dxa"/>
          </w:tcPr>
          <w:p>
            <w:pPr/>
            <w:r>
              <w:t xml:space="preserve">Orthoses and prostheses should be fitted or supervised by registered orthopaedic technologists or physiotherapists; ATscale supported 107 scholarships for a rehabilitation Higher National Diploma ✅.</w:t>
            </w:r>
          </w:p>
        </w:tc>
        <w:tc>
          <w:tcPr>
            <w:tcW w:w="3120" w:type="dxa"/>
          </w:tcPr>
          <w:p>
            <w:pPr/>
            <w:r>
              <w:t xml:space="preserve">Confirm which councils register each cadre [V]; contract a registered clinical lead before any fitting.</w:t>
            </w:r>
          </w:p>
        </w:tc>
      </w:tr>
      <w:tr>
        <w:tc>
          <w:tcPr>
            <w:tcW w:w="3120" w:type="dxa"/>
          </w:tcPr>
          <w:p>
            <w:pPr/>
            <w:r>
              <w:t xml:space="preserve">Data protection</w:t>
            </w:r>
          </w:p>
        </w:tc>
        <w:tc>
          <w:tcPr>
            <w:tcW w:w="3120" w:type="dxa"/>
          </w:tcPr>
          <w:p>
            <w:pPr/>
            <w:r>
              <w:t xml:space="preserve">Health data is sensitive personal data; transfers abroad need explicit consent and safeguards for sensitive data; processing for primary or secondary health care must be on a Kenyan server or keep a serving copy in Kenya ✅P (Section 22.2).</w:t>
            </w:r>
          </w:p>
        </w:tc>
        <w:tc>
          <w:tcPr>
            <w:tcW w:w="3120" w:type="dxa"/>
          </w:tcPr>
          <w:p>
            <w:pPr/>
            <w:r>
              <w:t xml:space="preserve">Register with ODPC, appoint a Data Protection Officer, run a DPIA before collecting any real data.</w:t>
            </w:r>
          </w:p>
        </w:tc>
      </w:tr>
      <w:tr>
        <w:tc>
          <w:tcPr>
            <w:tcW w:w="3120" w:type="dxa"/>
          </w:tcPr>
          <w:p>
            <w:pPr/>
            <w:r>
              <w:t xml:space="preserve">Digital Health Act 2023</w:t>
            </w:r>
          </w:p>
        </w:tc>
        <w:tc>
          <w:tcPr>
            <w:tcW w:w="3120" w:type="dxa"/>
          </w:tcPr>
          <w:p>
            <w:pPr/>
            <w:r>
              <w:t xml:space="preserve">2025 regulations require certification of digital health solutions and set data exchange and health information management procedures; health data controllers must register and notify the Digital Health Agency ✅ [V timelines].</w:t>
            </w:r>
          </w:p>
        </w:tc>
        <w:tc>
          <w:tcPr>
            <w:tcW w:w="3120" w:type="dxa"/>
          </w:tcPr>
          <w:p>
            <w:pPr/>
            <w:r>
              <w:t xml:space="preserve">Ask the Agency whether the platform is a "digital health solution" needing certification and when.</w:t>
            </w:r>
          </w:p>
        </w:tc>
      </w:tr>
      <w:tr>
        <w:tc>
          <w:tcPr>
            <w:tcW w:w="3120" w:type="dxa"/>
          </w:tcPr>
          <w:p>
            <w:pPr/>
            <w:r>
              <w:t xml:space="preserve">Disability law</w:t>
            </w:r>
          </w:p>
        </w:tc>
        <w:tc>
          <w:tcPr>
            <w:tcW w:w="3120" w:type="dxa"/>
          </w:tcPr>
          <w:p>
            <w:pPr/>
            <w:r>
              <w:t xml:space="preserve">Constitution Art. 54 and the Persons with Disabilities Act 2025 (Act No. 4 of 2025, in force 27 May 2025, repealing the 2003 Act) ✅P; UN CRPD ratified 2008 [V].</w:t>
            </w:r>
          </w:p>
        </w:tc>
        <w:tc>
          <w:tcPr>
            <w:tcW w:w="3120" w:type="dxa"/>
          </w:tcPr>
          <w:p>
            <w:pPr/>
            <w:r>
              <w:t xml:space="preserve">Cite the 2025 Act. Section 26 requires ICT providers to make platforms accessible ✅ (see Section 25).</w:t>
            </w:r>
          </w:p>
        </w:tc>
      </w:tr>
      <w:tr>
        <w:tc>
          <w:tcPr>
            <w:tcW w:w="3120" w:type="dxa"/>
          </w:tcPr>
          <w:p>
            <w:pPr/>
            <w:r>
              <w:t xml:space="preserve">Tax and duty</w:t>
            </w:r>
          </w:p>
        </w:tc>
        <w:tc>
          <w:tcPr>
            <w:tcW w:w="3120" w:type="dxa"/>
          </w:tcPr>
          <w:p>
            <w:pPr/>
            <w:r>
              <w:t xml:space="preserve">Duty and VAT exemption for PWD equipment (s.56) and a power for the Finance Cabinet Secretary to grant local manufacturers incentives on raw materials, inputs and imported capital equipment ✅P. ATscale reports exemption letters from the National Council are rarely given to businesses, and zero-rated VAT applies to items such as hearing aids and artificial joints/body parts (HS 9021.31, 9021.39), cited under the older Act ✅P. Special manufacturing zones offer incentives but are led by the trade ministry with little health focus ✅P.</w:t>
            </w:r>
          </w:p>
        </w:tc>
        <w:tc>
          <w:tcPr>
            <w:tcW w:w="3120" w:type="dxa"/>
          </w:tcPr>
          <w:p>
            <w:pPr/>
            <w:r>
              <w:t xml:space="preserve">Ask KRA and the Treasury which inputs and machines qualify and the application route; re-check the zero-rating under the 2025 Act.</w:t>
            </w:r>
          </w:p>
        </w:tc>
      </w:tr>
      <w:tr>
        <w:tc>
          <w:tcPr>
            <w:tcW w:w="3120" w:type="dxa"/>
          </w:tcPr>
          <w:p>
            <w:pPr/>
            <w:r>
              <w:t xml:space="preserve">Credit</w:t>
            </w:r>
          </w:p>
        </w:tc>
        <w:tc>
          <w:tcPr>
            <w:tcW w:w="3120" w:type="dxa"/>
          </w:tcPr>
          <w:p>
            <w:pPr/>
            <w:r>
              <w:t xml:space="preserve">The Business Laws (Amendment) Act 2024 requires a CBK licence for non-deposit-taking credit business, expressly including pay-as-you-go and buy-now-pay-later ✅P. Draft CBK regulations (August 2025) propose a licensing threshold around KES 20 million of capital, borrowings or loan book ✅ [V], and commentary suggests sellers extending credit only incidentally may be outside licensing ✅ [V].</w:t>
            </w:r>
          </w:p>
        </w:tc>
        <w:tc>
          <w:tcPr>
            <w:tcW w:w="3120" w:type="dxa"/>
          </w:tcPr>
          <w:p>
            <w:pPr/>
            <w:r>
              <w:t xml:space="preserve">Get a written legal opinion before offering instalments; start with deposits, short instalments and third-party financiers.</w:t>
            </w:r>
          </w:p>
        </w:tc>
      </w:tr>
      <w:tr>
        <w:tc>
          <w:tcPr>
            <w:tcW w:w="3120" w:type="dxa"/>
          </w:tcPr>
          <w:p>
            <w:pPr/>
            <w:r>
              <w:t xml:space="preserve">Payments</w:t>
            </w:r>
          </w:p>
        </w:tc>
        <w:tc>
          <w:tcPr>
            <w:tcW w:w="3120" w:type="dxa"/>
          </w:tcPr>
          <w:p>
            <w:pPr/>
            <w:r>
              <w:t xml:space="preserve">Using Safaricom paybill or till numbers via Daraja avoids holding customer funds [V]. Holding funds or wallets would need CBK payment-service licensing [V].</w:t>
            </w:r>
          </w:p>
        </w:tc>
        <w:tc>
          <w:tcPr>
            <w:tcW w:w="3120" w:type="dxa"/>
          </w:tcPr>
          <w:p>
            <w:pPr/>
            <w:r>
              <w:t xml:space="preserve">Settle straight to the business account; no stored value.</w:t>
            </w:r>
          </w:p>
        </w:tc>
      </w:tr>
      <w:tr>
        <w:tc>
          <w:tcPr>
            <w:tcW w:w="3120" w:type="dxa"/>
          </w:tcPr>
          <w:p>
            <w:pPr/>
            <w:r>
              <w:t xml:space="preserve">Workplace, environment, liability</w:t>
            </w:r>
          </w:p>
        </w:tc>
        <w:tc>
          <w:tcPr>
            <w:tcW w:w="3120" w:type="dxa"/>
          </w:tcPr>
          <w:p>
            <w:pPr/>
            <w:r>
              <w:t xml:space="preserve">Workshop registration and safety under occupational safety law and waste rules for plastics and metal offcuts [V]; product-liability and equipment insurance (budgeted in Section 12).</w:t>
            </w:r>
          </w:p>
        </w:tc>
        <w:tc>
          <w:tcPr>
            <w:tcW w:w="3120" w:type="dxa"/>
          </w:tcPr>
          <w:p>
            <w:pPr/>
            <w:r>
              <w:t xml:space="preserve">Register the workshop; keep design history files, batch and serial records and a complaints log.</w:t>
            </w:r>
          </w:p>
        </w:tc>
      </w:tr>
      <w:tr>
        <w:tc>
          <w:tcPr>
            <w:tcW w:w="3120" w:type="dxa"/>
          </w:tcPr>
          <w:p>
            <w:pPr/>
            <w:r>
              <w:t xml:space="preserve">Legal form</w:t>
            </w:r>
          </w:p>
        </w:tc>
        <w:tc>
          <w:tcPr>
            <w:tcW w:w="3120" w:type="dxa"/>
          </w:tcPr>
          <w:p>
            <w:pPr/>
            <w:r>
              <w:t xml:space="preserve">The entity must receive grants and earn revenue: for example a company limited by guarantee with a trading subsidiary [V with a lawyer].</w:t>
            </w:r>
          </w:p>
        </w:tc>
        <w:tc>
          <w:tcPr>
            <w:tcW w:w="3120" w:type="dxa"/>
          </w:tcPr>
          <w:p>
            <w:pPr/>
            <w:r>
              <w:t xml:space="preserve">Decide structure with counsel before opening the till.</w:t>
            </w:r>
          </w:p>
        </w:tc>
      </w:tr>
    </w:tbl>
    <w:p>
      <w:pPr>
        <w:pStyle w:val="Heading3"/>
      </w:pPr>
      <w:r>
        <w:t xml:space="preserve">5.2 Regulatory critical path</w:t>
      </w:r>
    </w:p>
    <w:p>
      <w:pPr>
        <w:pStyle w:val="ListParagraph"/>
        <w:numPr>
          <w:ilvl w:val="0"/>
          <w:numId w:val="5"/>
        </w:numPr>
      </w:pPr>
      <w:r>
        <w:t xml:space="preserve">Send the written classification and custom-device enquiry to PPB (Appendix F).</w:t>
      </w:r>
    </w:p>
    <w:p>
      <w:pPr>
        <w:pStyle w:val="ListParagraph"/>
        <w:numPr>
          <w:ilvl w:val="0"/>
          <w:numId w:val="5"/>
        </w:numPr>
      </w:pPr>
      <w:r>
        <w:t xml:space="preserve">Register with ODPC and complete the DPIA; ask the Digital Health Agency about certification.</w:t>
      </w:r>
    </w:p>
    <w:p>
      <w:pPr>
        <w:pStyle w:val="ListParagraph"/>
        <w:numPr>
          <w:ilvl w:val="0"/>
          <w:numId w:val="5"/>
        </w:numPr>
      </w:pPr>
      <w:r>
        <w:t xml:space="preserve">Obtain a legal opinion on instalment credit and the legal form.</w:t>
      </w:r>
    </w:p>
    <w:p>
      <w:pPr>
        <w:pStyle w:val="ListParagraph"/>
        <w:numPr>
          <w:ilvl w:val="0"/>
          <w:numId w:val="5"/>
        </w:numPr>
      </w:pPr>
      <w:r>
        <w:t xml:space="preserve">Confirm which inputs and equipment qualify for local-manufacturer incentives.</w:t>
      </w:r>
    </w:p>
    <w:p>
      <w:pPr>
        <w:pStyle w:val="ListParagraph"/>
        <w:numPr>
          <w:ilvl w:val="0"/>
          <w:numId w:val="5"/>
        </w:numPr>
      </w:pPr>
      <w:r>
        <w:t xml:space="preserve">Contract the clinical lead and the ethics route (for example a university or hospital ethics committee [V]).</w:t>
      </w:r>
    </w:p>
    <w:p>
      <w:pPr>
        <w:pStyle w:val="ListParagraph"/>
        <w:numPr>
          <w:ilvl w:val="0"/>
          <w:numId w:val="5"/>
        </w:numPr>
      </w:pPr>
      <w:r>
        <w:t xml:space="preserve">Build the design history file and test plan before the first user fitting.</w:t>
      </w:r>
    </w:p>
    <w:p>
      <w:pPr>
        <w:pStyle w:val="ListParagraph"/>
        <w:numPr>
          <w:ilvl w:val="0"/>
          <w:numId w:val="5"/>
        </w:numPr>
      </w:pPr>
      <w:r>
        <w:t xml:space="preserve">Take out product-liability insurance before the first delivery.</w:t>
      </w:r>
    </w:p>
    <w:p>
      <w:pPr>
        <w:pStyle w:val="ListParagraph"/>
        <w:numPr>
          <w:ilvl w:val="0"/>
          <w:numId w:val="5"/>
        </w:numPr>
      </w:pPr>
      <w:r>
        <w:t xml:space="preserve">Start PPB registration for the first tender-eligible products in parallel with the pilot.</w:t>
      </w:r>
    </w:p>
    <w:p>
      <w:pPr>
        <w:pStyle w:val="Heading2"/>
      </w:pPr>
      <w:r>
        <w:t xml:space="preserve">6. Ecosystem and competitive landscape</w:t>
      </w:r>
    </w:p>
    <w:p>
      <w:pPr/>
      <w:r>
        <w:t xml:space="preserve">Verify the current activity of each organisation before using it in a partner or competitor table [V all].</w:t>
      </w:r>
    </w:p>
    <w:p>
      <w:pPr>
        <w:pStyle w:val="Heading3"/>
      </w:pPr>
      <w:r>
        <w:t xml:space="preserve">6.1 Who else is in the space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Examples</w:t>
            </w:r>
          </w:p>
        </w:tc>
        <w:tc>
          <w:tcPr>
            <w:tcW w:w="3120" w:type="dxa"/>
            <w:shd w:val="clear" w:color="auto" w:fill="F2F2F2"/>
          </w:tcPr>
          <w:p>
            <w:pPr/>
            <w:r>
              <w:t xml:space="preserve">Relevance</w:t>
            </w:r>
          </w:p>
        </w:tc>
      </w:tr>
      <w:tr>
        <w:tc>
          <w:tcPr>
            <w:tcW w:w="3120" w:type="dxa"/>
          </w:tcPr>
          <w:p>
            <w:pPr/>
            <w:r>
              <w:t xml:space="preserve">Policy, procurement and payers</w:t>
            </w:r>
          </w:p>
        </w:tc>
        <w:tc>
          <w:tcPr>
            <w:tcW w:w="3120" w:type="dxa"/>
          </w:tcPr>
          <w:p>
            <w:pPr/>
            <w:r>
              <w:t xml:space="preserve">Ministry of Health (Rehabilitative Services; PS Medical Services), National Council for Persons with Disabilities, KEMSA, county governments, Social Health Authority ✅</w:t>
            </w:r>
          </w:p>
        </w:tc>
        <w:tc>
          <w:tcPr>
            <w:tcW w:w="3120" w:type="dxa"/>
          </w:tcPr>
          <w:p>
            <w:pPr/>
            <w:r>
              <w:t xml:space="preserve">Specifiers and buyers; standards drive tender eligibility</w:t>
            </w:r>
          </w:p>
        </w:tc>
      </w:tr>
      <w:tr>
        <w:tc>
          <w:tcPr>
            <w:tcW w:w="3120" w:type="dxa"/>
          </w:tcPr>
          <w:p>
            <w:pPr/>
            <w:r>
              <w:t xml:space="preserve">Global and regional programmes</w:t>
            </w:r>
          </w:p>
        </w:tc>
        <w:tc>
          <w:tcPr>
            <w:tcW w:w="3120" w:type="dxa"/>
          </w:tcPr>
          <w:p>
            <w:pPr/>
            <w:r>
              <w:t xml:space="preserve">WHO, ATscale, CHAI, GDI Hub (AT2030), UNICEF</w:t>
            </w:r>
          </w:p>
        </w:tc>
        <w:tc>
          <w:tcPr>
            <w:tcW w:w="3120" w:type="dxa"/>
          </w:tcPr>
          <w:p>
            <w:pPr/>
            <w:r>
              <w:t xml:space="preserve">Funding, standards, market-shaping evidence</w:t>
            </w:r>
          </w:p>
        </w:tc>
      </w:tr>
      <w:tr>
        <w:tc>
          <w:tcPr>
            <w:tcW w:w="3120" w:type="dxa"/>
          </w:tcPr>
          <w:p>
            <w:pPr/>
            <w:r>
              <w:t xml:space="preserve">Wheelchair makers and services</w:t>
            </w:r>
          </w:p>
        </w:tc>
        <w:tc>
          <w:tcPr>
            <w:tcW w:w="3120" w:type="dxa"/>
          </w:tcPr>
          <w:p>
            <w:pPr/>
            <w:r>
              <w:t xml:space="preserve">Motivation (Made AT Kenya; Imara chair prototyped with JKUAT), APDK workshops, Hope Mobility Kenya, Bethany Kids, Walkabout Foundation, SafariSeat, Kyaninga Mobility (Uganda, bamboo frames), KISE National Assistive Devices Production Unit ✅</w:t>
            </w:r>
          </w:p>
        </w:tc>
        <w:tc>
          <w:tcPr>
            <w:tcW w:w="3120" w:type="dxa"/>
          </w:tcPr>
          <w:p>
            <w:pPr/>
            <w:r>
              <w:t xml:space="preserve">Direct comparables, partners and future price competitors</w:t>
            </w:r>
          </w:p>
        </w:tc>
      </w:tr>
      <w:tr>
        <w:tc>
          <w:tcPr>
            <w:tcW w:w="3120" w:type="dxa"/>
          </w:tcPr>
          <w:p>
            <w:pPr/>
            <w:r>
              <w:t xml:space="preserve">3D-printed prosthetics and orthotics</w:t>
            </w:r>
          </w:p>
        </w:tc>
        <w:tc>
          <w:tcPr>
            <w:tcW w:w="3120" w:type="dxa"/>
          </w:tcPr>
          <w:p>
            <w:pPr/>
            <w:r>
              <w:t xml:space="preserve">Prothea Kenya / Ugani Prosthetics (Nairobi, since April 2023), Victoria Hand Project ✅</w:t>
            </w:r>
          </w:p>
        </w:tc>
        <w:tc>
          <w:tcPr>
            <w:tcW w:w="3120" w:type="dxa"/>
          </w:tcPr>
          <w:p>
            <w:pPr/>
            <w:r>
              <w:t xml:space="preserve">Already doing part of Tier 2; partner or differentiate</w:t>
            </w:r>
          </w:p>
        </w:tc>
      </w:tr>
      <w:tr>
        <w:tc>
          <w:tcPr>
            <w:tcW w:w="3120" w:type="dxa"/>
          </w:tcPr>
          <w:p>
            <w:pPr/>
            <w:r>
              <w:t xml:space="preserve">AT innovation and funding</w:t>
            </w:r>
          </w:p>
        </w:tc>
        <w:tc>
          <w:tcPr>
            <w:tcW w:w="3120" w:type="dxa"/>
          </w:tcPr>
          <w:p>
            <w:pPr/>
            <w:r>
              <w:t xml:space="preserve">AT4D (Innovate Now accelerator; Momentous Fund), Qhala, Mastercard Foundation (Kenya AI for Disability Project, with KISE, Huawei, UNESCO, the Kenya National Innovation Agency and NCPWD), inABLE ✅</w:t>
            </w:r>
          </w:p>
        </w:tc>
        <w:tc>
          <w:tcPr>
            <w:tcW w:w="3120" w:type="dxa"/>
          </w:tcPr>
          <w:p>
            <w:pPr/>
            <w:r>
              <w:t xml:space="preserve">Funding and partnership route for Tier 2-3 and the platform</w:t>
            </w:r>
          </w:p>
        </w:tc>
      </w:tr>
      <w:tr>
        <w:tc>
          <w:tcPr>
            <w:tcW w:w="3120" w:type="dxa"/>
          </w:tcPr>
          <w:p>
            <w:pPr/>
            <w:r>
              <w:t xml:space="preserve">Rehab and clinical</w:t>
            </w:r>
          </w:p>
        </w:tc>
        <w:tc>
          <w:tcPr>
            <w:tcW w:w="3120" w:type="dxa"/>
          </w:tcPr>
          <w:p>
            <w:pPr/>
            <w:r>
              <w:t xml:space="preserve">Kenyatta National Hospital, orthopaedic and spinal centres, mission hospitals such as Kijabe, KMTC orthopaedic technology graduates [V]</w:t>
            </w:r>
          </w:p>
        </w:tc>
        <w:tc>
          <w:tcPr>
            <w:tcW w:w="3120" w:type="dxa"/>
          </w:tcPr>
          <w:p>
            <w:pPr/>
            <w:r>
              <w:t xml:space="preserve">Clinical credibility, fitting, referrals, talent</w:t>
            </w:r>
          </w:p>
        </w:tc>
      </w:tr>
      <w:tr>
        <w:tc>
          <w:tcPr>
            <w:tcW w:w="3120" w:type="dxa"/>
          </w:tcPr>
          <w:p>
            <w:pPr/>
            <w:r>
              <w:t xml:space="preserve">Makers and hubs</w:t>
            </w:r>
          </w:p>
        </w:tc>
        <w:tc>
          <w:tcPr>
            <w:tcW w:w="3120" w:type="dxa"/>
          </w:tcPr>
          <w:p>
            <w:pPr/>
            <w:r>
              <w:t xml:space="preserve">Gearbox Nairobi, university fab labs, iLabAfrica, iHub [V]</w:t>
            </w:r>
          </w:p>
        </w:tc>
        <w:tc>
          <w:tcPr>
            <w:tcW w:w="3120" w:type="dxa"/>
          </w:tcPr>
          <w:p>
            <w:pPr/>
            <w:r>
              <w:t xml:space="preserve">Equipment access, mentorship, talent</w:t>
            </w:r>
          </w:p>
        </w:tc>
      </w:tr>
      <w:tr>
        <w:tc>
          <w:tcPr>
            <w:tcW w:w="3120" w:type="dxa"/>
          </w:tcPr>
          <w:p>
            <w:pPr/>
            <w:r>
              <w:t xml:space="preserve">Disability organisations</w:t>
            </w:r>
          </w:p>
        </w:tc>
        <w:tc>
          <w:tcPr>
            <w:tcW w:w="3120" w:type="dxa"/>
          </w:tcPr>
          <w:p>
            <w:pPr/>
            <w:r>
              <w:t xml:space="preserve">Kenya Society for the Blind, Kenya Society for the Deaf, Cheshire Disability, Light for the World, CBM, United Disabled Persons of Kenya ✅</w:t>
            </w:r>
          </w:p>
        </w:tc>
        <w:tc>
          <w:tcPr>
            <w:tcW w:w="3120" w:type="dxa"/>
          </w:tcPr>
          <w:p>
            <w:pPr/>
            <w:r>
              <w:t xml:space="preserve">Distribution, user voice, co-design</w:t>
            </w:r>
          </w:p>
        </w:tc>
      </w:tr>
      <w:tr>
        <w:tc>
          <w:tcPr>
            <w:tcW w:w="3120" w:type="dxa"/>
          </w:tcPr>
          <w:p>
            <w:pPr/>
            <w:r>
              <w:t xml:space="preserve">Substitutes</w:t>
            </w:r>
          </w:p>
        </w:tc>
        <w:tc>
          <w:tcPr>
            <w:tcW w:w="3120" w:type="dxa"/>
          </w:tcPr>
          <w:p>
            <w:pPr/>
            <w:r>
              <w:t xml:space="preserve">Imported chairs (KES 45,000-80,000), donated shipments (1,000 chairs via KEMSA in 2026), second-hand devices, informal metal workshops ✅</w:t>
            </w:r>
          </w:p>
        </w:tc>
        <w:tc>
          <w:tcPr>
            <w:tcW w:w="3120" w:type="dxa"/>
          </w:tcPr>
          <w:p>
            <w:pPr/>
            <w:r>
              <w:t xml:space="preserve">Price and availability reference</w:t>
            </w:r>
          </w:p>
        </w:tc>
      </w:tr>
    </w:tbl>
    <w:p>
      <w:pPr>
        <w:pStyle w:val="Heading3"/>
      </w:pPr>
      <w:r>
        <w:t xml:space="preserve">6.2 Partner, compete or ignore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Actor</w:t>
            </w:r>
          </w:p>
        </w:tc>
        <w:tc>
          <w:tcPr>
            <w:tcW w:w="2340" w:type="dxa"/>
            <w:shd w:val="clear" w:color="auto" w:fill="F2F2F2"/>
          </w:tcPr>
          <w:p>
            <w:pPr/>
            <w:r>
              <w:t xml:space="preserve">Overlap</w:t>
            </w:r>
          </w:p>
        </w:tc>
        <w:tc>
          <w:tcPr>
            <w:tcW w:w="2340" w:type="dxa"/>
            <w:shd w:val="clear" w:color="auto" w:fill="F2F2F2"/>
          </w:tcPr>
          <w:p>
            <w:pPr/>
            <w:r>
              <w:t xml:space="preserve">Recommended stance</w:t>
            </w:r>
          </w:p>
        </w:tc>
        <w:tc>
          <w:tcPr>
            <w:tcW w:w="2340" w:type="dxa"/>
            <w:shd w:val="clear" w:color="auto" w:fill="F2F2F2"/>
          </w:tcPr>
          <w:p>
            <w:pPr/>
            <w:r>
              <w:t xml:space="preserve">Reason</w:t>
            </w:r>
          </w:p>
        </w:tc>
      </w:tr>
      <w:tr>
        <w:tc>
          <w:tcPr>
            <w:tcW w:w="2340" w:type="dxa"/>
          </w:tcPr>
          <w:p>
            <w:pPr/>
            <w:r>
              <w:t xml:space="preserve">KISE factory</w:t>
            </w:r>
          </w:p>
        </w:tc>
        <w:tc>
          <w:tcPr>
            <w:tcW w:w="2340" w:type="dxa"/>
          </w:tcPr>
          <w:p>
            <w:pPr/>
            <w:r>
              <w:t xml:space="preserve">Wheelchairs and white canes</w:t>
            </w:r>
          </w:p>
        </w:tc>
        <w:tc>
          <w:tcPr>
            <w:tcW w:w="2340" w:type="dxa"/>
          </w:tcPr>
          <w:p>
            <w:pPr/>
            <w:r>
              <w:t xml:space="preserve">Partner on repair, data and spares; do not race on price</w:t>
            </w:r>
          </w:p>
        </w:tc>
        <w:tc>
          <w:tcPr>
            <w:tcW w:w="2340" w:type="dxa"/>
          </w:tcPr>
          <w:p>
            <w:pPr/>
            <w:r>
              <w:t xml:space="preserve">State-backed, local-preference tenders; funding uncertainty</w:t>
            </w:r>
          </w:p>
        </w:tc>
      </w:tr>
      <w:tr>
        <w:tc>
          <w:tcPr>
            <w:tcW w:w="2340" w:type="dxa"/>
          </w:tcPr>
          <w:p>
            <w:pPr/>
            <w:r>
              <w:t xml:space="preserve">Motivation / Made AT Kenya</w:t>
            </w:r>
          </w:p>
        </w:tc>
        <w:tc>
          <w:tcPr>
            <w:tcW w:w="2340" w:type="dxa"/>
          </w:tcPr>
          <w:p>
            <w:pPr/>
            <w:r>
              <w:t xml:space="preserve">Chair design and service model</w:t>
            </w:r>
          </w:p>
        </w:tc>
        <w:tc>
          <w:tcPr>
            <w:tcW w:w="2340" w:type="dxa"/>
          </w:tcPr>
          <w:p>
            <w:pPr/>
            <w:r>
              <w:t xml:space="preserve">Partner: licence or adapt a proven design; share outcome data</w:t>
            </w:r>
          </w:p>
        </w:tc>
        <w:tc>
          <w:tcPr>
            <w:tcW w:w="2340" w:type="dxa"/>
          </w:tcPr>
          <w:p>
            <w:pPr/>
            <w:r>
              <w:t xml:space="preserve">Decades of design and service experience</w:t>
            </w:r>
          </w:p>
        </w:tc>
      </w:tr>
      <w:tr>
        <w:tc>
          <w:tcPr>
            <w:tcW w:w="2340" w:type="dxa"/>
          </w:tcPr>
          <w:p>
            <w:pPr/>
            <w:r>
              <w:t xml:space="preserve">APDK</w:t>
            </w:r>
          </w:p>
        </w:tc>
        <w:tc>
          <w:tcPr>
            <w:tcW w:w="2340" w:type="dxa"/>
          </w:tcPr>
          <w:p>
            <w:pPr/>
            <w:r>
              <w:t xml:space="preserve">Workshops, wheelchair technologists, lobbying for input exemptions</w:t>
            </w:r>
          </w:p>
        </w:tc>
        <w:tc>
          <w:tcPr>
            <w:tcW w:w="2340" w:type="dxa"/>
          </w:tcPr>
          <w:p>
            <w:pPr/>
            <w:r>
              <w:t xml:space="preserve">Partner: referral, repair hubs, technician pipeline</w:t>
            </w:r>
          </w:p>
        </w:tc>
        <w:tc>
          <w:tcPr>
            <w:tcW w:w="2340" w:type="dxa"/>
          </w:tcPr>
          <w:p>
            <w:pPr/>
            <w:r>
              <w:t xml:space="preserve">Existing national footprint</w:t>
            </w:r>
          </w:p>
        </w:tc>
      </w:tr>
      <w:tr>
        <w:tc>
          <w:tcPr>
            <w:tcW w:w="2340" w:type="dxa"/>
          </w:tcPr>
          <w:p>
            <w:pPr/>
            <w:r>
              <w:t xml:space="preserve">Prothea / Ugani</w:t>
            </w:r>
          </w:p>
        </w:tc>
        <w:tc>
          <w:tcPr>
            <w:tcW w:w="2340" w:type="dxa"/>
          </w:tcPr>
          <w:p>
            <w:pPr/>
            <w:r>
              <w:t xml:space="preserve">3D-printed sockets</w:t>
            </w:r>
          </w:p>
        </w:tc>
        <w:tc>
          <w:tcPr>
            <w:tcW w:w="2340" w:type="dxa"/>
          </w:tcPr>
          <w:p>
            <w:pPr/>
            <w:r>
              <w:t xml:space="preserve">White-label or specialise (orthoses, paediatric, aftercare, rural outreach)</w:t>
            </w:r>
          </w:p>
        </w:tc>
        <w:tc>
          <w:tcPr>
            <w:tcW w:w="2340" w:type="dxa"/>
          </w:tcPr>
          <w:p>
            <w:pPr/>
            <w:r>
              <w:t xml:space="preserve">Not a first-mover play</w:t>
            </w:r>
          </w:p>
        </w:tc>
      </w:tr>
      <w:tr>
        <w:tc>
          <w:tcPr>
            <w:tcW w:w="2340" w:type="dxa"/>
          </w:tcPr>
          <w:p>
            <w:pPr/>
            <w:r>
              <w:t xml:space="preserve">Victoria Hand Project</w:t>
            </w:r>
          </w:p>
        </w:tc>
        <w:tc>
          <w:tcPr>
            <w:tcW w:w="2340" w:type="dxa"/>
          </w:tcPr>
          <w:p>
            <w:pPr/>
            <w:r>
              <w:t xml:space="preserve">Upper-limb devices</w:t>
            </w:r>
          </w:p>
        </w:tc>
        <w:tc>
          <w:tcPr>
            <w:tcW w:w="2340" w:type="dxa"/>
          </w:tcPr>
          <w:p>
            <w:pPr/>
            <w:r>
              <w:t xml:space="preserve">Partner for fitting and follow-up</w:t>
            </w:r>
          </w:p>
        </w:tc>
        <w:tc>
          <w:tcPr>
            <w:tcW w:w="2340" w:type="dxa"/>
          </w:tcPr>
          <w:p>
            <w:pPr/>
            <w:r>
              <w:t xml:space="preserve">Complementary</w:t>
            </w:r>
          </w:p>
        </w:tc>
      </w:tr>
      <w:tr>
        <w:tc>
          <w:tcPr>
            <w:tcW w:w="2340" w:type="dxa"/>
          </w:tcPr>
          <w:p>
            <w:pPr/>
            <w:r>
              <w:t xml:space="preserve">AT4D, Qhala</w:t>
            </w:r>
          </w:p>
        </w:tc>
        <w:tc>
          <w:tcPr>
            <w:tcW w:w="2340" w:type="dxa"/>
          </w:tcPr>
          <w:p>
            <w:pPr/>
            <w:r>
              <w:t xml:space="preserve">Funding and AI</w:t>
            </w:r>
          </w:p>
        </w:tc>
        <w:tc>
          <w:tcPr>
            <w:tcW w:w="2340" w:type="dxa"/>
          </w:tcPr>
          <w:p>
            <w:pPr/>
            <w:r>
              <w:t xml:space="preserve">Partner and apply</w:t>
            </w:r>
          </w:p>
        </w:tc>
        <w:tc>
          <w:tcPr>
            <w:tcW w:w="2340" w:type="dxa"/>
          </w:tcPr>
          <w:p>
            <w:pPr/>
            <w:r>
              <w:t xml:space="preserve">Platform is a digital-first fit</w:t>
            </w:r>
          </w:p>
        </w:tc>
      </w:tr>
      <w:tr>
        <w:tc>
          <w:tcPr>
            <w:tcW w:w="2340" w:type="dxa"/>
          </w:tcPr>
          <w:p>
            <w:pPr/>
            <w:r>
              <w:t xml:space="preserve">KEMSA, counties</w:t>
            </w:r>
          </w:p>
        </w:tc>
        <w:tc>
          <w:tcPr>
            <w:tcW w:w="2340" w:type="dxa"/>
          </w:tcPr>
          <w:p>
            <w:pPr/>
            <w:r>
              <w:t xml:space="preserve">Procurement and distribution</w:t>
            </w:r>
          </w:p>
        </w:tc>
        <w:tc>
          <w:tcPr>
            <w:tcW w:w="2340" w:type="dxa"/>
          </w:tcPr>
          <w:p>
            <w:pPr/>
            <w:r>
              <w:t xml:space="preserve">Plug in: specifications, batch data, delivery acceptance</w:t>
            </w:r>
          </w:p>
        </w:tc>
        <w:tc>
          <w:tcPr>
            <w:tcW w:w="2340" w:type="dxa"/>
          </w:tcPr>
          <w:p>
            <w:pPr/>
            <w:r>
              <w:t xml:space="preserve">Government is standardising supply</w:t>
            </w:r>
          </w:p>
        </w:tc>
      </w:tr>
    </w:tbl>
    <w:p>
      <w:pPr>
        <w:pStyle w:val="Heading3"/>
      </w:pPr>
      <w:r>
        <w:t xml:space="preserve">6.3 Gaps and our response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Symptom</w:t>
            </w:r>
          </w:p>
        </w:tc>
        <w:tc>
          <w:tcPr>
            <w:tcW w:w="3120" w:type="dxa"/>
            <w:shd w:val="clear" w:color="auto" w:fill="F2F2F2"/>
          </w:tcPr>
          <w:p>
            <w:pPr/>
            <w:r>
              <w:t xml:space="preserve">Our response</w:t>
            </w:r>
          </w:p>
        </w:tc>
      </w:tr>
      <w:tr>
        <w:tc>
          <w:tcPr>
            <w:tcW w:w="3120" w:type="dxa"/>
          </w:tcPr>
          <w:p>
            <w:pPr/>
            <w:r>
              <w:t xml:space="preserve">Supply</w:t>
            </w:r>
          </w:p>
        </w:tc>
        <w:tc>
          <w:tcPr>
            <w:tcW w:w="3120" w:type="dxa"/>
          </w:tcPr>
          <w:p>
            <w:pPr/>
            <w:r>
              <w:t xml:space="preserve">Imports, donations, long waits</w:t>
            </w:r>
          </w:p>
        </w:tc>
        <w:tc>
          <w:tcPr>
            <w:tcW w:w="3120" w:type="dxa"/>
          </w:tcPr>
          <w:p>
            <w:pPr/>
            <w:r>
              <w:t xml:space="preserve">Local Tier 1-2 production with a partner network</w:t>
            </w:r>
          </w:p>
        </w:tc>
      </w:tr>
      <w:tr>
        <w:tc>
          <w:tcPr>
            <w:tcW w:w="3120" w:type="dxa"/>
          </w:tcPr>
          <w:p>
            <w:pPr/>
            <w:r>
              <w:t xml:space="preserve">Service</w:t>
            </w:r>
          </w:p>
        </w:tc>
        <w:tc>
          <w:tcPr>
            <w:tcW w:w="3120" w:type="dxa"/>
          </w:tcPr>
          <w:p>
            <w:pPr/>
            <w:r>
              <w:t xml:space="preserve">Abandonment of donated devices</w:t>
            </w:r>
          </w:p>
        </w:tc>
        <w:tc>
          <w:tcPr>
            <w:tcW w:w="3120" w:type="dxa"/>
          </w:tcPr>
          <w:p>
            <w:pPr/>
            <w:r>
              <w:t xml:space="preserve">Clinical partners, repair hubs, care plans</w:t>
            </w:r>
          </w:p>
        </w:tc>
      </w:tr>
      <w:tr>
        <w:tc>
          <w:tcPr>
            <w:tcW w:w="3120" w:type="dxa"/>
          </w:tcPr>
          <w:p>
            <w:pPr/>
            <w:r>
              <w:t xml:space="preserve">Rural and county</w:t>
            </w:r>
          </w:p>
        </w:tc>
        <w:tc>
          <w:tcPr>
            <w:tcW w:w="3120" w:type="dxa"/>
          </w:tcPr>
          <w:p>
            <w:pPr/>
            <w:r>
              <w:t xml:space="preserve">Services concentrated in Nairobi and a few hospitals</w:t>
            </w:r>
          </w:p>
        </w:tc>
        <w:tc>
          <w:tcPr>
            <w:tcW w:w="3120" w:type="dxa"/>
          </w:tcPr>
          <w:p>
            <w:pPr/>
            <w:r>
              <w:t xml:space="preserve">Hub-and-spoke, trained local repairers, outreach camps</w:t>
            </w:r>
          </w:p>
        </w:tc>
      </w:tr>
      <w:tr>
        <w:tc>
          <w:tcPr>
            <w:tcW w:w="3120" w:type="dxa"/>
          </w:tcPr>
          <w:p>
            <w:pPr/>
            <w:r>
              <w:t xml:space="preserve">Children's growth</w:t>
            </w:r>
          </w:p>
        </w:tc>
        <w:tc>
          <w:tcPr>
            <w:tcW w:w="3120" w:type="dxa"/>
          </w:tcPr>
          <w:p>
            <w:pPr/>
            <w:r>
              <w:t xml:space="preserve">Devices outgrown</w:t>
            </w:r>
          </w:p>
        </w:tc>
        <w:tc>
          <w:tcPr>
            <w:tcW w:w="3120" w:type="dxa"/>
          </w:tcPr>
          <w:p>
            <w:pPr/>
            <w:r>
              <w:t xml:space="preserve">Adjustable modular designs, trade-up programme</w:t>
            </w:r>
          </w:p>
        </w:tc>
      </w:tr>
      <w:tr>
        <w:tc>
          <w:tcPr>
            <w:tcW w:w="3120" w:type="dxa"/>
          </w:tcPr>
          <w:p>
            <w:pPr/>
            <w:r>
              <w:t xml:space="preserve">Data</w:t>
            </w:r>
          </w:p>
        </w:tc>
        <w:tc>
          <w:tcPr>
            <w:tcW w:w="3120" w:type="dxa"/>
          </w:tcPr>
          <w:p>
            <w:pPr/>
            <w:r>
              <w:t xml:space="preserve">No national picture of who has which device</w:t>
            </w:r>
          </w:p>
        </w:tc>
        <w:tc>
          <w:tcPr>
            <w:tcW w:w="3120" w:type="dxa"/>
          </w:tcPr>
          <w:p>
            <w:pPr/>
            <w:r>
              <w:t xml:space="preserve">QR passport and anonymised county dashboards</w:t>
            </w:r>
          </w:p>
        </w:tc>
      </w:tr>
      <w:tr>
        <w:tc>
          <w:tcPr>
            <w:tcW w:w="3120" w:type="dxa"/>
          </w:tcPr>
          <w:p>
            <w:pPr/>
            <w:r>
              <w:t xml:space="preserve">Financing</w:t>
            </w:r>
          </w:p>
        </w:tc>
        <w:tc>
          <w:tcPr>
            <w:tcW w:w="3120" w:type="dxa"/>
          </w:tcPr>
          <w:p>
            <w:pPr/>
            <w:r>
              <w:t xml:space="preserve">Households cannot pay a lump sum</w:t>
            </w:r>
          </w:p>
        </w:tc>
        <w:tc>
          <w:tcPr>
            <w:tcW w:w="3120" w:type="dxa"/>
          </w:tcPr>
          <w:p>
            <w:pPr/>
            <w:r>
              <w:t xml:space="preserve">Instalments, chama/SACCO routes, sponsor-a-device, SHA pathway if it opens</w:t>
            </w:r>
          </w:p>
        </w:tc>
      </w:tr>
      <w:tr>
        <w:tc>
          <w:tcPr>
            <w:tcW w:w="3120" w:type="dxa"/>
          </w:tcPr>
          <w:p>
            <w:pPr/>
            <w:r>
              <w:t xml:space="preserve">Workforce</w:t>
            </w:r>
          </w:p>
        </w:tc>
        <w:tc>
          <w:tcPr>
            <w:tcW w:w="3120" w:type="dxa"/>
          </w:tcPr>
          <w:p>
            <w:pPr/>
            <w:r>
              <w:t xml:space="preserve">Few orthopaedic technologists and physiotherapists per population [V]</w:t>
            </w:r>
          </w:p>
        </w:tc>
        <w:tc>
          <w:tcPr>
            <w:tcW w:w="3120" w:type="dxa"/>
          </w:tcPr>
          <w:p>
            <w:pPr/>
            <w:r>
              <w:t xml:space="preserve">Train repairers, partner with KMTC, task-sharing</w:t>
            </w:r>
          </w:p>
        </w:tc>
      </w:tr>
      <w:tr>
        <w:tc>
          <w:tcPr>
            <w:tcW w:w="3120" w:type="dxa"/>
          </w:tcPr>
          <w:p>
            <w:pPr/>
            <w:r>
              <w:t xml:space="preserve">Local-language AI</w:t>
            </w:r>
          </w:p>
        </w:tc>
        <w:tc>
          <w:tcPr>
            <w:tcW w:w="3120" w:type="dxa"/>
          </w:tcPr>
          <w:p>
            <w:pPr/>
            <w:r>
              <w:t xml:space="preserve">Few Swahili and Kenyan Sign Language datasets</w:t>
            </w:r>
          </w:p>
        </w:tc>
        <w:tc>
          <w:tcPr>
            <w:tcW w:w="3120" w:type="dxa"/>
          </w:tcPr>
          <w:p>
            <w:pPr/>
            <w:r>
              <w:t xml:space="preserve">Research partnerships; build datasets ethically</w:t>
            </w:r>
          </w:p>
        </w:tc>
      </w:tr>
      <w:tr>
        <w:tc>
          <w:tcPr>
            <w:tcW w:w="3120" w:type="dxa"/>
          </w:tcPr>
          <w:p>
            <w:pPr/>
            <w:r>
              <w:t xml:space="preserve">Education and employment</w:t>
            </w:r>
          </w:p>
        </w:tc>
        <w:tc>
          <w:tcPr>
            <w:tcW w:w="3120" w:type="dxa"/>
          </w:tcPr>
          <w:p>
            <w:pPr/>
            <w:r>
              <w:t xml:space="preserve">Out-of-school children with disabilities; low formal employment</w:t>
            </w:r>
          </w:p>
        </w:tc>
        <w:tc>
          <w:tcPr>
            <w:tcW w:w="3120" w:type="dxa"/>
          </w:tcPr>
          <w:p>
            <w:pPr/>
            <w:r>
              <w:t xml:space="preserve">Partner on classroom and workplace aids; do not build first</w:t>
            </w:r>
          </w:p>
        </w:tc>
      </w:tr>
    </w:tbl>
    <w:p>
      <w:pPr>
        <w:pStyle w:val="Heading2"/>
      </w:pPr>
      <w:r>
        <w:t xml:space="preserve">7. Product strategy and roadmap</w:t>
      </w:r>
    </w:p>
    <w:p>
      <w:pPr>
        <w:pStyle w:val="Heading3"/>
      </w:pPr>
      <w:r>
        <w:t xml:space="preserve">7.1 Horizons and gates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Horizon</w:t>
            </w:r>
          </w:p>
        </w:tc>
        <w:tc>
          <w:tcPr>
            <w:tcW w:w="2340" w:type="dxa"/>
            <w:shd w:val="clear" w:color="auto" w:fill="F2F2F2"/>
          </w:tcPr>
          <w:p>
            <w:pPr/>
            <w:r>
              <w:t xml:space="preserve">Focus</w:t>
            </w:r>
          </w:p>
        </w:tc>
        <w:tc>
          <w:tcPr>
            <w:tcW w:w="2340" w:type="dxa"/>
            <w:shd w:val="clear" w:color="auto" w:fill="F2F2F2"/>
          </w:tcPr>
          <w:p>
            <w:pPr/>
            <w:r>
              <w:t xml:space="preserve">Products</w:t>
            </w:r>
          </w:p>
        </w:tc>
        <w:tc>
          <w:tcPr>
            <w:tcW w:w="2340" w:type="dxa"/>
            <w:shd w:val="clear" w:color="auto" w:fill="F2F2F2"/>
          </w:tcPr>
          <w:p>
            <w:pPr/>
            <w:r>
              <w:t xml:space="preserve">Gate to the next stage</w:t>
            </w:r>
          </w:p>
        </w:tc>
      </w:tr>
      <w:tr>
        <w:tc>
          <w:tcPr>
            <w:tcW w:w="2340" w:type="dxa"/>
          </w:tcPr>
          <w:p>
            <w:pPr/>
            <w:r>
              <w:t xml:space="preserve">H1 (0-12 months): Prove</w:t>
            </w:r>
          </w:p>
        </w:tc>
        <w:tc>
          <w:tcPr>
            <w:tcW w:w="2340" w:type="dxa"/>
          </w:tcPr>
          <w:p>
            <w:pPr/>
            <w:r>
              <w:t xml:space="preserve">Tier 1 volume, one Tier 2 line, platform MVP</w:t>
            </w:r>
          </w:p>
        </w:tc>
        <w:tc>
          <w:tcPr>
            <w:tcW w:w="2340" w:type="dxa"/>
          </w:tcPr>
          <w:p>
            <w:pPr/>
            <w:r>
              <w:t xml:space="preserve">Community wheelchair (steel or aluminium frame; printed accessories and seating parts), crutches and canes, ADL aids, tactile and low-vision learning aids; pilot printed orthoses with a clinical partner</w:t>
            </w:r>
          </w:p>
        </w:tc>
        <w:tc>
          <w:tcPr>
            <w:tcW w:w="2340" w:type="dxa"/>
          </w:tcPr>
          <w:p>
            <w:pPr/>
            <w:r>
              <w:t xml:space="preserve">50-unit pilot meets quality; 6-month device survival; partner and payer commitments</w:t>
            </w:r>
          </w:p>
        </w:tc>
      </w:tr>
      <w:tr>
        <w:tc>
          <w:tcPr>
            <w:tcW w:w="2340" w:type="dxa"/>
          </w:tcPr>
          <w:p>
            <w:pPr/>
            <w:r>
              <w:t xml:space="preserve">H2 (12-30 months): Scale</w:t>
            </w:r>
          </w:p>
        </w:tc>
        <w:tc>
          <w:tcPr>
            <w:tcW w:w="2340" w:type="dxa"/>
          </w:tcPr>
          <w:p>
            <w:pPr/>
            <w:r>
              <w:t xml:space="preserve">Repair hubs, care plans, O&amp;P growth, QR and outcome data</w:t>
            </w:r>
          </w:p>
        </w:tc>
        <w:tc>
          <w:tcPr>
            <w:tcW w:w="2340" w:type="dxa"/>
          </w:tcPr>
          <w:p>
            <w:pPr/>
            <w:r>
              <w:t xml:space="preserve">Orthoses and sockets at volume, postural seating, hub network</w:t>
            </w:r>
          </w:p>
        </w:tc>
        <w:tc>
          <w:tcPr>
            <w:tcW w:w="2340" w:type="dxa"/>
          </w:tcPr>
          <w:p>
            <w:pPr/>
            <w:r>
              <w:t xml:space="preserve">Repeat institutional buyers; gross margin target met; hub unit economics positive</w:t>
            </w:r>
          </w:p>
        </w:tc>
      </w:tr>
      <w:tr>
        <w:tc>
          <w:tcPr>
            <w:tcW w:w="2340" w:type="dxa"/>
          </w:tcPr>
          <w:p>
            <w:pPr/>
            <w:r>
              <w:t xml:space="preserve">H3 (30-60 months): Differentiate</w:t>
            </w:r>
          </w:p>
        </w:tc>
        <w:tc>
          <w:tcPr>
            <w:tcW w:w="2340" w:type="dxa"/>
          </w:tcPr>
          <w:p>
            <w:pPr/>
            <w:r>
              <w:t xml:space="preserve">Hybrid/AI features and regional expansion</w:t>
            </w:r>
          </w:p>
        </w:tc>
        <w:tc>
          <w:tcPr>
            <w:tcW w:w="2340" w:type="dxa"/>
          </w:tcPr>
          <w:p>
            <w:pPr/>
            <w:r>
              <w:t xml:space="preserve">Scan-to-design fitting, IoT maintenance, payer analytics, franchised hubs, selective East Africa export</w:t>
            </w:r>
          </w:p>
        </w:tc>
        <w:tc>
          <w:tcPr>
            <w:tcW w:w="2340" w:type="dxa"/>
          </w:tcPr>
          <w:p>
            <w:pPr/>
            <w:r>
              <w:t xml:space="preserve">Clinical validation; regulatory path; R&amp;D funding</w:t>
            </w:r>
          </w:p>
        </w:tc>
      </w:tr>
    </w:tbl>
    <w:p>
      <w:pPr>
        <w:pStyle w:val="Heading3"/>
      </w:pPr>
      <w:r>
        <w:t xml:space="preserve">7.2 Engineering guidance</w:t>
      </w:r>
    </w:p>
    <w:p>
      <w:pPr>
        <w:pStyle w:val="ListParagraph"/>
        <w:numPr>
          <w:ilvl w:val="0"/>
          <w:numId w:val="6"/>
        </w:numPr>
      </w:pPr>
      <w:r>
        <w:rPr>
          <w:b/>
        </w:rPr>
        <w:t xml:space="preserve">Load-bearing wheelchair frames are metal.</w:t>
      </w:r>
      <w:r>
        <w:t xml:space="preserve"> Use welded steel or aluminium tube. 3D printing is for sockets, orthoses, custom seating parts, ADL aids, jigs and fixtures.</w:t>
      </w:r>
    </w:p>
    <w:p>
      <w:pPr>
        <w:pStyle w:val="ListParagraph"/>
        <w:numPr>
          <w:ilvl w:val="0"/>
          <w:numId w:val="6"/>
        </w:numPr>
      </w:pPr>
      <w:r>
        <w:rPr>
          <w:b/>
        </w:rPr>
        <w:t xml:space="preserve">Materials for hot climates.</w:t>
      </w:r>
      <w:r>
        <w:t xml:space="preserve"> PLA softens at roughly 55-60 degrees Celsius [V] and a closed vehicle in the sun can exceed that [A], so PLA is unsuitable for anything that bears load or is worn. Use PETG, nylon or carbon-filled nylon for printed parts and validate by test.</w:t>
      </w:r>
    </w:p>
    <w:p>
      <w:pPr>
        <w:pStyle w:val="ListParagraph"/>
        <w:numPr>
          <w:ilvl w:val="0"/>
          <w:numId w:val="6"/>
        </w:numPr>
      </w:pPr>
      <w:r>
        <w:rPr>
          <w:b/>
        </w:rPr>
        <w:t xml:space="preserve">Design for repair.</w:t>
      </w:r>
      <w:r>
        <w:t xml:space="preserve"> Use standard bearings, tyres and fasteners that a local repairer can source; publish a spares list per model.</w:t>
      </w:r>
    </w:p>
    <w:p>
      <w:pPr>
        <w:pStyle w:val="ListParagraph"/>
        <w:numPr>
          <w:ilvl w:val="0"/>
          <w:numId w:val="6"/>
        </w:numPr>
      </w:pPr>
      <w:r>
        <w:rPr>
          <w:b/>
        </w:rPr>
        <w:t xml:space="preserve">Design for growth.</w:t>
      </w:r>
      <w:r>
        <w:t xml:space="preserve"> Adjustable seat width, depth and back height for children; define a trade-up and refurbishment route.</w:t>
      </w:r>
    </w:p>
    <w:p>
      <w:pPr>
        <w:pStyle w:val="ListParagraph"/>
        <w:numPr>
          <w:ilvl w:val="0"/>
          <w:numId w:val="6"/>
        </w:numPr>
      </w:pPr>
      <w:r>
        <w:rPr>
          <w:b/>
        </w:rPr>
        <w:t xml:space="preserve">Test early.</w:t>
      </w:r>
      <w:r>
        <w:t xml:space="preserve"> Build the load-test rig in the pilot and test against the relevant ISO clauses; for sockets, structural tests to ISO 10328 are the benchmark in the literature, and published reviews note that clinical evidence for printed devices is still thin ✅.</w:t>
      </w:r>
    </w:p>
    <w:p>
      <w:pPr>
        <w:pStyle w:val="ListParagraph"/>
        <w:numPr>
          <w:ilvl w:val="0"/>
          <w:numId w:val="6"/>
        </w:numPr>
      </w:pPr>
      <w:r>
        <w:rPr>
          <w:b/>
        </w:rPr>
        <w:t xml:space="preserve">Open and portable designs.</w:t>
      </w:r>
      <w:r>
        <w:t xml:space="preserve"> Release non-safety-critical designs under an open licence and keep safety-critical manufacturing instructions controlled [A; choose licence with counsel].</w:t>
      </w:r>
    </w:p>
    <w:p>
      <w:pPr>
        <w:pStyle w:val="ListParagraph"/>
        <w:numPr>
          <w:ilvl w:val="0"/>
          <w:numId w:val="6"/>
        </w:numPr>
      </w:pPr>
      <w:r>
        <w:rPr>
          <w:b/>
        </w:rPr>
        <w:t xml:space="preserve">Records.</w:t>
      </w:r>
      <w:r>
        <w:t xml:space="preserve"> Maintain a design history file, risk file, batch and serial records and a complaints and recall log for every model.</w:t>
      </w:r>
    </w:p>
    <w:p>
      <w:pPr>
        <w:pStyle w:val="Heading2"/>
      </w:pPr>
      <w:r>
        <w:t xml:space="preserve">8. Business model, pricing and payment pathways</w:t>
      </w:r>
    </w:p>
    <w:p>
      <w:pPr/>
      <w:r>
        <w:t xml:space="preserve">Most users cannot pay a lump sum, so the model needs several payers and payment forms.</w:t>
      </w:r>
    </w:p>
    <w:p>
      <w:pPr>
        <w:pStyle w:val="Heading3"/>
      </w:pPr>
      <w:r>
        <w:t xml:space="preserve">8.1 Payer pathways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Payer</w:t>
            </w:r>
          </w:p>
        </w:tc>
        <w:tc>
          <w:tcPr>
            <w:tcW w:w="3120" w:type="dxa"/>
            <w:shd w:val="clear" w:color="auto" w:fill="F2F2F2"/>
          </w:tcPr>
          <w:p>
            <w:pPr/>
            <w:r>
              <w:t xml:space="preserve">Mechanism</w:t>
            </w:r>
          </w:p>
        </w:tc>
        <w:tc>
          <w:tcPr>
            <w:tcW w:w="3120" w:type="dxa"/>
            <w:shd w:val="clear" w:color="auto" w:fill="F2F2F2"/>
          </w:tcPr>
          <w:p>
            <w:pPr/>
            <w:r>
              <w:t xml:space="preserve">Notes</w:t>
            </w:r>
          </w:p>
        </w:tc>
      </w:tr>
      <w:tr>
        <w:tc>
          <w:tcPr>
            <w:tcW w:w="3120" w:type="dxa"/>
          </w:tcPr>
          <w:p>
            <w:pPr/>
            <w:r>
              <w:t xml:space="preserve">NGOs, donors, counties, NCPWD</w:t>
            </w:r>
          </w:p>
        </w:tc>
        <w:tc>
          <w:tcPr>
            <w:tcW w:w="3120" w:type="dxa"/>
          </w:tcPr>
          <w:p>
            <w:pPr/>
            <w:r>
              <w:t xml:space="preserve">Tender, framework agreement, results-based contract</w:t>
            </w:r>
          </w:p>
        </w:tc>
        <w:tc>
          <w:tcPr>
            <w:tcW w:w="3120" w:type="dxa"/>
          </w:tcPr>
          <w:p>
            <w:pPr/>
            <w:r>
              <w:t xml:space="preserve">Highest volume; slow payment, so working capital is required</w:t>
            </w:r>
          </w:p>
        </w:tc>
      </w:tr>
      <w:tr>
        <w:tc>
          <w:tcPr>
            <w:tcW w:w="3120" w:type="dxa"/>
          </w:tcPr>
          <w:p>
            <w:pPr/>
            <w:r>
              <w:t xml:space="preserve">KEMSA / Ministry of Health programmes</w:t>
            </w:r>
          </w:p>
        </w:tc>
        <w:tc>
          <w:tcPr>
            <w:tcW w:w="3120" w:type="dxa"/>
          </w:tcPr>
          <w:p>
            <w:pPr/>
            <w:r>
              <w:t xml:space="preserve">Specification alignment, batch and delivery data, referral-facility supply</w:t>
            </w:r>
          </w:p>
        </w:tc>
        <w:tc>
          <w:tcPr>
            <w:tcW w:w="3120" w:type="dxa"/>
          </w:tcPr>
          <w:p>
            <w:pPr/>
            <w:r>
              <w:t xml:space="preserve">Government-led wheelchair service planned ✅; track the procurement route</w:t>
            </w:r>
          </w:p>
        </w:tc>
      </w:tr>
      <w:tr>
        <w:tc>
          <w:tcPr>
            <w:tcW w:w="3120" w:type="dxa"/>
          </w:tcPr>
          <w:p>
            <w:pPr/>
            <w:r>
              <w:t xml:space="preserve">SHA and insurers</w:t>
            </w:r>
          </w:p>
        </w:tc>
        <w:tc>
          <w:tcPr>
            <w:tcW w:w="3120" w:type="dxa"/>
          </w:tcPr>
          <w:p>
            <w:pPr/>
            <w:r>
              <w:t xml:space="preserve">Claims where covered</w:t>
            </w:r>
          </w:p>
        </w:tc>
        <w:tc>
          <w:tcPr>
            <w:tcW w:w="3120" w:type="dxa"/>
          </w:tcPr>
          <w:p>
            <w:pPr/>
            <w:r>
              <w:t xml:space="preserve">Treat as upside. POMSF schedule: every device needs manual pre-authorisation backed by prescription and clinical records ✅P. Announced 2024 tariffs for basic items are very low (KES 900 crutches, KES 500 walking frame) ✅; compare with your direct cost before accepting SHA business.</w:t>
            </w:r>
          </w:p>
        </w:tc>
      </w:tr>
      <w:tr>
        <w:tc>
          <w:tcPr>
            <w:tcW w:w="3120" w:type="dxa"/>
          </w:tcPr>
          <w:p>
            <w:pPr/>
            <w:r>
              <w:t xml:space="preserve">Employers and CSR</w:t>
            </w:r>
          </w:p>
        </w:tc>
        <w:tc>
          <w:tcPr>
            <w:tcW w:w="3120" w:type="dxa"/>
          </w:tcPr>
          <w:p>
            <w:pPr/>
            <w:r>
              <w:t xml:space="preserve">Sponsor-a-device, workplace accommodation</w:t>
            </w:r>
          </w:p>
        </w:tc>
        <w:tc>
          <w:tcPr>
            <w:tcW w:w="3120" w:type="dxa"/>
          </w:tcPr>
          <w:p>
            <w:pPr/>
            <w:r>
              <w:t xml:space="preserve">The 2025 Act lets employers deduct costs of assistive devices and workplace modifications for employees with disabilities (s.60) ✅P: a possible B2B offer</w:t>
            </w:r>
          </w:p>
        </w:tc>
      </w:tr>
      <w:tr>
        <w:tc>
          <w:tcPr>
            <w:tcW w:w="3120" w:type="dxa"/>
          </w:tcPr>
          <w:p>
            <w:pPr/>
            <w:r>
              <w:t xml:space="preserve">Households</w:t>
            </w:r>
          </w:p>
        </w:tc>
        <w:tc>
          <w:tcPr>
            <w:tcW w:w="3120" w:type="dxa"/>
          </w:tcPr>
          <w:p>
            <w:pPr/>
            <w:r>
              <w:t xml:space="preserve">Deposits plus M-Pesa instalments; chama/SACCO financing; crowdfunding</w:t>
            </w:r>
          </w:p>
        </w:tc>
        <w:tc>
          <w:tcPr>
            <w:tcW w:w="3120" w:type="dxa"/>
          </w:tcPr>
          <w:p>
            <w:pPr/>
            <w:r>
              <w:t xml:space="preserve">Credit rules apply (Section 5)</w:t>
            </w:r>
          </w:p>
        </w:tc>
      </w:tr>
      <w:tr>
        <w:tc>
          <w:tcPr>
            <w:tcW w:w="3120" w:type="dxa"/>
          </w:tcPr>
          <w:p>
            <w:pPr/>
            <w:r>
              <w:t xml:space="preserve">Clinics and schools</w:t>
            </w:r>
          </w:p>
        </w:tc>
        <w:tc>
          <w:tcPr>
            <w:tcW w:w="3120" w:type="dxa"/>
          </w:tcPr>
          <w:p>
            <w:pPr/>
            <w:r>
              <w:t xml:space="preserve">Bulk purchase plus training bundle</w:t>
            </w:r>
          </w:p>
        </w:tc>
        <w:tc>
          <w:tcPr>
            <w:tcW w:w="3120" w:type="dxa"/>
          </w:tcPr>
          <w:p>
            <w:pPr/>
            <w:r>
              <w:t xml:space="preserve">Training revenue builds adoption</w:t>
            </w:r>
          </w:p>
        </w:tc>
      </w:tr>
    </w:tbl>
    <w:p>
      <w:pPr>
        <w:pStyle w:val="Heading3"/>
      </w:pPr>
      <w:r>
        <w:t xml:space="preserve">8.2 Care Plan (maintenance as a service)</w:t>
      </w:r>
    </w:p>
    <w:p>
      <w:pPr/>
      <w:r>
        <w:t xml:space="preserve">Test three tiers in the pilot: </w:t>
      </w:r>
      <w:r>
        <w:rPr>
          <w:b/>
        </w:rPr>
        <w:t xml:space="preserve">Basic</w:t>
      </w:r>
      <w:r>
        <w:t xml:space="preserve"> (KES 300 per month: annual check and discounted repairs), </w:t>
      </w:r>
      <w:r>
        <w:rPr>
          <w:b/>
        </w:rPr>
        <w:t xml:space="preserve">Standard</w:t>
      </w:r>
      <w:r>
        <w:t xml:space="preserve"> (KES 500: parts and one pickup included) and </w:t>
      </w:r>
      <w:r>
        <w:rPr>
          <w:b/>
        </w:rPr>
        <w:t xml:space="preserve">Plus</w:t>
      </w:r>
      <w:r>
        <w:t xml:space="preserve"> (KES 800: loan device during repair and outcome follow-up). Prices are hypotheses to validate through willingness-to-pay interviews. A subscription is a service contract, not a device lock: do not remotely disable devices for non-payment.</w:t>
      </w:r>
    </w:p>
    <w:p>
      <w:pPr>
        <w:pStyle w:val="Heading3"/>
      </w:pPr>
      <w:r>
        <w:t xml:space="preserve">8.3 Institutional contracting rules of thumb [A]</w:t>
      </w:r>
    </w:p>
    <w:p>
      <w:pPr>
        <w:pStyle w:val="ListParagraph"/>
        <w:numPr>
          <w:ilvl w:val="0"/>
          <w:numId w:val="7"/>
        </w:numPr>
      </w:pPr>
      <w:r>
        <w:t xml:space="preserve">Require a deposit of 30-50% and milestone billing tied to delivery acceptance.</w:t>
      </w:r>
    </w:p>
    <w:p>
      <w:pPr>
        <w:pStyle w:val="ListParagraph"/>
        <w:numPr>
          <w:ilvl w:val="0"/>
          <w:numId w:val="7"/>
        </w:numPr>
      </w:pPr>
      <w:r>
        <w:t xml:space="preserve">Price against the import benchmark and the specification, not against donated stock.</w:t>
      </w:r>
    </w:p>
    <w:p>
      <w:pPr>
        <w:pStyle w:val="ListParagraph"/>
        <w:numPr>
          <w:ilvl w:val="0"/>
          <w:numId w:val="7"/>
        </w:numPr>
      </w:pPr>
      <w:r>
        <w:t xml:space="preserve">Offer a warranty and a service level for repair turnaround as part of the price.</w:t>
      </w:r>
    </w:p>
    <w:p>
      <w:pPr>
        <w:pStyle w:val="ListParagraph"/>
        <w:numPr>
          <w:ilvl w:val="0"/>
          <w:numId w:val="7"/>
        </w:numPr>
      </w:pPr>
      <w:r>
        <w:t xml:space="preserve">Budget working capital for 60-120 day payment cycles (Section 11 gives an estimate).</w:t>
      </w:r>
    </w:p>
    <w:p>
      <w:pPr>
        <w:pStyle w:val="Heading3"/>
      </w:pPr>
      <w:r>
        <w:t xml:space="preserve">8.4 Other revenue streams</w:t>
      </w:r>
    </w:p>
    <w:p>
      <w:pPr/>
      <w:r>
        <w:t xml:space="preserve">Technician training and certification; county data dashboards and outcome-reporting contracts; spares sales; refurbished chairs; hub franchise or licence fees (later); platform licensing to other producers and hubs (H3).</w:t>
      </w:r>
    </w:p>
    <w:p>
      <w:pPr>
        <w:pStyle w:val="Heading2"/>
      </w:pPr>
      <w:r>
        <w:t xml:space="preserve">9. Operating model and launch requirements</w:t>
      </w:r>
    </w:p>
    <w:p>
      <w:pPr>
        <w:pStyle w:val="Heading3"/>
      </w:pPr>
      <w:r>
        <w:t xml:space="preserve">9.1 Hub-and-spoke service network</w:t>
      </w:r>
    </w:p>
    <w:p>
      <w:pPr/>
      <w:r>
        <w:t xml:space="preserve">A central workshop does design, production and QA; regional hubs (hosted in partner clinics, fab labs or repair shops) do assessment outreach, fitting, repair and spares; trained community repairers cover the last mile. Every hub runs on the same platform and the same checklists, and repairs create data that feeds design changes.</w:t>
      </w:r>
    </w:p>
    <w:p>
      <w:pPr>
        <w:pStyle w:val="Heading3"/>
      </w:pPr>
      <w:r>
        <w:t xml:space="preserve">9.2 Quality system, staged</w:t>
      </w:r>
    </w:p>
    <w:p>
      <w:pPr/>
      <w:r>
        <w:t xml:space="preserve">Start with a lean quality system (document control, design history file, batch records, calibrated tools, complaints and corrective-action log) designed to grow into ISO 13485 certification once there are tender or export reasons to certify [V]. Quality gates: nothing is released to a user without a passing QA record and clinical sign-off.</w:t>
      </w:r>
    </w:p>
    <w:p>
      <w:pPr>
        <w:pStyle w:val="Heading3"/>
      </w:pPr>
      <w:r>
        <w:t xml:space="preserve">9.3 Requirements checklist to launch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What you need</w:t>
            </w:r>
          </w:p>
        </w:tc>
        <w:tc>
          <w:tcPr>
            <w:tcW w:w="3120" w:type="dxa"/>
            <w:shd w:val="clear" w:color="auto" w:fill="F2F2F2"/>
          </w:tcPr>
          <w:p>
            <w:pPr/>
            <w:r>
              <w:t xml:space="preserve">Status to confirm</w:t>
            </w:r>
          </w:p>
        </w:tc>
      </w:tr>
      <w:tr>
        <w:tc>
          <w:tcPr>
            <w:tcW w:w="3120" w:type="dxa"/>
          </w:tcPr>
          <w:p>
            <w:pPr/>
            <w:r>
              <w:t xml:space="preserve">Legal</w:t>
            </w:r>
          </w:p>
        </w:tc>
        <w:tc>
          <w:tcPr>
            <w:tcW w:w="3120" w:type="dxa"/>
          </w:tcPr>
          <w:p>
            <w:pPr/>
            <w:r>
              <w:t xml:space="preserve">Structure (company, CBO, or hybrid), KRA PIN, business permits, IP and open-licensing policy</w:t>
            </w:r>
          </w:p>
        </w:tc>
        <w:tc>
          <w:tcPr>
            <w:tcW w:w="3120" w:type="dxa"/>
          </w:tcPr>
          <w:p>
            <w:pPr/>
            <w:r>
              <w:t xml:space="preserve">Decide with a lawyer</w:t>
            </w:r>
          </w:p>
        </w:tc>
      </w:tr>
      <w:tr>
        <w:tc>
          <w:tcPr>
            <w:tcW w:w="3120" w:type="dxa"/>
          </w:tcPr>
          <w:p>
            <w:pPr/>
            <w:r>
              <w:t xml:space="preserve">Clinical</w:t>
            </w:r>
          </w:p>
        </w:tc>
        <w:tc>
          <w:tcPr>
            <w:tcW w:w="3120" w:type="dxa"/>
          </w:tcPr>
          <w:p>
            <w:pPr/>
            <w:r>
              <w:t xml:space="preserve">MoUs with at least one public and one private rehab provider; registered orthopaedic technologist or physiotherapist; ethics route [V]</w:t>
            </w:r>
          </w:p>
        </w:tc>
        <w:tc>
          <w:tcPr>
            <w:tcW w:w="3120" w:type="dxa"/>
          </w:tcPr>
          <w:p>
            <w:pPr/>
            <w:r>
              <w:t xml:space="preserve">Not yet</w:t>
            </w:r>
          </w:p>
        </w:tc>
      </w:tr>
      <w:tr>
        <w:tc>
          <w:tcPr>
            <w:tcW w:w="3120" w:type="dxa"/>
          </w:tcPr>
          <w:p>
            <w:pPr/>
            <w:r>
              <w:t xml:space="preserve">Quality</w:t>
            </w:r>
          </w:p>
        </w:tc>
        <w:tc>
          <w:tcPr>
            <w:tcW w:w="3120" w:type="dxa"/>
          </w:tcPr>
          <w:p>
            <w:pPr/>
            <w:r>
              <w:t xml:space="preserve">Design history file, risk analysis, test plan against ISO benchmarks, batch records, complaints and recall procedure</w:t>
            </w:r>
          </w:p>
        </w:tc>
        <w:tc>
          <w:tcPr>
            <w:tcW w:w="3120" w:type="dxa"/>
          </w:tcPr>
          <w:p>
            <w:pPr/>
            <w:r>
              <w:t xml:space="preserve">Build during the pilot</w:t>
            </w:r>
          </w:p>
        </w:tc>
      </w:tr>
      <w:tr>
        <w:tc>
          <w:tcPr>
            <w:tcW w:w="3120" w:type="dxa"/>
          </w:tcPr>
          <w:p>
            <w:pPr/>
            <w:r>
              <w:t xml:space="preserve">Workshop</w:t>
            </w:r>
          </w:p>
        </w:tc>
        <w:tc>
          <w:tcPr>
            <w:tcW w:w="3120" w:type="dxa"/>
          </w:tcPr>
          <w:p>
            <w:pPr/>
            <w:r>
              <w:t xml:space="preserve">Space with backup power, ventilation for printer fumes, welding bay, storage, safety kit</w:t>
            </w:r>
          </w:p>
        </w:tc>
        <w:tc>
          <w:tcPr>
            <w:tcW w:w="3120" w:type="dxa"/>
          </w:tcPr>
          <w:p>
            <w:pPr/>
            <w:r>
              <w:t xml:space="preserve">Plan in the setup phase</w:t>
            </w:r>
          </w:p>
        </w:tc>
      </w:tr>
      <w:tr>
        <w:tc>
          <w:tcPr>
            <w:tcW w:w="3120" w:type="dxa"/>
          </w:tcPr>
          <w:p>
            <w:pPr/>
            <w:r>
              <w:t xml:space="preserve">Equipment</w:t>
            </w:r>
          </w:p>
        </w:tc>
        <w:tc>
          <w:tcPr>
            <w:tcW w:w="3120" w:type="dxa"/>
          </w:tcPr>
          <w:p>
            <w:pPr/>
            <w:r>
              <w:t xml:space="preserve">Two printers capable of PETG/nylon/carbon-filled filament, enclosure, tube bender, welder, jigs, load-test rig</w:t>
            </w:r>
          </w:p>
        </w:tc>
        <w:tc>
          <w:tcPr>
            <w:tcW w:w="3120" w:type="dxa"/>
          </w:tcPr>
          <w:p>
            <w:pPr/>
            <w:r>
              <w:t xml:space="preserve">Quote three suppliers</w:t>
            </w:r>
          </w:p>
        </w:tc>
      </w:tr>
      <w:tr>
        <w:tc>
          <w:tcPr>
            <w:tcW w:w="3120" w:type="dxa"/>
          </w:tcPr>
          <w:p>
            <w:pPr/>
            <w:r>
              <w:t xml:space="preserve">Materials</w:t>
            </w:r>
          </w:p>
        </w:tc>
        <w:tc>
          <w:tcPr>
            <w:tcW w:w="3120" w:type="dxa"/>
          </w:tcPr>
          <w:p>
            <w:pPr/>
            <w:r>
              <w:t xml:space="preserve">Steel or aluminium tube, bearings, tyres, foam and cushions, filaments; dual-source locally and regionally</w:t>
            </w:r>
          </w:p>
        </w:tc>
        <w:tc>
          <w:tcPr>
            <w:tcW w:w="3120" w:type="dxa"/>
          </w:tcPr>
          <w:p>
            <w:pPr/>
            <w:r>
              <w:t xml:space="preserve">Price a full bill of materials</w:t>
            </w:r>
          </w:p>
        </w:tc>
      </w:tr>
      <w:tr>
        <w:tc>
          <w:tcPr>
            <w:tcW w:w="3120" w:type="dxa"/>
          </w:tcPr>
          <w:p>
            <w:pPr/>
            <w:r>
              <w:t xml:space="preserve">People</w:t>
            </w:r>
          </w:p>
        </w:tc>
        <w:tc>
          <w:tcPr>
            <w:tcW w:w="3120" w:type="dxa"/>
          </w:tcPr>
          <w:p>
            <w:pPr/>
            <w:r>
              <w:t xml:space="preserve">Founders, engineer-fabricator, CAD technician, clinical lead, partnerships/sales, operations/finance, repair technicians (train and certify)</w:t>
            </w:r>
          </w:p>
        </w:tc>
        <w:tc>
          <w:tcPr>
            <w:tcW w:w="3120" w:type="dxa"/>
          </w:tcPr>
          <w:p>
            <w:pPr/>
            <w:r>
              <w:t xml:space="preserve">Hire in stages</w:t>
            </w:r>
          </w:p>
        </w:tc>
      </w:tr>
      <w:tr>
        <w:tc>
          <w:tcPr>
            <w:tcW w:w="3120" w:type="dxa"/>
          </w:tcPr>
          <w:p>
            <w:pPr/>
            <w:r>
              <w:t xml:space="preserve">Digital</w:t>
            </w:r>
          </w:p>
        </w:tc>
        <w:tc>
          <w:tcPr>
            <w:tcW w:w="3120" w:type="dxa"/>
          </w:tcPr>
          <w:p>
            <w:pPr/>
            <w:r>
              <w:t xml:space="preserve">The platform in Part II: intake, QR passport, repair tickets, M-Pesa, secure data store</w:t>
            </w:r>
          </w:p>
        </w:tc>
        <w:tc>
          <w:tcPr>
            <w:tcW w:w="3120" w:type="dxa"/>
          </w:tcPr>
          <w:p>
            <w:pPr/>
            <w:r>
              <w:t xml:space="preserve">Build lean first</w:t>
            </w:r>
          </w:p>
        </w:tc>
      </w:tr>
      <w:tr>
        <w:tc>
          <w:tcPr>
            <w:tcW w:w="3120" w:type="dxa"/>
          </w:tcPr>
          <w:p>
            <w:pPr/>
            <w:r>
              <w:t xml:space="preserve">Finance</w:t>
            </w:r>
          </w:p>
        </w:tc>
        <w:tc>
          <w:tcPr>
            <w:tcW w:w="3120" w:type="dxa"/>
          </w:tcPr>
          <w:p>
            <w:pPr/>
            <w:r>
              <w:t xml:space="preserve">Separate bank account and M-Pesa till, bookkeeping, grant-compliant accounting, insurance</w:t>
            </w:r>
          </w:p>
        </w:tc>
        <w:tc>
          <w:tcPr>
            <w:tcW w:w="3120" w:type="dxa"/>
          </w:tcPr>
          <w:p>
            <w:pPr/>
            <w:r>
              <w:t xml:space="preserve">Set up before the pilot</w:t>
            </w:r>
          </w:p>
        </w:tc>
      </w:tr>
      <w:tr>
        <w:tc>
          <w:tcPr>
            <w:tcW w:w="3120" w:type="dxa"/>
          </w:tcPr>
          <w:p>
            <w:pPr/>
            <w:r>
              <w:t xml:space="preserve">Partnerships</w:t>
            </w:r>
          </w:p>
        </w:tc>
        <w:tc>
          <w:tcPr>
            <w:tcW w:w="3120" w:type="dxa"/>
          </w:tcPr>
          <w:p>
            <w:pPr/>
            <w:r>
              <w:t xml:space="preserve">Hubs, KEMSA alignment, county officers, disability organisations</w:t>
            </w:r>
          </w:p>
        </w:tc>
        <w:tc>
          <w:tcPr>
            <w:tcW w:w="3120" w:type="dxa"/>
          </w:tcPr>
          <w:p>
            <w:pPr/>
            <w:r>
              <w:t xml:space="preserve">Start conversations now</w:t>
            </w:r>
          </w:p>
        </w:tc>
      </w:tr>
    </w:tbl>
    <w:p>
      <w:pPr>
        <w:pStyle w:val="Heading2"/>
      </w:pPr>
      <w:r>
        <w:t xml:space="preserve">10. Impact: theory of change and measurement</w:t>
      </w:r>
    </w:p>
    <w:p>
      <w:pPr>
        <w:pStyle w:val="Heading3"/>
      </w:pPr>
      <w:r>
        <w:t xml:space="preserve">10.1 Theory of change</w:t>
      </w:r>
    </w:p>
    <w:p>
      <w:pPr/>
      <w:r>
        <w:t xml:space="preserve">Affordable, well-fitted devices, backed by training and repair, lead to sustained use. Sustained use leads to mobility and participation (school, work, community), which raises independence, income and wellbeing for users and caregivers, and builds a stronger local AT industry and workforce.</w:t>
      </w:r>
    </w:p>
    <w:p>
      <w:pPr>
        <w:pStyle w:val="Heading3"/>
      </w:pPr>
      <w:r>
        <w:t xml:space="preserve">10.2 Who benefits and how</w:t>
      </w:r>
    </w:p>
    <w:p>
      <w:pPr>
        <w:pStyle w:val="ListParagraph"/>
        <w:numPr>
          <w:ilvl w:val="0"/>
          <w:numId w:val="8"/>
        </w:numPr>
      </w:pPr>
      <w:r>
        <w:rPr>
          <w:b/>
        </w:rPr>
        <w:t xml:space="preserve">Users and caregivers:</w:t>
      </w:r>
      <w:r>
        <w:t xml:space="preserve"> mobility, safety, less pain and fewer pressure injuries, school and job participation, lower caregiver burden.</w:t>
      </w:r>
    </w:p>
    <w:p>
      <w:pPr>
        <w:pStyle w:val="ListParagraph"/>
        <w:numPr>
          <w:ilvl w:val="0"/>
          <w:numId w:val="8"/>
        </w:numPr>
      </w:pPr>
      <w:r>
        <w:rPr>
          <w:b/>
        </w:rPr>
        <w:t xml:space="preserve">Health system:</w:t>
      </w:r>
      <w:r>
        <w:t xml:space="preserve"> fewer complications and readmissions; device and outcome data for procurement and planning.</w:t>
      </w:r>
    </w:p>
    <w:p>
      <w:pPr>
        <w:pStyle w:val="ListParagraph"/>
        <w:numPr>
          <w:ilvl w:val="0"/>
          <w:numId w:val="8"/>
        </w:numPr>
      </w:pPr>
      <w:r>
        <w:rPr>
          <w:b/>
        </w:rPr>
        <w:t xml:space="preserve">Economy:</w:t>
      </w:r>
      <w:r>
        <w:t xml:space="preserve"> jobs for fabricators, technicians and clinicians; less import dependence; a certified repair workforce.</w:t>
      </w:r>
    </w:p>
    <w:p>
      <w:pPr>
        <w:pStyle w:val="ListParagraph"/>
        <w:numPr>
          <w:ilvl w:val="0"/>
          <w:numId w:val="8"/>
        </w:numPr>
      </w:pPr>
      <w:r>
        <w:rPr>
          <w:b/>
        </w:rPr>
        <w:t xml:space="preserve">Sustainable Development Goals:</w:t>
      </w:r>
      <w:r>
        <w:t xml:space="preserve"> 3, 4, 8, 9, 10 and 11.</w:t>
      </w:r>
    </w:p>
    <w:p>
      <w:pPr>
        <w:pStyle w:val="Heading3"/>
      </w:pPr>
      <w:r>
        <w:t xml:space="preserve">10.3 Measurement framework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Indicator</w:t>
            </w:r>
          </w:p>
        </w:tc>
        <w:tc>
          <w:tcPr>
            <w:tcW w:w="3120" w:type="dxa"/>
            <w:shd w:val="clear" w:color="auto" w:fill="F2F2F2"/>
          </w:tcPr>
          <w:p>
            <w:pPr/>
            <w:r>
              <w:t xml:space="preserve">Tool or source</w:t>
            </w:r>
          </w:p>
        </w:tc>
      </w:tr>
      <w:tr>
        <w:tc>
          <w:tcPr>
            <w:tcW w:w="3120" w:type="dxa"/>
          </w:tcPr>
          <w:p>
            <w:pPr/>
            <w:r>
              <w:t xml:space="preserve">Access</w:t>
            </w:r>
          </w:p>
        </w:tc>
        <w:tc>
          <w:tcPr>
            <w:tcW w:w="3120" w:type="dxa"/>
          </w:tcPr>
          <w:p>
            <w:pPr/>
            <w:r>
              <w:t xml:space="preserve">Devices delivered; time from referral to delivery; share of female and child users; share in rural counties</w:t>
            </w:r>
          </w:p>
        </w:tc>
        <w:tc>
          <w:tcPr>
            <w:tcW w:w="3120" w:type="dxa"/>
          </w:tcPr>
          <w:p>
            <w:pPr/>
            <w:r>
              <w:t xml:space="preserve">Platform referral and delivery logs</w:t>
            </w:r>
          </w:p>
        </w:tc>
      </w:tr>
      <w:tr>
        <w:tc>
          <w:tcPr>
            <w:tcW w:w="3120" w:type="dxa"/>
          </w:tcPr>
          <w:p>
            <w:pPr/>
            <w:r>
              <w:t xml:space="preserve">Quality</w:t>
            </w:r>
          </w:p>
        </w:tc>
        <w:tc>
          <w:tcPr>
            <w:tcW w:w="3120" w:type="dxa"/>
          </w:tcPr>
          <w:p>
            <w:pPr/>
            <w:r>
              <w:t xml:space="preserve">Failure rate within 12 months; repair turnaround; fitting accuracy; adverse events</w:t>
            </w:r>
          </w:p>
        </w:tc>
        <w:tc>
          <w:tcPr>
            <w:tcW w:w="3120" w:type="dxa"/>
          </w:tcPr>
          <w:p>
            <w:pPr/>
            <w:r>
              <w:t xml:space="preserve">QR repair log; clinic records</w:t>
            </w:r>
          </w:p>
        </w:tc>
      </w:tr>
      <w:tr>
        <w:tc>
          <w:tcPr>
            <w:tcW w:w="3120" w:type="dxa"/>
          </w:tcPr>
          <w:p>
            <w:pPr/>
            <w:r>
              <w:t xml:space="preserve">Use</w:t>
            </w:r>
          </w:p>
        </w:tc>
        <w:tc>
          <w:tcPr>
            <w:tcW w:w="3120" w:type="dxa"/>
          </w:tcPr>
          <w:p>
            <w:pPr/>
            <w:r>
              <w:t xml:space="preserve">Share still using at 3, 6 and 12 months; hours per week of use</w:t>
            </w:r>
          </w:p>
        </w:tc>
        <w:tc>
          <w:tcPr>
            <w:tcW w:w="3120" w:type="dxa"/>
          </w:tcPr>
          <w:p>
            <w:pPr/>
            <w:r>
              <w:t xml:space="preserve">Follow-up calls, SMS or WhatsApp; optional sensors</w:t>
            </w:r>
          </w:p>
        </w:tc>
      </w:tr>
      <w:tr>
        <w:tc>
          <w:tcPr>
            <w:tcW w:w="3120" w:type="dxa"/>
          </w:tcPr>
          <w:p>
            <w:pPr/>
            <w:r>
              <w:t xml:space="preserve">Outcome</w:t>
            </w:r>
          </w:p>
        </w:tc>
        <w:tc>
          <w:tcPr>
            <w:tcW w:w="3120" w:type="dxa"/>
          </w:tcPr>
          <w:p>
            <w:pPr/>
            <w:r>
              <w:t xml:space="preserve">Functional mobility, participation (school, work) and wellbeing</w:t>
            </w:r>
          </w:p>
        </w:tc>
        <w:tc>
          <w:tcPr>
            <w:tcW w:w="3120" w:type="dxa"/>
          </w:tcPr>
          <w:p>
            <w:pPr/>
            <w:r>
              <w:t xml:space="preserve">Washington Group Short Set for functioning; WHODAS 2.0 or a similar instrument; Personal Wellbeing Index; a local mobility index [V instrument choice with the clinical advisor and funders]</w:t>
            </w:r>
          </w:p>
        </w:tc>
      </w:tr>
      <w:tr>
        <w:tc>
          <w:tcPr>
            <w:tcW w:w="3120" w:type="dxa"/>
          </w:tcPr>
          <w:p>
            <w:pPr/>
            <w:r>
              <w:t xml:space="preserve">User satisfaction</w:t>
            </w:r>
          </w:p>
        </w:tc>
        <w:tc>
          <w:tcPr>
            <w:tcW w:w="3120" w:type="dxa"/>
          </w:tcPr>
          <w:p>
            <w:pPr/>
            <w:r>
              <w:t xml:space="preserve">Satisfaction with device and service</w:t>
            </w:r>
          </w:p>
        </w:tc>
        <w:tc>
          <w:tcPr>
            <w:tcW w:w="3120" w:type="dxa"/>
          </w:tcPr>
          <w:p>
            <w:pPr/>
            <w:r>
              <w:t xml:space="preserve">A validated satisfaction tool such as QUEST 2.0 [V]</w:t>
            </w:r>
          </w:p>
        </w:tc>
      </w:tr>
      <w:tr>
        <w:tc>
          <w:tcPr>
            <w:tcW w:w="3120" w:type="dxa"/>
          </w:tcPr>
          <w:p>
            <w:pPr/>
            <w:r>
              <w:t xml:space="preserve">Financial</w:t>
            </w:r>
          </w:p>
        </w:tc>
        <w:tc>
          <w:tcPr>
            <w:tcW w:w="3120" w:type="dxa"/>
          </w:tcPr>
          <w:p>
            <w:pPr/>
            <w:r>
              <w:t xml:space="preserve">Gross margin; cost per device; cost per active user-year; customer acquisition cost; care-plan retention</w:t>
            </w:r>
          </w:p>
        </w:tc>
        <w:tc>
          <w:tcPr>
            <w:tcW w:w="3120" w:type="dxa"/>
          </w:tcPr>
          <w:p>
            <w:pPr/>
            <w:r>
              <w:t xml:space="preserve">Accounting and platform</w:t>
            </w:r>
          </w:p>
        </w:tc>
      </w:tr>
      <w:tr>
        <w:tc>
          <w:tcPr>
            <w:tcW w:w="3120" w:type="dxa"/>
          </w:tcPr>
          <w:p>
            <w:pPr/>
            <w:r>
              <w:t xml:space="preserve">Equity</w:t>
            </w:r>
          </w:p>
        </w:tc>
        <w:tc>
          <w:tcPr>
            <w:tcW w:w="3120" w:type="dxa"/>
          </w:tcPr>
          <w:p>
            <w:pPr/>
            <w:r>
              <w:t xml:space="preserve">Share of devices to the lowest income quintile, women and girls, children and rural counties</w:t>
            </w:r>
          </w:p>
        </w:tc>
        <w:tc>
          <w:tcPr>
            <w:tcW w:w="3120" w:type="dxa"/>
          </w:tcPr>
          <w:p>
            <w:pPr/>
            <w:r>
              <w:t xml:space="preserve">Intake form with a poverty scorecard [V choice of scorecard]</w:t>
            </w:r>
          </w:p>
        </w:tc>
      </w:tr>
    </w:tbl>
    <w:p>
      <w:pPr>
        <w:pStyle w:val="Heading3"/>
      </w:pPr>
      <w:r>
        <w:t xml:space="preserve">10.4 Evaluation design</w:t>
      </w:r>
    </w:p>
    <w:p>
      <w:pPr/>
      <w:r>
        <w:t xml:space="preserve">Use a baseline-endline design with a comparison group where feasible (for example people awaiting a device from the same referral source), so funders see change rather than activity counts. Pre-register the main outcomes and the analysis plan, publish metric definitions, and never report cells with fewer than a threshold of people (Section 26). Involve a university or clinical partner for independent analysis [A].</w:t>
      </w:r>
    </w:p>
    <w:p>
      <w:pPr>
        <w:pStyle w:val="Heading2"/>
      </w:pPr>
      <w:r>
        <w:t xml:space="preserve">11. Unit economics and three-year scenario</w:t>
      </w:r>
    </w:p>
    <w:p>
      <w:pPr/>
      <w:r>
        <w:t xml:space="preserve">All figures in this section are illustrative assumptions [A]. They show the structure of the business and what must be true. Replace each with supplier quotes and pilot results.</w:t>
      </w:r>
    </w:p>
    <w:p>
      <w:pPr>
        <w:pStyle w:val="Heading3"/>
      </w:pPr>
      <w:r>
        <w:t xml:space="preserve">11.1 Unit economics by product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Product</w:t>
            </w:r>
          </w:p>
        </w:tc>
        <w:tc>
          <w:tcPr>
            <w:tcW w:w="1872" w:type="dxa"/>
            <w:shd w:val="clear" w:color="auto" w:fill="F2F2F2"/>
          </w:tcPr>
          <w:p>
            <w:pPr/>
            <w:r>
              <w:t xml:space="preserve">Price (KES)</w:t>
            </w:r>
          </w:p>
        </w:tc>
        <w:tc>
          <w:tcPr>
            <w:tcW w:w="1872" w:type="dxa"/>
            <w:shd w:val="clear" w:color="auto" w:fill="F2F2F2"/>
          </w:tcPr>
          <w:p>
            <w:pPr/>
            <w:r>
              <w:t xml:space="preserve">Direct cost (KES)</w:t>
            </w:r>
          </w:p>
        </w:tc>
        <w:tc>
          <w:tcPr>
            <w:tcW w:w="1872" w:type="dxa"/>
            <w:shd w:val="clear" w:color="auto" w:fill="F2F2F2"/>
          </w:tcPr>
          <w:p>
            <w:pPr/>
            <w:r>
              <w:t xml:space="preserve">Contribution (KES)</w:t>
            </w:r>
          </w:p>
        </w:tc>
        <w:tc>
          <w:tcPr>
            <w:tcW w:w="1872" w:type="dxa"/>
            <w:shd w:val="clear" w:color="auto" w:fill="F2F2F2"/>
          </w:tcPr>
          <w:p>
            <w:pPr/>
            <w:r>
              <w:t xml:space="preserve">Margin</w:t>
            </w:r>
          </w:p>
        </w:tc>
      </w:tr>
      <w:tr>
        <w:tc>
          <w:tcPr>
            <w:tcW w:w="1872" w:type="dxa"/>
          </w:tcPr>
          <w:p>
            <w:pPr/>
            <w:r>
              <w:t xml:space="preserve">Community wheelchair</w:t>
            </w:r>
          </w:p>
        </w:tc>
        <w:tc>
          <w:tcPr>
            <w:tcW w:w="1872" w:type="dxa"/>
          </w:tcPr>
          <w:p>
            <w:pPr/>
            <w:r>
              <w:t xml:space="preserve">26,000</w:t>
            </w:r>
          </w:p>
        </w:tc>
        <w:tc>
          <w:tcPr>
            <w:tcW w:w="1872" w:type="dxa"/>
          </w:tcPr>
          <w:p>
            <w:pPr/>
            <w:r>
              <w:t xml:space="preserve">15,000</w:t>
            </w:r>
          </w:p>
        </w:tc>
        <w:tc>
          <w:tcPr>
            <w:tcW w:w="1872" w:type="dxa"/>
          </w:tcPr>
          <w:p>
            <w:pPr/>
            <w:r>
              <w:t xml:space="preserve">11,000</w:t>
            </w:r>
          </w:p>
        </w:tc>
        <w:tc>
          <w:tcPr>
            <w:tcW w:w="1872" w:type="dxa"/>
          </w:tcPr>
          <w:p>
            <w:pPr/>
            <w:r>
              <w:t xml:space="preserve">42%</w:t>
            </w:r>
          </w:p>
        </w:tc>
      </w:tr>
      <w:tr>
        <w:tc>
          <w:tcPr>
            <w:tcW w:w="1872" w:type="dxa"/>
          </w:tcPr>
          <w:p>
            <w:pPr/>
            <w:r>
              <w:t xml:space="preserve">Walking aid (crutch, cane or frame)</w:t>
            </w:r>
          </w:p>
        </w:tc>
        <w:tc>
          <w:tcPr>
            <w:tcW w:w="1872" w:type="dxa"/>
          </w:tcPr>
          <w:p>
            <w:pPr/>
            <w:r>
              <w:t xml:space="preserve">2,800</w:t>
            </w:r>
          </w:p>
        </w:tc>
        <w:tc>
          <w:tcPr>
            <w:tcW w:w="1872" w:type="dxa"/>
          </w:tcPr>
          <w:p>
            <w:pPr/>
            <w:r>
              <w:t xml:space="preserve">1,300</w:t>
            </w:r>
          </w:p>
        </w:tc>
        <w:tc>
          <w:tcPr>
            <w:tcW w:w="1872" w:type="dxa"/>
          </w:tcPr>
          <w:p>
            <w:pPr/>
            <w:r>
              <w:t xml:space="preserve">1,500</w:t>
            </w:r>
          </w:p>
        </w:tc>
        <w:tc>
          <w:tcPr>
            <w:tcW w:w="1872" w:type="dxa"/>
          </w:tcPr>
          <w:p>
            <w:pPr/>
            <w:r>
              <w:t xml:space="preserve">54%</w:t>
            </w:r>
          </w:p>
        </w:tc>
      </w:tr>
      <w:tr>
        <w:tc>
          <w:tcPr>
            <w:tcW w:w="1872" w:type="dxa"/>
          </w:tcPr>
          <w:p>
            <w:pPr/>
            <w:r>
              <w:t xml:space="preserve">Orthosis or socket (including clinical share)</w:t>
            </w:r>
          </w:p>
        </w:tc>
        <w:tc>
          <w:tcPr>
            <w:tcW w:w="1872" w:type="dxa"/>
          </w:tcPr>
          <w:p>
            <w:pPr/>
            <w:r>
              <w:t xml:space="preserve">15,000</w:t>
            </w:r>
          </w:p>
        </w:tc>
        <w:tc>
          <w:tcPr>
            <w:tcW w:w="1872" w:type="dxa"/>
          </w:tcPr>
          <w:p>
            <w:pPr/>
            <w:r>
              <w:t xml:space="preserve">7,500</w:t>
            </w:r>
          </w:p>
        </w:tc>
        <w:tc>
          <w:tcPr>
            <w:tcW w:w="1872" w:type="dxa"/>
          </w:tcPr>
          <w:p>
            <w:pPr/>
            <w:r>
              <w:t xml:space="preserve">7,500</w:t>
            </w:r>
          </w:p>
        </w:tc>
        <w:tc>
          <w:tcPr>
            <w:tcW w:w="1872" w:type="dxa"/>
          </w:tcPr>
          <w:p>
            <w:pPr/>
            <w:r>
              <w:t xml:space="preserve">50%</w:t>
            </w:r>
          </w:p>
        </w:tc>
      </w:tr>
      <w:tr>
        <w:tc>
          <w:tcPr>
            <w:tcW w:w="1872" w:type="dxa"/>
          </w:tcPr>
          <w:p>
            <w:pPr/>
            <w:r>
              <w:t xml:space="preserve">ADL aid</w:t>
            </w:r>
          </w:p>
        </w:tc>
        <w:tc>
          <w:tcPr>
            <w:tcW w:w="1872" w:type="dxa"/>
          </w:tcPr>
          <w:p>
            <w:pPr/>
            <w:r>
              <w:t xml:space="preserve">900</w:t>
            </w:r>
          </w:p>
        </w:tc>
        <w:tc>
          <w:tcPr>
            <w:tcW w:w="1872" w:type="dxa"/>
          </w:tcPr>
          <w:p>
            <w:pPr/>
            <w:r>
              <w:t xml:space="preserve">300</w:t>
            </w:r>
          </w:p>
        </w:tc>
        <w:tc>
          <w:tcPr>
            <w:tcW w:w="1872" w:type="dxa"/>
          </w:tcPr>
          <w:p>
            <w:pPr/>
            <w:r>
              <w:t xml:space="preserve">600</w:t>
            </w:r>
          </w:p>
        </w:tc>
        <w:tc>
          <w:tcPr>
            <w:tcW w:w="1872" w:type="dxa"/>
          </w:tcPr>
          <w:p>
            <w:pPr/>
            <w:r>
              <w:t xml:space="preserve">67%</w:t>
            </w:r>
          </w:p>
        </w:tc>
      </w:tr>
      <w:tr>
        <w:tc>
          <w:tcPr>
            <w:tcW w:w="1872" w:type="dxa"/>
          </w:tcPr>
          <w:p>
            <w:pPr/>
            <w:r>
              <w:t xml:space="preserve">Care Plan (per month)</w:t>
            </w:r>
          </w:p>
        </w:tc>
        <w:tc>
          <w:tcPr>
            <w:tcW w:w="1872" w:type="dxa"/>
          </w:tcPr>
          <w:p>
            <w:pPr/>
            <w:r>
              <w:t xml:space="preserve">500</w:t>
            </w:r>
          </w:p>
        </w:tc>
        <w:tc>
          <w:tcPr>
            <w:tcW w:w="1872" w:type="dxa"/>
          </w:tcPr>
          <w:p>
            <w:pPr/>
            <w:r>
              <w:t xml:space="preserve">250</w:t>
            </w:r>
          </w:p>
        </w:tc>
        <w:tc>
          <w:tcPr>
            <w:tcW w:w="1872" w:type="dxa"/>
          </w:tcPr>
          <w:p>
            <w:pPr/>
            <w:r>
              <w:t xml:space="preserve">250</w:t>
            </w:r>
          </w:p>
        </w:tc>
        <w:tc>
          <w:tcPr>
            <w:tcW w:w="1872" w:type="dxa"/>
          </w:tcPr>
          <w:p>
            <w:pPr/>
            <w:r>
              <w:t xml:space="preserve">50%</w:t>
            </w:r>
          </w:p>
        </w:tc>
      </w:tr>
    </w:tbl>
    <w:p>
      <w:pPr/>
      <w:r>
        <w:rPr>
          <w:b/>
        </w:rPr>
        <w:t xml:space="preserve">Benchmarks.</w:t>
      </w:r>
      <w:r>
        <w:t xml:space="preserve"> Imported wheelchairs were reported at about KES 45,000-80,000 ✅ and one NGO estimated a bamboo child wheelchair could be made for under KES 10,000 ✅. The assumed price (KES 26,000) and direct cost (KES 15,000) sit between these and are unverified: obtain three local quotes.</w:t>
      </w:r>
    </w:p>
    <w:p>
      <w:pPr/>
      <w:r>
        <w:rPr>
          <w:b/>
        </w:rPr>
        <w:t xml:space="preserve">Payer price reality check.</w:t>
      </w:r>
      <w:r>
        <w:t xml:space="preserve"> At the tariffs announced for SHA in 2024 (about KES 900 for crutches and KES 500 for a walking frame) ✅, a walking aid with a direct cost of KES 1,300 loses roughly KES 400-800 per unit, whether the tariff is per pair or per unit [V]. Tier 1 walking aids therefore work only at institutional or self-pay prices, or with a much lower direct cost than assumed.</w:t>
      </w:r>
    </w:p>
    <w:p>
      <w:pPr>
        <w:pStyle w:val="Heading3"/>
      </w:pPr>
      <w:r>
        <w:t xml:space="preserve">11.2 Three-year base scenario (conservative volumes)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KES</w:t>
            </w:r>
          </w:p>
        </w:tc>
        <w:tc>
          <w:tcPr>
            <w:tcW w:w="2340" w:type="dxa"/>
            <w:shd w:val="clear" w:color="auto" w:fill="F2F2F2"/>
          </w:tcPr>
          <w:p>
            <w:pPr/>
            <w:r>
              <w:t xml:space="preserve">Year 1</w:t>
            </w:r>
          </w:p>
        </w:tc>
        <w:tc>
          <w:tcPr>
            <w:tcW w:w="2340" w:type="dxa"/>
            <w:shd w:val="clear" w:color="auto" w:fill="F2F2F2"/>
          </w:tcPr>
          <w:p>
            <w:pPr/>
            <w:r>
              <w:t xml:space="preserve">Year 2</w:t>
            </w:r>
          </w:p>
        </w:tc>
        <w:tc>
          <w:tcPr>
            <w:tcW w:w="2340" w:type="dxa"/>
            <w:shd w:val="clear" w:color="auto" w:fill="F2F2F2"/>
          </w:tcPr>
          <w:p>
            <w:pPr/>
            <w:r>
              <w:t xml:space="preserve">Year 3</w:t>
            </w:r>
          </w:p>
        </w:tc>
      </w:tr>
      <w:tr>
        <w:tc>
          <w:tcPr>
            <w:tcW w:w="2340" w:type="dxa"/>
          </w:tcPr>
          <w:p>
            <w:pPr/>
            <w:r>
              <w:t xml:space="preserve">Devices sold</w:t>
            </w:r>
          </w:p>
        </w:tc>
        <w:tc>
          <w:tcPr>
            <w:tcW w:w="2340" w:type="dxa"/>
          </w:tcPr>
          <w:p>
            <w:pPr/>
            <w:r>
              <w:t xml:space="preserve">300</w:t>
            </w:r>
          </w:p>
        </w:tc>
        <w:tc>
          <w:tcPr>
            <w:tcW w:w="2340" w:type="dxa"/>
          </w:tcPr>
          <w:p>
            <w:pPr/>
            <w:r>
              <w:t xml:space="preserve">1,200</w:t>
            </w:r>
          </w:p>
        </w:tc>
        <w:tc>
          <w:tcPr>
            <w:tcW w:w="2340" w:type="dxa"/>
          </w:tcPr>
          <w:p>
            <w:pPr/>
            <w:r>
              <w:t xml:space="preserve">3,000</w:t>
            </w:r>
          </w:p>
        </w:tc>
      </w:tr>
      <w:tr>
        <w:tc>
          <w:tcPr>
            <w:tcW w:w="2340" w:type="dxa"/>
          </w:tcPr>
          <w:p>
            <w:pPr/>
            <w:r>
              <w:t xml:space="preserve">Product revenue (average KES 10,600 per device)</w:t>
            </w:r>
          </w:p>
        </w:tc>
        <w:tc>
          <w:tcPr>
            <w:tcW w:w="2340" w:type="dxa"/>
          </w:tcPr>
          <w:p>
            <w:pPr/>
            <w:r>
              <w:t xml:space="preserve">3,180,000</w:t>
            </w:r>
          </w:p>
        </w:tc>
        <w:tc>
          <w:tcPr>
            <w:tcW w:w="2340" w:type="dxa"/>
          </w:tcPr>
          <w:p>
            <w:pPr/>
            <w:r>
              <w:t xml:space="preserve">12,720,000</w:t>
            </w:r>
          </w:p>
        </w:tc>
        <w:tc>
          <w:tcPr>
            <w:tcW w:w="2340" w:type="dxa"/>
          </w:tcPr>
          <w:p>
            <w:pPr/>
            <w:r>
              <w:t xml:space="preserve">31,800,000</w:t>
            </w:r>
          </w:p>
        </w:tc>
      </w:tr>
      <w:tr>
        <w:tc>
          <w:tcPr>
            <w:tcW w:w="2340" w:type="dxa"/>
          </w:tcPr>
          <w:p>
            <w:pPr/>
            <w:r>
              <w:t xml:space="preserve">Care-plan revenue (average subscribers x KES 6,000 per year)</w:t>
            </w:r>
          </w:p>
        </w:tc>
        <w:tc>
          <w:tcPr>
            <w:tcW w:w="2340" w:type="dxa"/>
          </w:tcPr>
          <w:p>
            <w:pPr/>
            <w:r>
              <w:t xml:space="preserve">108,000</w:t>
            </w:r>
          </w:p>
        </w:tc>
        <w:tc>
          <w:tcPr>
            <w:tcW w:w="2340" w:type="dxa"/>
          </w:tcPr>
          <w:p>
            <w:pPr/>
            <w:r>
              <w:t xml:space="preserve">648,000</w:t>
            </w:r>
          </w:p>
        </w:tc>
        <w:tc>
          <w:tcPr>
            <w:tcW w:w="2340" w:type="dxa"/>
          </w:tcPr>
          <w:p>
            <w:pPr/>
            <w:r>
              <w:t xml:space="preserve">2,160,000</w:t>
            </w:r>
          </w:p>
        </w:tc>
      </w:tr>
      <w:tr>
        <w:tc>
          <w:tcPr>
            <w:tcW w:w="2340" w:type="dxa"/>
          </w:tcPr>
          <w:p>
            <w:pPr/>
            <w:r>
              <w:t xml:space="preserve">Training and services revenue</w:t>
            </w:r>
          </w:p>
        </w:tc>
        <w:tc>
          <w:tcPr>
            <w:tcW w:w="2340" w:type="dxa"/>
          </w:tcPr>
          <w:p>
            <w:pPr/>
            <w:r>
              <w:t xml:space="preserve">300,000</w:t>
            </w:r>
          </w:p>
        </w:tc>
        <w:tc>
          <w:tcPr>
            <w:tcW w:w="2340" w:type="dxa"/>
          </w:tcPr>
          <w:p>
            <w:pPr/>
            <w:r>
              <w:t xml:space="preserve">1,200,000</w:t>
            </w:r>
          </w:p>
        </w:tc>
        <w:tc>
          <w:tcPr>
            <w:tcW w:w="2340" w:type="dxa"/>
          </w:tcPr>
          <w:p>
            <w:pPr/>
            <w:r>
              <w:t xml:space="preserve">2,500,000</w:t>
            </w:r>
          </w:p>
        </w:tc>
      </w:tr>
      <w:tr>
        <w:tc>
          <w:tcPr>
            <w:tcW w:w="2340" w:type="dxa"/>
          </w:tcPr>
          <w:p>
            <w:pPr/>
            <w:r>
              <w:rPr>
                <w:b/>
              </w:rPr>
              <w:t xml:space="preserve">Total revenue</w:t>
            </w:r>
          </w:p>
        </w:tc>
        <w:tc>
          <w:tcPr>
            <w:tcW w:w="2340" w:type="dxa"/>
          </w:tcPr>
          <w:p>
            <w:pPr/>
            <w:r>
              <w:t xml:space="preserve">3,588,000</w:t>
            </w:r>
          </w:p>
        </w:tc>
        <w:tc>
          <w:tcPr>
            <w:tcW w:w="2340" w:type="dxa"/>
          </w:tcPr>
          <w:p>
            <w:pPr/>
            <w:r>
              <w:t xml:space="preserve">14,568,000</w:t>
            </w:r>
          </w:p>
        </w:tc>
        <w:tc>
          <w:tcPr>
            <w:tcW w:w="2340" w:type="dxa"/>
          </w:tcPr>
          <w:p>
            <w:pPr/>
            <w:r>
              <w:t xml:space="preserve">36,460,000</w:t>
            </w:r>
          </w:p>
        </w:tc>
      </w:tr>
      <w:tr>
        <w:tc>
          <w:tcPr>
            <w:tcW w:w="2340" w:type="dxa"/>
          </w:tcPr>
          <w:p>
            <w:pPr/>
            <w:r>
              <w:t xml:space="preserve">Gross profit on devices and care plans (blended contribution about KES 4,770 per device; 50% on care plans)</w:t>
            </w:r>
          </w:p>
        </w:tc>
        <w:tc>
          <w:tcPr>
            <w:tcW w:w="2340" w:type="dxa"/>
          </w:tcPr>
          <w:p>
            <w:pPr/>
            <w:r>
              <w:t xml:space="preserve">1,485,000</w:t>
            </w:r>
          </w:p>
        </w:tc>
        <w:tc>
          <w:tcPr>
            <w:tcW w:w="2340" w:type="dxa"/>
          </w:tcPr>
          <w:p>
            <w:pPr/>
            <w:r>
              <w:t xml:space="preserve">6,048,000</w:t>
            </w:r>
          </w:p>
        </w:tc>
        <w:tc>
          <w:tcPr>
            <w:tcW w:w="2340" w:type="dxa"/>
          </w:tcPr>
          <w:p>
            <w:pPr/>
            <w:r>
              <w:t xml:space="preserve">15,390,000</w:t>
            </w:r>
          </w:p>
        </w:tc>
      </w:tr>
      <w:tr>
        <w:tc>
          <w:tcPr>
            <w:tcW w:w="2340" w:type="dxa"/>
          </w:tcPr>
          <w:p>
            <w:pPr/>
            <w:r>
              <w:t xml:space="preserve">Operating costs (staff, rent, logistics, QA, software)</w:t>
            </w:r>
          </w:p>
        </w:tc>
        <w:tc>
          <w:tcPr>
            <w:tcW w:w="2340" w:type="dxa"/>
          </w:tcPr>
          <w:p>
            <w:pPr/>
            <w:r>
              <w:t xml:space="preserve">7,200,000</w:t>
            </w:r>
          </w:p>
        </w:tc>
        <w:tc>
          <w:tcPr>
            <w:tcW w:w="2340" w:type="dxa"/>
          </w:tcPr>
          <w:p>
            <w:pPr/>
            <w:r>
              <w:t xml:space="preserve">13,500,000</w:t>
            </w:r>
          </w:p>
        </w:tc>
        <w:tc>
          <w:tcPr>
            <w:tcW w:w="2340" w:type="dxa"/>
          </w:tcPr>
          <w:p>
            <w:pPr/>
            <w:r>
              <w:t xml:space="preserve">24,000,000</w:t>
            </w:r>
          </w:p>
        </w:tc>
      </w:tr>
      <w:tr>
        <w:tc>
          <w:tcPr>
            <w:tcW w:w="2340" w:type="dxa"/>
          </w:tcPr>
          <w:p>
            <w:pPr/>
            <w:r>
              <w:rPr>
                <w:b/>
              </w:rPr>
              <w:t xml:space="preserve">Operating result before grants</w:t>
            </w:r>
            <w:r>
              <w:t xml:space="preserve"> (training counted at full margin)</w:t>
            </w:r>
          </w:p>
        </w:tc>
        <w:tc>
          <w:tcPr>
            <w:tcW w:w="2340" w:type="dxa"/>
          </w:tcPr>
          <w:p>
            <w:pPr/>
            <w:r>
              <w:t xml:space="preserve">-5,415,000</w:t>
            </w:r>
          </w:p>
        </w:tc>
        <w:tc>
          <w:tcPr>
            <w:tcW w:w="2340" w:type="dxa"/>
          </w:tcPr>
          <w:p>
            <w:pPr/>
            <w:r>
              <w:t xml:space="preserve">-6,252,000</w:t>
            </w:r>
          </w:p>
        </w:tc>
        <w:tc>
          <w:tcPr>
            <w:tcW w:w="2340" w:type="dxa"/>
          </w:tcPr>
          <w:p>
            <w:pPr/>
            <w:r>
              <w:t xml:space="preserve">-6,110,000</w:t>
            </w:r>
          </w:p>
        </w:tc>
      </w:tr>
      <w:tr>
        <w:tc>
          <w:tcPr>
            <w:tcW w:w="2340" w:type="dxa"/>
          </w:tcPr>
          <w:p>
            <w:pPr/>
            <w:r>
              <w:t xml:space="preserve">Grants and CSR assumed</w:t>
            </w:r>
          </w:p>
        </w:tc>
        <w:tc>
          <w:tcPr>
            <w:tcW w:w="2340" w:type="dxa"/>
          </w:tcPr>
          <w:p>
            <w:pPr/>
            <w:r>
              <w:t xml:space="preserve">6,000,000</w:t>
            </w:r>
          </w:p>
        </w:tc>
        <w:tc>
          <w:tcPr>
            <w:tcW w:w="2340" w:type="dxa"/>
          </w:tcPr>
          <w:p>
            <w:pPr/>
            <w:r>
              <w:t xml:space="preserve">5,000,000</w:t>
            </w:r>
          </w:p>
        </w:tc>
        <w:tc>
          <w:tcPr>
            <w:tcW w:w="2340" w:type="dxa"/>
          </w:tcPr>
          <w:p>
            <w:pPr/>
            <w:r>
              <w:t xml:space="preserve">4,000,000</w:t>
            </w:r>
          </w:p>
        </w:tc>
      </w:tr>
      <w:tr>
        <w:tc>
          <w:tcPr>
            <w:tcW w:w="2340" w:type="dxa"/>
          </w:tcPr>
          <w:p>
            <w:pPr/>
            <w:r>
              <w:rPr>
                <w:b/>
              </w:rPr>
              <w:t xml:space="preserve">Operating result after grants</w:t>
            </w:r>
          </w:p>
        </w:tc>
        <w:tc>
          <w:tcPr>
            <w:tcW w:w="2340" w:type="dxa"/>
          </w:tcPr>
          <w:p>
            <w:pPr/>
            <w:r>
              <w:t xml:space="preserve">585,000</w:t>
            </w:r>
          </w:p>
        </w:tc>
        <w:tc>
          <w:tcPr>
            <w:tcW w:w="2340" w:type="dxa"/>
          </w:tcPr>
          <w:p>
            <w:pPr/>
            <w:r>
              <w:t xml:space="preserve">-1,252,000</w:t>
            </w:r>
          </w:p>
        </w:tc>
        <w:tc>
          <w:tcPr>
            <w:tcW w:w="2340" w:type="dxa"/>
          </w:tcPr>
          <w:p>
            <w:pPr/>
            <w:r>
              <w:t xml:space="preserve">-2,110,000</w:t>
            </w:r>
          </w:p>
        </w:tc>
      </w:tr>
    </w:tbl>
    <w:p>
      <w:pPr/>
      <w:r>
        <w:t xml:space="preserve">The averages imply a mix of roughly one-quarter wheelchairs, with the rest split among walking aids, orthoses and ADL aids. Counting training and services at full margin is optimistic; real delivery costs will reduce the result.</w:t>
      </w:r>
    </w:p>
    <w:p>
      <w:pPr/>
      <w:r>
        <w:rPr>
          <w:b/>
        </w:rPr>
        <w:t xml:space="preserve">What this says.</w:t>
      </w:r>
      <w:r>
        <w:t xml:space="preserve"> The venture is about break-even in Year 1 only because of grants, and is still loss-making in Years 2 and 3 even with grants because operating costs grow ahead of volume. Without grants, break-even needs roughly 4,300 devices a year at these margins (Year 3 operating costs of KES 24.0 million less care-plan and training contributions of KES 3.58 million, divided by KES 4,770), consistent with a range of 4,000-4,500.</w:t>
      </w:r>
    </w:p>
    <w:p>
      <w:pPr>
        <w:pStyle w:val="Heading3"/>
      </w:pPr>
      <w:r>
        <w:t xml:space="preserve">11.3 Year 3 scenarios: what must be true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KES (Year 3)</w:t>
            </w:r>
          </w:p>
        </w:tc>
        <w:tc>
          <w:tcPr>
            <w:tcW w:w="2340" w:type="dxa"/>
            <w:shd w:val="clear" w:color="auto" w:fill="F2F2F2"/>
          </w:tcPr>
          <w:p>
            <w:pPr/>
            <w:r>
              <w:t xml:space="preserve">Downside</w:t>
            </w:r>
          </w:p>
        </w:tc>
        <w:tc>
          <w:tcPr>
            <w:tcW w:w="2340" w:type="dxa"/>
            <w:shd w:val="clear" w:color="auto" w:fill="F2F2F2"/>
          </w:tcPr>
          <w:p>
            <w:pPr/>
            <w:r>
              <w:t xml:space="preserve">Base</w:t>
            </w:r>
          </w:p>
        </w:tc>
        <w:tc>
          <w:tcPr>
            <w:tcW w:w="2340" w:type="dxa"/>
            <w:shd w:val="clear" w:color="auto" w:fill="F2F2F2"/>
          </w:tcPr>
          <w:p>
            <w:pPr/>
            <w:r>
              <w:t xml:space="preserve">Service-led upside</w:t>
            </w:r>
          </w:p>
        </w:tc>
      </w:tr>
      <w:tr>
        <w:tc>
          <w:tcPr>
            <w:tcW w:w="2340" w:type="dxa"/>
          </w:tcPr>
          <w:p>
            <w:pPr/>
            <w:r>
              <w:t xml:space="preserve">Devices</w:t>
            </w:r>
          </w:p>
        </w:tc>
        <w:tc>
          <w:tcPr>
            <w:tcW w:w="2340" w:type="dxa"/>
          </w:tcPr>
          <w:p>
            <w:pPr/>
            <w:r>
              <w:t xml:space="preserve">2,100 (-30%)</w:t>
            </w:r>
          </w:p>
        </w:tc>
        <w:tc>
          <w:tcPr>
            <w:tcW w:w="2340" w:type="dxa"/>
          </w:tcPr>
          <w:p>
            <w:pPr/>
            <w:r>
              <w:t xml:space="preserve">3,000</w:t>
            </w:r>
          </w:p>
        </w:tc>
        <w:tc>
          <w:tcPr>
            <w:tcW w:w="2340" w:type="dxa"/>
          </w:tcPr>
          <w:p>
            <w:pPr/>
            <w:r>
              <w:t xml:space="preserve">3,000</w:t>
            </w:r>
          </w:p>
        </w:tc>
      </w:tr>
      <w:tr>
        <w:tc>
          <w:tcPr>
            <w:tcW w:w="2340" w:type="dxa"/>
          </w:tcPr>
          <w:p>
            <w:pPr/>
            <w:r>
              <w:t xml:space="preserve">Contribution per device</w:t>
            </w:r>
          </w:p>
        </w:tc>
        <w:tc>
          <w:tcPr>
            <w:tcW w:w="2340" w:type="dxa"/>
          </w:tcPr>
          <w:p>
            <w:pPr/>
            <w:r>
              <w:t xml:space="preserve">3,710 (price -10%, cost unchanged)</w:t>
            </w:r>
          </w:p>
        </w:tc>
        <w:tc>
          <w:tcPr>
            <w:tcW w:w="2340" w:type="dxa"/>
          </w:tcPr>
          <w:p>
            <w:pPr/>
            <w:r>
              <w:t xml:space="preserve">4,770</w:t>
            </w:r>
          </w:p>
        </w:tc>
        <w:tc>
          <w:tcPr>
            <w:tcW w:w="2340" w:type="dxa"/>
          </w:tcPr>
          <w:p>
            <w:pPr/>
            <w:r>
              <w:t xml:space="preserve">5,800 (more orthoses and seating; lower direct cost)</w:t>
            </w:r>
          </w:p>
        </w:tc>
      </w:tr>
      <w:tr>
        <w:tc>
          <w:tcPr>
            <w:tcW w:w="2340" w:type="dxa"/>
          </w:tcPr>
          <w:p>
            <w:pPr/>
            <w:r>
              <w:t xml:space="preserve">Care-plan attach rate</w:t>
            </w:r>
          </w:p>
        </w:tc>
        <w:tc>
          <w:tcPr>
            <w:tcW w:w="2340" w:type="dxa"/>
          </w:tcPr>
          <w:p>
            <w:pPr/>
            <w:r>
              <w:t xml:space="preserve">12%</w:t>
            </w:r>
          </w:p>
        </w:tc>
        <w:tc>
          <w:tcPr>
            <w:tcW w:w="2340" w:type="dxa"/>
          </w:tcPr>
          <w:p>
            <w:pPr/>
            <w:r>
              <w:t xml:space="preserve">12%</w:t>
            </w:r>
          </w:p>
        </w:tc>
        <w:tc>
          <w:tcPr>
            <w:tcW w:w="2340" w:type="dxa"/>
          </w:tcPr>
          <w:p>
            <w:pPr/>
            <w:r>
              <w:t xml:space="preserve">30%</w:t>
            </w:r>
          </w:p>
        </w:tc>
      </w:tr>
      <w:tr>
        <w:tc>
          <w:tcPr>
            <w:tcW w:w="2340" w:type="dxa"/>
          </w:tcPr>
          <w:p>
            <w:pPr/>
            <w:r>
              <w:t xml:space="preserve">Device contribution</w:t>
            </w:r>
          </w:p>
        </w:tc>
        <w:tc>
          <w:tcPr>
            <w:tcW w:w="2340" w:type="dxa"/>
          </w:tcPr>
          <w:p>
            <w:pPr/>
            <w:r>
              <w:t xml:space="preserve">7,791,000</w:t>
            </w:r>
          </w:p>
        </w:tc>
        <w:tc>
          <w:tcPr>
            <w:tcW w:w="2340" w:type="dxa"/>
          </w:tcPr>
          <w:p>
            <w:pPr/>
            <w:r>
              <w:t xml:space="preserve">14,310,000</w:t>
            </w:r>
          </w:p>
        </w:tc>
        <w:tc>
          <w:tcPr>
            <w:tcW w:w="2340" w:type="dxa"/>
          </w:tcPr>
          <w:p>
            <w:pPr/>
            <w:r>
              <w:t xml:space="preserve">17,400,000</w:t>
            </w:r>
          </w:p>
        </w:tc>
      </w:tr>
      <w:tr>
        <w:tc>
          <w:tcPr>
            <w:tcW w:w="2340" w:type="dxa"/>
          </w:tcPr>
          <w:p>
            <w:pPr/>
            <w:r>
              <w:t xml:space="preserve">Care-plan contribution (50%)</w:t>
            </w:r>
          </w:p>
        </w:tc>
        <w:tc>
          <w:tcPr>
            <w:tcW w:w="2340" w:type="dxa"/>
          </w:tcPr>
          <w:p>
            <w:pPr/>
            <w:r>
              <w:t xml:space="preserve">756,000</w:t>
            </w:r>
          </w:p>
        </w:tc>
        <w:tc>
          <w:tcPr>
            <w:tcW w:w="2340" w:type="dxa"/>
          </w:tcPr>
          <w:p>
            <w:pPr/>
            <w:r>
              <w:t xml:space="preserve">1,080,000</w:t>
            </w:r>
          </w:p>
        </w:tc>
        <w:tc>
          <w:tcPr>
            <w:tcW w:w="2340" w:type="dxa"/>
          </w:tcPr>
          <w:p>
            <w:pPr/>
            <w:r>
              <w:t xml:space="preserve">2,700,000</w:t>
            </w:r>
          </w:p>
        </w:tc>
      </w:tr>
      <w:tr>
        <w:tc>
          <w:tcPr>
            <w:tcW w:w="2340" w:type="dxa"/>
          </w:tcPr>
          <w:p>
            <w:pPr/>
            <w:r>
              <w:t xml:space="preserve">Training, services and data contracts</w:t>
            </w:r>
          </w:p>
        </w:tc>
        <w:tc>
          <w:tcPr>
            <w:tcW w:w="2340" w:type="dxa"/>
          </w:tcPr>
          <w:p>
            <w:pPr/>
            <w:r>
              <w:t xml:space="preserve">1,750,000</w:t>
            </w:r>
          </w:p>
        </w:tc>
        <w:tc>
          <w:tcPr>
            <w:tcW w:w="2340" w:type="dxa"/>
          </w:tcPr>
          <w:p>
            <w:pPr/>
            <w:r>
              <w:t xml:space="preserve">2,500,000</w:t>
            </w:r>
          </w:p>
        </w:tc>
        <w:tc>
          <w:tcPr>
            <w:tcW w:w="2340" w:type="dxa"/>
          </w:tcPr>
          <w:p>
            <w:pPr/>
            <w:r>
              <w:t xml:space="preserve">4,000,000</w:t>
            </w:r>
          </w:p>
        </w:tc>
      </w:tr>
      <w:tr>
        <w:tc>
          <w:tcPr>
            <w:tcW w:w="2340" w:type="dxa"/>
          </w:tcPr>
          <w:p>
            <w:pPr/>
            <w:r>
              <w:t xml:space="preserve">Operating costs</w:t>
            </w:r>
          </w:p>
        </w:tc>
        <w:tc>
          <w:tcPr>
            <w:tcW w:w="2340" w:type="dxa"/>
          </w:tcPr>
          <w:p>
            <w:pPr/>
            <w:r>
              <w:t xml:space="preserve">24,000,000</w:t>
            </w:r>
          </w:p>
        </w:tc>
        <w:tc>
          <w:tcPr>
            <w:tcW w:w="2340" w:type="dxa"/>
          </w:tcPr>
          <w:p>
            <w:pPr/>
            <w:r>
              <w:t xml:space="preserve">24,000,000</w:t>
            </w:r>
          </w:p>
        </w:tc>
        <w:tc>
          <w:tcPr>
            <w:tcW w:w="2340" w:type="dxa"/>
          </w:tcPr>
          <w:p>
            <w:pPr/>
            <w:r>
              <w:t xml:space="preserve">24,000,000</w:t>
            </w:r>
          </w:p>
        </w:tc>
      </w:tr>
      <w:tr>
        <w:tc>
          <w:tcPr>
            <w:tcW w:w="2340" w:type="dxa"/>
          </w:tcPr>
          <w:p>
            <w:pPr/>
            <w:r>
              <w:rPr>
                <w:b/>
              </w:rPr>
              <w:t xml:space="preserve">Result before grants</w:t>
            </w:r>
          </w:p>
        </w:tc>
        <w:tc>
          <w:tcPr>
            <w:tcW w:w="2340" w:type="dxa"/>
          </w:tcPr>
          <w:p>
            <w:pPr/>
            <w:r>
              <w:t xml:space="preserve">-13,703,000</w:t>
            </w:r>
          </w:p>
        </w:tc>
        <w:tc>
          <w:tcPr>
            <w:tcW w:w="2340" w:type="dxa"/>
          </w:tcPr>
          <w:p>
            <w:pPr/>
            <w:r>
              <w:t xml:space="preserve">-6,110,000</w:t>
            </w:r>
          </w:p>
        </w:tc>
        <w:tc>
          <w:tcPr>
            <w:tcW w:w="2340" w:type="dxa"/>
          </w:tcPr>
          <w:p>
            <w:pPr/>
            <w:r>
              <w:t xml:space="preserve">+100,000</w:t>
            </w:r>
          </w:p>
        </w:tc>
      </w:tr>
      <w:tr>
        <w:tc>
          <w:tcPr>
            <w:tcW w:w="2340" w:type="dxa"/>
          </w:tcPr>
          <w:p>
            <w:pPr/>
            <w:r>
              <w:rPr>
                <w:b/>
              </w:rPr>
              <w:t xml:space="preserve">Result after KES 4.0 million grants</w:t>
            </w:r>
          </w:p>
        </w:tc>
        <w:tc>
          <w:tcPr>
            <w:tcW w:w="2340" w:type="dxa"/>
          </w:tcPr>
          <w:p>
            <w:pPr/>
            <w:r>
              <w:t xml:space="preserve">-9,703,000</w:t>
            </w:r>
          </w:p>
        </w:tc>
        <w:tc>
          <w:tcPr>
            <w:tcW w:w="2340" w:type="dxa"/>
          </w:tcPr>
          <w:p>
            <w:pPr/>
            <w:r>
              <w:t xml:space="preserve">-2,110,000</w:t>
            </w:r>
          </w:p>
        </w:tc>
        <w:tc>
          <w:tcPr>
            <w:tcW w:w="2340" w:type="dxa"/>
          </w:tcPr>
          <w:p>
            <w:pPr/>
            <w:r>
              <w:t xml:space="preserve">+4,100,000</w:t>
            </w:r>
          </w:p>
        </w:tc>
      </w:tr>
    </w:tbl>
    <w:p>
      <w:pPr/>
      <w:r>
        <w:t xml:space="preserve">Reading the table: the venture only reaches break-even before grants when three things move together, namely a richer product mix, a care-plan attach rate near 30%, and meaningful service and data revenue. Operating costs are sticky, so a volume shortfall hurts quickly.</w:t>
      </w:r>
    </w:p>
    <w:p>
      <w:pPr>
        <w:pStyle w:val="Heading3"/>
      </w:pPr>
      <w:r>
        <w:t xml:space="preserve">11.4 Sensitivities (Year 3, one change at a time)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Change</w:t>
            </w:r>
          </w:p>
        </w:tc>
        <w:tc>
          <w:tcPr>
            <w:tcW w:w="4680" w:type="dxa"/>
            <w:shd w:val="clear" w:color="auto" w:fill="F2F2F2"/>
          </w:tcPr>
          <w:p>
            <w:pPr/>
            <w:r>
              <w:t xml:space="preserve">Effect on result</w:t>
            </w:r>
          </w:p>
        </w:tc>
      </w:tr>
      <w:tr>
        <w:tc>
          <w:tcPr>
            <w:tcW w:w="4680" w:type="dxa"/>
          </w:tcPr>
          <w:p>
            <w:pPr/>
            <w:r>
              <w:t xml:space="preserve">Device volume +/-10% (300 devices)</w:t>
            </w:r>
          </w:p>
        </w:tc>
        <w:tc>
          <w:tcPr>
            <w:tcW w:w="4680" w:type="dxa"/>
          </w:tcPr>
          <w:p>
            <w:pPr/>
            <w:r>
              <w:t xml:space="preserve">+/- KES 1.43 million</w:t>
            </w:r>
          </w:p>
        </w:tc>
      </w:tr>
      <w:tr>
        <w:tc>
          <w:tcPr>
            <w:tcW w:w="4680" w:type="dxa"/>
          </w:tcPr>
          <w:p>
            <w:pPr/>
            <w:r>
              <w:t xml:space="preserve">Contribution per device +/- KES 500</w:t>
            </w:r>
          </w:p>
        </w:tc>
        <w:tc>
          <w:tcPr>
            <w:tcW w:w="4680" w:type="dxa"/>
          </w:tcPr>
          <w:p>
            <w:pPr/>
            <w:r>
              <w:t xml:space="preserve">+/- KES 1.50 million</w:t>
            </w:r>
          </w:p>
        </w:tc>
      </w:tr>
      <w:tr>
        <w:tc>
          <w:tcPr>
            <w:tcW w:w="4680" w:type="dxa"/>
          </w:tcPr>
          <w:p>
            <w:pPr/>
            <w:r>
              <w:t xml:space="preserve">Care-plan attach +/-10 percentage points</w:t>
            </w:r>
          </w:p>
        </w:tc>
        <w:tc>
          <w:tcPr>
            <w:tcW w:w="4680" w:type="dxa"/>
          </w:tcPr>
          <w:p>
            <w:pPr/>
            <w:r>
              <w:t xml:space="preserve">+/- KES 0.90 million</w:t>
            </w:r>
          </w:p>
        </w:tc>
      </w:tr>
      <w:tr>
        <w:tc>
          <w:tcPr>
            <w:tcW w:w="4680" w:type="dxa"/>
          </w:tcPr>
          <w:p>
            <w:pPr/>
            <w:r>
              <w:t xml:space="preserve">Operating costs +/-10%</w:t>
            </w:r>
          </w:p>
        </w:tc>
        <w:tc>
          <w:tcPr>
            <w:tcW w:w="4680" w:type="dxa"/>
          </w:tcPr>
          <w:p>
            <w:pPr/>
            <w:r>
              <w:t xml:space="preserve">-/+ KES 2.40 million</w:t>
            </w:r>
          </w:p>
        </w:tc>
      </w:tr>
      <w:tr>
        <w:tc>
          <w:tcPr>
            <w:tcW w:w="4680" w:type="dxa"/>
          </w:tcPr>
          <w:p>
            <w:pPr/>
            <w:r>
              <w:t xml:space="preserve">Training, services and data revenue +/- KES 1.0 million</w:t>
            </w:r>
          </w:p>
        </w:tc>
        <w:tc>
          <w:tcPr>
            <w:tcW w:w="4680" w:type="dxa"/>
          </w:tcPr>
          <w:p>
            <w:pPr/>
            <w:r>
              <w:t xml:space="preserve">+/- KES 1.00 million</w:t>
            </w:r>
          </w:p>
        </w:tc>
      </w:tr>
    </w:tbl>
    <w:p>
      <w:pPr>
        <w:pStyle w:val="Heading3"/>
      </w:pPr>
      <w:r>
        <w:t xml:space="preserve">11.5 Working capital</w:t>
      </w:r>
    </w:p>
    <w:p>
      <w:pPr/>
      <w:r>
        <w:t xml:space="preserve">If 60% of Year 2 product revenue (KES 7.6 million) is sold to institutions that pay in 90 days, receivables average about KES 1.9 million; at 120 days about KES 2.5 million. A 30% deposit cuts these by almost a third. Arrange an overdraft, receivables financing or a revolving grant before the first tender is won [A].</w:t>
      </w:r>
    </w:p>
    <w:p>
      <w:pPr>
        <w:pStyle w:val="Heading3"/>
      </w:pPr>
      <w:r>
        <w:t xml:space="preserve">11.6 Levers that move the model</w:t>
      </w:r>
    </w:p>
    <w:p>
      <w:pPr>
        <w:pStyle w:val="ListParagraph"/>
        <w:numPr>
          <w:ilvl w:val="0"/>
          <w:numId w:val="9"/>
        </w:numPr>
      </w:pPr>
      <w:r>
        <w:t xml:space="preserve">More institutional bulk orders with deposits or milestone payments.</w:t>
      </w:r>
    </w:p>
    <w:p>
      <w:pPr>
        <w:pStyle w:val="ListParagraph"/>
        <w:numPr>
          <w:ilvl w:val="0"/>
          <w:numId w:val="9"/>
        </w:numPr>
      </w:pPr>
      <w:r>
        <w:t xml:space="preserve">Care-plan attach above 30% and lower cost-to-serve through trained local repairers.</w:t>
      </w:r>
    </w:p>
    <w:p>
      <w:pPr>
        <w:pStyle w:val="ListParagraph"/>
        <w:numPr>
          <w:ilvl w:val="0"/>
          <w:numId w:val="9"/>
        </w:numPr>
      </w:pPr>
      <w:r>
        <w:t xml:space="preserve">A shift toward orthoses, sockets and seating, where clinical value and margin are higher, once quality is proven.</w:t>
      </w:r>
    </w:p>
    <w:p>
      <w:pPr>
        <w:pStyle w:val="ListParagraph"/>
        <w:numPr>
          <w:ilvl w:val="0"/>
          <w:numId w:val="9"/>
        </w:numPr>
      </w:pPr>
      <w:r>
        <w:t xml:space="preserve">Lower direct costs from bulk bills of materials and design for manufacture; check local-manufacturer tax incentives (Section 5).</w:t>
      </w:r>
    </w:p>
    <w:p>
      <w:pPr>
        <w:pStyle w:val="ListParagraph"/>
        <w:numPr>
          <w:ilvl w:val="0"/>
          <w:numId w:val="9"/>
        </w:numPr>
      </w:pPr>
      <w:r>
        <w:t xml:space="preserve">Lean operating costs: use hub space, shared workshops and part-time clinicians until volumes justify full-time staff.</w:t>
      </w:r>
    </w:p>
    <w:p>
      <w:pPr>
        <w:pStyle w:val="ListParagraph"/>
        <w:numPr>
          <w:ilvl w:val="0"/>
          <w:numId w:val="9"/>
        </w:numPr>
      </w:pPr>
      <w:r>
        <w:t xml:space="preserve">Service revenue: technician training, county dashboards, outcome-reporting contracts.</w:t>
      </w:r>
    </w:p>
    <w:p>
      <w:pPr>
        <w:pStyle w:val="Heading2"/>
      </w:pPr>
      <w:r>
        <w:t xml:space="preserve">12. 90-day pilot plan and budget</w:t>
      </w:r>
    </w:p>
    <w:p>
      <w:pPr/>
      <w:r>
        <w:t xml:space="preserve">Four phases: planning and compliance, setup and recruitment, prototyping and user testing, deployment and service launch. The budget includes three months of salaries, clinical consultant time, insurance, external testing, data-protection setup, metalwork tools and a contingency.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KES</w:t>
            </w:r>
          </w:p>
        </w:tc>
      </w:tr>
      <w:tr>
        <w:tc>
          <w:tcPr>
            <w:tcW w:w="4680" w:type="dxa"/>
          </w:tcPr>
          <w:p>
            <w:pPr/>
            <w:r>
              <w:rPr>
                <w:b/>
              </w:rPr>
              <w:t xml:space="preserve">Phase 1: Planning, design and compliance (weeks 1-2)</w:t>
            </w:r>
          </w:p>
        </w:tc>
        <w:tc>
          <w:tcPr>
            <w:tcW w:w="4680" w:type="dxa"/>
          </w:tcPr>
          <w:p>
            <w:pPr/>
            <w:r>
              <w:rPr>
                <w:b/>
              </w:rPr>
              <w:t xml:space="preserve">110,000</w:t>
            </w:r>
          </w:p>
        </w:tc>
      </w:tr>
      <w:tr>
        <w:tc>
          <w:tcPr>
            <w:tcW w:w="4680" w:type="dxa"/>
          </w:tcPr>
          <w:p>
            <w:pPr/>
            <w:r>
              <w:t xml:space="preserve">Finalise MVP designs (wheelchair, walking aids, ADL aids)</w:t>
            </w:r>
          </w:p>
        </w:tc>
        <w:tc>
          <w:tcPr>
            <w:tcW w:w="4680" w:type="dxa"/>
          </w:tcPr>
          <w:p>
            <w:pPr/>
            <w:r>
              <w:t xml:space="preserve">50,000</w:t>
            </w:r>
          </w:p>
        </w:tc>
      </w:tr>
      <w:tr>
        <w:tc>
          <w:tcPr>
            <w:tcW w:w="4680" w:type="dxa"/>
          </w:tcPr>
          <w:p>
            <w:pPr/>
            <w:r>
              <w:t xml:space="preserve">Clinical partner MoUs and legal review</w:t>
            </w:r>
          </w:p>
        </w:tc>
        <w:tc>
          <w:tcPr>
            <w:tcW w:w="4680" w:type="dxa"/>
          </w:tcPr>
          <w:p>
            <w:pPr/>
            <w:r>
              <w:t xml:space="preserve">15,000</w:t>
            </w:r>
          </w:p>
        </w:tc>
      </w:tr>
      <w:tr>
        <w:tc>
          <w:tcPr>
            <w:tcW w:w="4680" w:type="dxa"/>
          </w:tcPr>
          <w:p>
            <w:pPr/>
            <w:r>
              <w:t xml:space="preserve">NCPWD, KEBS and regulator pre-engagement</w:t>
            </w:r>
          </w:p>
        </w:tc>
        <w:tc>
          <w:tcPr>
            <w:tcW w:w="4680" w:type="dxa"/>
          </w:tcPr>
          <w:p>
            <w:pPr/>
            <w:r>
              <w:t xml:space="preserve">20,000</w:t>
            </w:r>
          </w:p>
        </w:tc>
      </w:tr>
      <w:tr>
        <w:tc>
          <w:tcPr>
            <w:tcW w:w="4680" w:type="dxa"/>
          </w:tcPr>
          <w:p>
            <w:pPr/>
            <w:r>
              <w:t xml:space="preserve">Consent forms, ODPC registration, data-protection impact assessment</w:t>
            </w:r>
          </w:p>
        </w:tc>
        <w:tc>
          <w:tcPr>
            <w:tcW w:w="4680" w:type="dxa"/>
          </w:tcPr>
          <w:p>
            <w:pPr/>
            <w:r>
              <w:t xml:space="preserve">25,000</w:t>
            </w:r>
          </w:p>
        </w:tc>
      </w:tr>
      <w:tr>
        <w:tc>
          <w:tcPr>
            <w:tcW w:w="4680" w:type="dxa"/>
          </w:tcPr>
          <w:p>
            <w:pPr/>
            <w:r>
              <w:rPr>
                <w:b/>
              </w:rPr>
              <w:t xml:space="preserve">Phase 2: Setup and recruitment (weeks 3-4; includes 3 months running costs)</w:t>
            </w:r>
          </w:p>
        </w:tc>
        <w:tc>
          <w:tcPr>
            <w:tcW w:w="4680" w:type="dxa"/>
          </w:tcPr>
          <w:p>
            <w:pPr/>
            <w:r>
              <w:rPr>
                <w:b/>
              </w:rPr>
              <w:t xml:space="preserve">920,000</w:t>
            </w:r>
          </w:p>
        </w:tc>
      </w:tr>
      <w:tr>
        <w:tc>
          <w:tcPr>
            <w:tcW w:w="4680" w:type="dxa"/>
          </w:tcPr>
          <w:p>
            <w:pPr/>
            <w:r>
              <w:t xml:space="preserve">Workshop rent (3 months at KES 40,000)</w:t>
            </w:r>
          </w:p>
        </w:tc>
        <w:tc>
          <w:tcPr>
            <w:tcW w:w="4680" w:type="dxa"/>
          </w:tcPr>
          <w:p>
            <w:pPr/>
            <w:r>
              <w:t xml:space="preserve">120,000</w:t>
            </w:r>
          </w:p>
        </w:tc>
      </w:tr>
      <w:tr>
        <w:tc>
          <w:tcPr>
            <w:tcW w:w="4680" w:type="dxa"/>
          </w:tcPr>
          <w:p>
            <w:pPr/>
            <w:r>
              <w:t xml:space="preserve">Two mid-range 3D printers</w:t>
            </w:r>
          </w:p>
        </w:tc>
        <w:tc>
          <w:tcPr>
            <w:tcW w:w="4680" w:type="dxa"/>
          </w:tcPr>
          <w:p>
            <w:pPr/>
            <w:r>
              <w:t xml:space="preserve">300,000</w:t>
            </w:r>
          </w:p>
        </w:tc>
      </w:tr>
      <w:tr>
        <w:tc>
          <w:tcPr>
            <w:tcW w:w="4680" w:type="dxa"/>
          </w:tcPr>
          <w:p>
            <w:pPr/>
            <w:r>
              <w:t xml:space="preserve">Metal tools: bender, welder, drill press, finishing</w:t>
            </w:r>
          </w:p>
        </w:tc>
        <w:tc>
          <w:tcPr>
            <w:tcW w:w="4680" w:type="dxa"/>
          </w:tcPr>
          <w:p>
            <w:pPr/>
            <w:r>
              <w:t xml:space="preserve">120,000</w:t>
            </w:r>
          </w:p>
        </w:tc>
      </w:tr>
      <w:tr>
        <w:tc>
          <w:tcPr>
            <w:tcW w:w="4680" w:type="dxa"/>
          </w:tcPr>
          <w:p>
            <w:pPr/>
            <w:r>
              <w:t xml:space="preserve">Two technicians for 3 months (KES 40,000 per month)</w:t>
            </w:r>
          </w:p>
        </w:tc>
        <w:tc>
          <w:tcPr>
            <w:tcW w:w="4680" w:type="dxa"/>
          </w:tcPr>
          <w:p>
            <w:pPr/>
            <w:r>
              <w:t xml:space="preserve">240,000</w:t>
            </w:r>
          </w:p>
        </w:tc>
      </w:tr>
      <w:tr>
        <w:tc>
          <w:tcPr>
            <w:tcW w:w="4680" w:type="dxa"/>
          </w:tcPr>
          <w:p>
            <w:pPr/>
            <w:r>
              <w:t xml:space="preserve">Clinical consultant (part-time, 3 months)</w:t>
            </w:r>
          </w:p>
        </w:tc>
        <w:tc>
          <w:tcPr>
            <w:tcW w:w="4680" w:type="dxa"/>
          </w:tcPr>
          <w:p>
            <w:pPr/>
            <w:r>
              <w:t xml:space="preserve">90,000</w:t>
            </w:r>
          </w:p>
        </w:tc>
      </w:tr>
      <w:tr>
        <w:tc>
          <w:tcPr>
            <w:tcW w:w="4680" w:type="dxa"/>
          </w:tcPr>
          <w:p>
            <w:pPr/>
            <w:r>
              <w:t xml:space="preserve">Safety training</w:t>
            </w:r>
          </w:p>
        </w:tc>
        <w:tc>
          <w:tcPr>
            <w:tcW w:w="4680" w:type="dxa"/>
          </w:tcPr>
          <w:p>
            <w:pPr/>
            <w:r>
              <w:t xml:space="preserve">10,000</w:t>
            </w:r>
          </w:p>
        </w:tc>
      </w:tr>
      <w:tr>
        <w:tc>
          <w:tcPr>
            <w:tcW w:w="4680" w:type="dxa"/>
          </w:tcPr>
          <w:p>
            <w:pPr/>
            <w:r>
              <w:t xml:space="preserve">Liability and equipment insurance</w:t>
            </w:r>
          </w:p>
        </w:tc>
        <w:tc>
          <w:tcPr>
            <w:tcW w:w="4680" w:type="dxa"/>
          </w:tcPr>
          <w:p>
            <w:pPr/>
            <w:r>
              <w:t xml:space="preserve">40,000</w:t>
            </w:r>
          </w:p>
        </w:tc>
      </w:tr>
      <w:tr>
        <w:tc>
          <w:tcPr>
            <w:tcW w:w="4680" w:type="dxa"/>
          </w:tcPr>
          <w:p>
            <w:pPr/>
            <w:r>
              <w:rPr>
                <w:b/>
              </w:rPr>
              <w:t xml:space="preserve">Phase 3: Prototyping and user testing (weeks 5-8)</w:t>
            </w:r>
          </w:p>
        </w:tc>
        <w:tc>
          <w:tcPr>
            <w:tcW w:w="4680" w:type="dxa"/>
          </w:tcPr>
          <w:p>
            <w:pPr/>
            <w:r>
              <w:rPr>
                <w:b/>
              </w:rPr>
              <w:t xml:space="preserve">285,000</w:t>
            </w:r>
          </w:p>
        </w:tc>
      </w:tr>
      <w:tr>
        <w:tc>
          <w:tcPr>
            <w:tcW w:w="4680" w:type="dxa"/>
          </w:tcPr>
          <w:p>
            <w:pPr/>
            <w:r>
              <w:t xml:space="preserve">Ten prototypes (materials)</w:t>
            </w:r>
          </w:p>
        </w:tc>
        <w:tc>
          <w:tcPr>
            <w:tcW w:w="4680" w:type="dxa"/>
          </w:tcPr>
          <w:p>
            <w:pPr/>
            <w:r>
              <w:t xml:space="preserve">140,000</w:t>
            </w:r>
          </w:p>
        </w:tc>
      </w:tr>
      <w:tr>
        <w:tc>
          <w:tcPr>
            <w:tcW w:w="4680" w:type="dxa"/>
          </w:tcPr>
          <w:p>
            <w:pPr/>
            <w:r>
              <w:t xml:space="preserve">Load-test rig and external test and lab fees</w:t>
            </w:r>
          </w:p>
        </w:tc>
        <w:tc>
          <w:tcPr>
            <w:tcW w:w="4680" w:type="dxa"/>
          </w:tcPr>
          <w:p>
            <w:pPr/>
            <w:r>
              <w:t xml:space="preserve">60,000</w:t>
            </w:r>
          </w:p>
        </w:tc>
      </w:tr>
      <w:tr>
        <w:tc>
          <w:tcPr>
            <w:tcW w:w="4680" w:type="dxa"/>
          </w:tcPr>
          <w:p>
            <w:pPr/>
            <w:r>
              <w:t xml:space="preserve">Ten clinical fittings and user trials</w:t>
            </w:r>
          </w:p>
        </w:tc>
        <w:tc>
          <w:tcPr>
            <w:tcW w:w="4680" w:type="dxa"/>
          </w:tcPr>
          <w:p>
            <w:pPr/>
            <w:r>
              <w:t xml:space="preserve">40,000</w:t>
            </w:r>
          </w:p>
        </w:tc>
      </w:tr>
      <w:tr>
        <w:tc>
          <w:tcPr>
            <w:tcW w:w="4680" w:type="dxa"/>
          </w:tcPr>
          <w:p>
            <w:pPr/>
            <w:r>
              <w:t xml:space="preserve">Outcome metrics (mobility index, wellbeing) and data tooling</w:t>
            </w:r>
          </w:p>
        </w:tc>
        <w:tc>
          <w:tcPr>
            <w:tcW w:w="4680" w:type="dxa"/>
          </w:tcPr>
          <w:p>
            <w:pPr/>
            <w:r>
              <w:t xml:space="preserve">15,000</w:t>
            </w:r>
          </w:p>
        </w:tc>
      </w:tr>
      <w:tr>
        <w:tc>
          <w:tcPr>
            <w:tcW w:w="4680" w:type="dxa"/>
          </w:tcPr>
          <w:p>
            <w:pPr/>
            <w:r>
              <w:t xml:space="preserve">Brand, brochure, social kit</w:t>
            </w:r>
          </w:p>
        </w:tc>
        <w:tc>
          <w:tcPr>
            <w:tcW w:w="4680" w:type="dxa"/>
          </w:tcPr>
          <w:p>
            <w:pPr/>
            <w:r>
              <w:t xml:space="preserve">30,000</w:t>
            </w:r>
          </w:p>
        </w:tc>
      </w:tr>
      <w:tr>
        <w:tc>
          <w:tcPr>
            <w:tcW w:w="4680" w:type="dxa"/>
          </w:tcPr>
          <w:p>
            <w:pPr/>
            <w:r>
              <w:rPr>
                <w:b/>
              </w:rPr>
              <w:t xml:space="preserve">Phase 4: Pilot deployment and service launch (weeks 9-12)</w:t>
            </w:r>
          </w:p>
        </w:tc>
        <w:tc>
          <w:tcPr>
            <w:tcW w:w="4680" w:type="dxa"/>
          </w:tcPr>
          <w:p>
            <w:pPr/>
            <w:r>
              <w:rPr>
                <w:b/>
              </w:rPr>
              <w:t xml:space="preserve">430,000</w:t>
            </w:r>
          </w:p>
        </w:tc>
      </w:tr>
      <w:tr>
        <w:tc>
          <w:tcPr>
            <w:tcW w:w="4680" w:type="dxa"/>
          </w:tcPr>
          <w:p>
            <w:pPr/>
            <w:r>
              <w:t xml:space="preserve">Materials for 50 units (15 wheelchairs, 25 walking aids, 10 orthoses or ADL sets)</w:t>
            </w:r>
          </w:p>
        </w:tc>
        <w:tc>
          <w:tcPr>
            <w:tcW w:w="4680" w:type="dxa"/>
          </w:tcPr>
          <w:p>
            <w:pPr/>
            <w:r>
              <w:t xml:space="preserve">270,000</w:t>
            </w:r>
          </w:p>
        </w:tc>
      </w:tr>
      <w:tr>
        <w:tc>
          <w:tcPr>
            <w:tcW w:w="4680" w:type="dxa"/>
          </w:tcPr>
          <w:p>
            <w:pPr/>
            <w:r>
              <w:t xml:space="preserve">Logistics and delivery</w:t>
            </w:r>
          </w:p>
        </w:tc>
        <w:tc>
          <w:tcPr>
            <w:tcW w:w="4680" w:type="dxa"/>
          </w:tcPr>
          <w:p>
            <w:pPr/>
            <w:r>
              <w:t xml:space="preserve">25,000</w:t>
            </w:r>
          </w:p>
        </w:tc>
      </w:tr>
      <w:tr>
        <w:tc>
          <w:tcPr>
            <w:tcW w:w="4680" w:type="dxa"/>
          </w:tcPr>
          <w:p>
            <w:pPr/>
            <w:r>
              <w:t xml:space="preserve">Repair and maintenance hub (spares, signage)</w:t>
            </w:r>
          </w:p>
        </w:tc>
        <w:tc>
          <w:tcPr>
            <w:tcW w:w="4680" w:type="dxa"/>
          </w:tcPr>
          <w:p>
            <w:pPr/>
            <w:r>
              <w:t xml:space="preserve">100,000</w:t>
            </w:r>
          </w:p>
        </w:tc>
      </w:tr>
      <w:tr>
        <w:tc>
          <w:tcPr>
            <w:tcW w:w="4680" w:type="dxa"/>
          </w:tcPr>
          <w:p>
            <w:pPr/>
            <w:r>
              <w:t xml:space="preserve">Care-plan launch (first 20 subscribers)</w:t>
            </w:r>
          </w:p>
        </w:tc>
        <w:tc>
          <w:tcPr>
            <w:tcW w:w="4680" w:type="dxa"/>
          </w:tcPr>
          <w:p>
            <w:pPr/>
            <w:r>
              <w:t xml:space="preserve">10,000</w:t>
            </w:r>
          </w:p>
        </w:tc>
      </w:tr>
      <w:tr>
        <w:tc>
          <w:tcPr>
            <w:tcW w:w="4680" w:type="dxa"/>
          </w:tcPr>
          <w:p>
            <w:pPr/>
            <w:r>
              <w:t xml:space="preserve">Satisfaction survey and testimonials</w:t>
            </w:r>
          </w:p>
        </w:tc>
        <w:tc>
          <w:tcPr>
            <w:tcW w:w="4680" w:type="dxa"/>
          </w:tcPr>
          <w:p>
            <w:pPr/>
            <w:r>
              <w:t xml:space="preserve">10,000</w:t>
            </w:r>
          </w:p>
        </w:tc>
      </w:tr>
      <w:tr>
        <w:tc>
          <w:tcPr>
            <w:tcW w:w="4680" w:type="dxa"/>
          </w:tcPr>
          <w:p>
            <w:pPr/>
            <w:r>
              <w:t xml:space="preserve">90-day impact report</w:t>
            </w:r>
          </w:p>
        </w:tc>
        <w:tc>
          <w:tcPr>
            <w:tcW w:w="4680" w:type="dxa"/>
          </w:tcPr>
          <w:p>
            <w:pPr/>
            <w:r>
              <w:t xml:space="preserve">15,000</w:t>
            </w:r>
          </w:p>
        </w:tc>
      </w:tr>
      <w:tr>
        <w:tc>
          <w:tcPr>
            <w:tcW w:w="4680" w:type="dxa"/>
          </w:tcPr>
          <w:p>
            <w:pPr/>
            <w:r>
              <w:t xml:space="preserve">Contingency (10%)</w:t>
            </w:r>
          </w:p>
        </w:tc>
        <w:tc>
          <w:tcPr>
            <w:tcW w:w="4680" w:type="dxa"/>
          </w:tcPr>
          <w:p>
            <w:pPr/>
            <w:r>
              <w:t xml:space="preserve">174,500</w:t>
            </w:r>
          </w:p>
        </w:tc>
      </w:tr>
      <w:tr>
        <w:tc>
          <w:tcPr>
            <w:tcW w:w="4680" w:type="dxa"/>
          </w:tcPr>
          <w:p>
            <w:pPr/>
            <w:r>
              <w:rPr>
                <w:b/>
              </w:rPr>
              <w:t xml:space="preserve">Total 90-day pilot</w:t>
            </w:r>
          </w:p>
        </w:tc>
        <w:tc>
          <w:tcPr>
            <w:tcW w:w="4680" w:type="dxa"/>
          </w:tcPr>
          <w:p>
            <w:pPr/>
            <w:r>
              <w:rPr>
                <w:b/>
              </w:rPr>
              <w:t xml:space="preserve">1,919,500</w:t>
            </w:r>
          </w:p>
        </w:tc>
      </w:tr>
    </w:tbl>
    <w:p>
      <w:pPr/>
      <w:r>
        <w:rPr>
          <w:b/>
        </w:rPr>
        <w:t xml:space="preserve">Checks on the budget.</w:t>
      </w:r>
    </w:p>
    <w:p>
      <w:pPr>
        <w:pStyle w:val="ListParagraph"/>
        <w:numPr>
          <w:ilvl w:val="0"/>
          <w:numId w:val="10"/>
        </w:numPr>
      </w:pPr>
      <w:r>
        <w:rPr>
          <w:b/>
        </w:rPr>
        <w:t xml:space="preserve">Materials line.</w:t>
      </w:r>
      <w:r>
        <w:t xml:space="preserve"> At the assumed direct costs, 15 wheelchairs (KES 225,000) plus 25 walking aids (KES 32,500) already use KES 257,500 of the KES 270,000, leaving only KES 12,500 for ten orthoses or ADL sets. That works only if the ten are ADL aids (about KES 300 each); orthoses at about KES 7,500 each would add KES 75,000 or more. Decide the mix and raise the line if orthoses are included.</w:t>
      </w:r>
    </w:p>
    <w:p>
      <w:pPr>
        <w:pStyle w:val="ListParagraph"/>
        <w:numPr>
          <w:ilvl w:val="0"/>
          <w:numId w:val="10"/>
        </w:numPr>
      </w:pPr>
      <w:r>
        <w:rPr>
          <w:b/>
        </w:rPr>
        <w:t xml:space="preserve">Platform costs.</w:t>
      </w:r>
      <w:r>
        <w:t xml:space="preserve"> The platform MVP (Part II, Section 27) is not in this budget; its infrastructure runs about USD 100-300 per month [A] plus engineering time, and messaging costs now apply (Section 25).</w:t>
      </w:r>
    </w:p>
    <w:p>
      <w:pPr>
        <w:pStyle w:val="ListParagraph"/>
        <w:numPr>
          <w:ilvl w:val="0"/>
          <w:numId w:val="10"/>
        </w:numPr>
      </w:pPr>
      <w:r>
        <w:rPr>
          <w:b/>
        </w:rPr>
        <w:t xml:space="preserve">Offsetting income.</w:t>
      </w:r>
      <w:r>
        <w:t xml:space="preserve"> If partners buy pilot units at an average of KES 8,000, that returns KES 400,000; treat it as a test of willingness to pay, not as a given.</w:t>
      </w:r>
    </w:p>
    <w:p>
      <w:pPr>
        <w:pStyle w:val="ListParagraph"/>
        <w:numPr>
          <w:ilvl w:val="0"/>
          <w:numId w:val="10"/>
        </w:numPr>
      </w:pPr>
      <w:r>
        <w:rPr>
          <w:b/>
        </w:rPr>
        <w:t xml:space="preserve">Quality gate.</w:t>
      </w:r>
      <w:r>
        <w:t xml:space="preserve"> No device goes to a user until it passes the internal load and test checklist and clinical sign-off.</w:t>
      </w:r>
    </w:p>
    <w:p>
      <w:pPr>
        <w:pStyle w:val="ListParagraph"/>
        <w:numPr>
          <w:ilvl w:val="0"/>
          <w:numId w:val="10"/>
        </w:numPr>
      </w:pPr>
      <w:r>
        <w:rPr>
          <w:b/>
        </w:rPr>
        <w:t xml:space="preserve">Measurement timing.</w:t>
      </w:r>
      <w:r>
        <w:t xml:space="preserve"> Devices delivered in weeks 9-12 cannot show 3-month use inside the 90 days. Plan follow-up to day 180 and fund it.</w:t>
      </w:r>
    </w:p>
    <w:p>
      <w:pPr/>
      <w:r>
        <w:rPr>
          <w:b/>
        </w:rPr>
        <w:t xml:space="preserve">Pilot success criteria.</w:t>
      </w:r>
      <w:r>
        <w:t xml:space="preserve"> At least 80% of delivered devices in use at 3 months (measured after day 90); no serious adverse event; at least two institutional repeat-order signals; at least 20 care-plan sign-ups; a documented unit cost for every product; and 100% of devices with a passport and QA record on the platform.</w:t>
      </w:r>
    </w:p>
    <w:p>
      <w:pPr>
        <w:pStyle w:val="Heading2"/>
      </w:pPr>
      <w:r>
        <w:t xml:space="preserve">13. Viability and sustainability</w:t>
      </w:r>
    </w:p>
    <w:p>
      <w:pPr>
        <w:pStyle w:val="Heading3"/>
      </w:pPr>
      <w:r>
        <w:t xml:space="preserve">13.1 Viability assessment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Assessment</w:t>
            </w:r>
          </w:p>
        </w:tc>
        <w:tc>
          <w:tcPr>
            <w:tcW w:w="3120" w:type="dxa"/>
            <w:shd w:val="clear" w:color="auto" w:fill="F2F2F2"/>
          </w:tcPr>
          <w:p>
            <w:pPr/>
            <w:r>
              <w:t xml:space="preserve">Why</w:t>
            </w:r>
          </w:p>
        </w:tc>
      </w:tr>
      <w:tr>
        <w:tc>
          <w:tcPr>
            <w:tcW w:w="3120" w:type="dxa"/>
          </w:tcPr>
          <w:p>
            <w:pPr/>
            <w:r>
              <w:t xml:space="preserve">Desirability (need)</w:t>
            </w:r>
          </w:p>
        </w:tc>
        <w:tc>
          <w:tcPr>
            <w:tcW w:w="3120" w:type="dxa"/>
          </w:tcPr>
          <w:p>
            <w:pPr/>
            <w:r>
              <w:rPr>
                <w:b/>
              </w:rPr>
              <w:t xml:space="preserve">Strong</w:t>
            </w:r>
          </w:p>
        </w:tc>
        <w:tc>
          <w:tcPr>
            <w:tcW w:w="3120" w:type="dxa"/>
          </w:tcPr>
          <w:p>
            <w:pPr/>
            <w:r>
              <w:t xml:space="preserve">Large unmet need; the Ministry quantifies a 550,000 wheelchair gap and plans a government-led service ✅; clear failure of donation-only models</w:t>
            </w:r>
          </w:p>
        </w:tc>
      </w:tr>
      <w:tr>
        <w:tc>
          <w:tcPr>
            <w:tcW w:w="3120" w:type="dxa"/>
          </w:tcPr>
          <w:p>
            <w:pPr/>
            <w:r>
              <w:t xml:space="preserve">Technical feasibility</w:t>
            </w:r>
          </w:p>
        </w:tc>
        <w:tc>
          <w:tcPr>
            <w:tcW w:w="3120" w:type="dxa"/>
          </w:tcPr>
          <w:p>
            <w:pPr/>
            <w:r>
              <w:rPr>
                <w:b/>
              </w:rPr>
              <w:t xml:space="preserve">Good for Tier 1; moderate for Tier 2; early for Tier 3</w:t>
            </w:r>
          </w:p>
        </w:tc>
        <w:tc>
          <w:tcPr>
            <w:tcW w:w="3120" w:type="dxa"/>
          </w:tcPr>
          <w:p>
            <w:pPr/>
            <w:r>
              <w:t xml:space="preserve">Fabrication and printing exist locally; testing and clinical capability must be built or partnered</w:t>
            </w:r>
          </w:p>
        </w:tc>
      </w:tr>
      <w:tr>
        <w:tc>
          <w:tcPr>
            <w:tcW w:w="3120" w:type="dxa"/>
          </w:tcPr>
          <w:p>
            <w:pPr/>
            <w:r>
              <w:t xml:space="preserve">Commercial viability</w:t>
            </w:r>
          </w:p>
        </w:tc>
        <w:tc>
          <w:tcPr>
            <w:tcW w:w="3120" w:type="dxa"/>
          </w:tcPr>
          <w:p>
            <w:pPr/>
            <w:r>
              <w:rPr>
                <w:b/>
              </w:rPr>
              <w:t xml:space="preserve">Moderate, conditional</w:t>
            </w:r>
          </w:p>
        </w:tc>
        <w:tc>
          <w:tcPr>
            <w:tcW w:w="3120" w:type="dxa"/>
          </w:tcPr>
          <w:p>
            <w:pPr/>
            <w:r>
              <w:t xml:space="preserve">Low ability to pay; payer prices for basic devices are low; reliance on institutions and grants; thin margins at low volume</w:t>
            </w:r>
          </w:p>
        </w:tc>
      </w:tr>
      <w:tr>
        <w:tc>
          <w:tcPr>
            <w:tcW w:w="3120" w:type="dxa"/>
          </w:tcPr>
          <w:p>
            <w:pPr/>
            <w:r>
              <w:t xml:space="preserve">Regulatory risk</w:t>
            </w:r>
          </w:p>
        </w:tc>
        <w:tc>
          <w:tcPr>
            <w:tcW w:w="3120" w:type="dxa"/>
          </w:tcPr>
          <w:p>
            <w:pPr/>
            <w:r>
              <w:rPr>
                <w:b/>
              </w:rPr>
              <w:t xml:space="preserve">Moderate to high for O&amp;P and software</w:t>
            </w:r>
          </w:p>
        </w:tc>
        <w:tc>
          <w:tcPr>
            <w:tcW w:w="3120" w:type="dxa"/>
          </w:tcPr>
          <w:p>
            <w:pPr/>
            <w:r>
              <w:t xml:space="preserve">Custom-device classification, PPB certification for tenders and software guidance still evolving</w:t>
            </w:r>
          </w:p>
        </w:tc>
      </w:tr>
      <w:tr>
        <w:tc>
          <w:tcPr>
            <w:tcW w:w="3120" w:type="dxa"/>
          </w:tcPr>
          <w:p>
            <w:pPr/>
            <w:r>
              <w:t xml:space="preserve">Funding environment</w:t>
            </w:r>
          </w:p>
        </w:tc>
        <w:tc>
          <w:tcPr>
            <w:tcW w:w="3120" w:type="dxa"/>
          </w:tcPr>
          <w:p>
            <w:pPr/>
            <w:r>
              <w:rPr>
                <w:b/>
              </w:rPr>
              <w:t xml:space="preserve">Mixed</w:t>
            </w:r>
          </w:p>
        </w:tc>
        <w:tc>
          <w:tcPr>
            <w:tcW w:w="3120" w:type="dxa"/>
          </w:tcPr>
          <w:p>
            <w:pPr/>
            <w:r>
              <w:t xml:space="preserve">New AT-specific funds exist but are small and digital-leaning; USAID-era funding is gone</w:t>
            </w:r>
          </w:p>
        </w:tc>
      </w:tr>
      <w:tr>
        <w:tc>
          <w:tcPr>
            <w:tcW w:w="3120" w:type="dxa"/>
          </w:tcPr>
          <w:p>
            <w:pPr/>
            <w:r>
              <w:t xml:space="preserve">Team readiness</w:t>
            </w:r>
          </w:p>
        </w:tc>
        <w:tc>
          <w:tcPr>
            <w:tcW w:w="3120" w:type="dxa"/>
          </w:tcPr>
          <w:p>
            <w:pPr/>
            <w:r>
              <w:rPr>
                <w:b/>
              </w:rPr>
              <w:t xml:space="preserve">Gap</w:t>
            </w:r>
          </w:p>
        </w:tc>
        <w:tc>
          <w:tcPr>
            <w:tcW w:w="3120" w:type="dxa"/>
          </w:tcPr>
          <w:p>
            <w:pPr/>
            <w:r>
              <w:t xml:space="preserve">Strong software, CAD and business skills; needs clinical, manufacturing and commercial leaders</w:t>
            </w:r>
          </w:p>
        </w:tc>
      </w:tr>
    </w:tbl>
    <w:p>
      <w:pPr/>
      <w:r>
        <w:rPr>
          <w:b/>
        </w:rPr>
        <w:t xml:space="preserve">Verdict.</w:t>
      </w:r>
      <w:r>
        <w:t xml:space="preserve"> The venture is worth pursuing as a hybrid social enterprise. The research strengthens the demand case but changes the angle: wheelchairs and printed limbs now have local players and a government factory, so a plain "local manufacturer" is not enough. The best-supported route is </w:t>
      </w:r>
      <w:r>
        <w:rPr>
          <w:b/>
        </w:rPr>
        <w:t xml:space="preserve">service-led</w:t>
      </w:r>
      <w:r>
        <w:t xml:space="preserve">: fitting, repair hubs, traceability and outcome data, with a narrow product niche and partnerships. It is not viable as a pure consumer-product business at pilot scale, nor as an AI-first company. </w:t>
      </w:r>
      <w:r>
        <w:rPr>
          <w:b/>
        </w:rPr>
        <w:t xml:space="preserve">Gating items:</w:t>
      </w:r>
      <w:r>
        <w:t xml:space="preserve"> (1) a clinical partner and ethics route; (2) validated cost and price for two or three products against the KES 45,000-80,000 import benchmark; (3) at least one paying institutional buyer; (4) a qualified manufacturing and clinical lead; (5) a clear niche versus Prothea/Ugani and KISE.</w:t>
      </w:r>
    </w:p>
    <w:p>
      <w:pPr>
        <w:pStyle w:val="Heading3"/>
      </w:pPr>
      <w:r>
        <w:t xml:space="preserve">13.2 Sustainability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Risk</w:t>
            </w:r>
          </w:p>
        </w:tc>
        <w:tc>
          <w:tcPr>
            <w:tcW w:w="3120" w:type="dxa"/>
            <w:shd w:val="clear" w:color="auto" w:fill="F2F2F2"/>
          </w:tcPr>
          <w:p>
            <w:pPr/>
            <w:r>
              <w:t xml:space="preserve">What makes it durable</w:t>
            </w:r>
          </w:p>
        </w:tc>
      </w:tr>
      <w:tr>
        <w:tc>
          <w:tcPr>
            <w:tcW w:w="3120" w:type="dxa"/>
          </w:tcPr>
          <w:p>
            <w:pPr/>
            <w:r>
              <w:t xml:space="preserve">Financial</w:t>
            </w:r>
          </w:p>
        </w:tc>
        <w:tc>
          <w:tcPr>
            <w:tcW w:w="3120" w:type="dxa"/>
          </w:tcPr>
          <w:p>
            <w:pPr/>
            <w:r>
              <w:t xml:space="preserve">Grant dependence; slow government payment</w:t>
            </w:r>
          </w:p>
        </w:tc>
        <w:tc>
          <w:tcPr>
            <w:tcW w:w="3120" w:type="dxa"/>
          </w:tcPr>
          <w:p>
            <w:pPr/>
            <w:r>
              <w:t xml:space="preserve">Diversified payers; target 60%+ earned revenue by Year 3-4; milestone payments; working-capital facility; recurring care-plan revenue</w:t>
            </w:r>
          </w:p>
        </w:tc>
      </w:tr>
      <w:tr>
        <w:tc>
          <w:tcPr>
            <w:tcW w:w="3120" w:type="dxa"/>
          </w:tcPr>
          <w:p>
            <w:pPr/>
            <w:r>
              <w:t xml:space="preserve">Operational</w:t>
            </w:r>
          </w:p>
        </w:tc>
        <w:tc>
          <w:tcPr>
            <w:tcW w:w="3120" w:type="dxa"/>
          </w:tcPr>
          <w:p>
            <w:pPr/>
            <w:r>
              <w:t xml:space="preserve">Key-person risk; quality drift as volume grows</w:t>
            </w:r>
          </w:p>
        </w:tc>
        <w:tc>
          <w:tcPr>
            <w:tcW w:w="3120" w:type="dxa"/>
          </w:tcPr>
          <w:p>
            <w:pPr/>
            <w:r>
              <w:t xml:space="preserve">SOPs, apprenticeships, certified repair partners, QA audits, franchise manual</w:t>
            </w:r>
          </w:p>
        </w:tc>
      </w:tr>
      <w:tr>
        <w:tc>
          <w:tcPr>
            <w:tcW w:w="3120" w:type="dxa"/>
          </w:tcPr>
          <w:p>
            <w:pPr/>
            <w:r>
              <w:t xml:space="preserve">Clinical and social</w:t>
            </w:r>
          </w:p>
        </w:tc>
        <w:tc>
          <w:tcPr>
            <w:tcW w:w="3120" w:type="dxa"/>
          </w:tcPr>
          <w:p>
            <w:pPr/>
            <w:r>
              <w:t xml:space="preserve">Low adoption, stigma, abandonment</w:t>
            </w:r>
          </w:p>
        </w:tc>
        <w:tc>
          <w:tcPr>
            <w:tcW w:w="3120" w:type="dxa"/>
          </w:tcPr>
          <w:p>
            <w:pPr/>
            <w:r>
              <w:t xml:space="preserve">Co-design with users, peer champions, follow-up, training</w:t>
            </w:r>
          </w:p>
        </w:tc>
      </w:tr>
      <w:tr>
        <w:tc>
          <w:tcPr>
            <w:tcW w:w="3120" w:type="dxa"/>
          </w:tcPr>
          <w:p>
            <w:pPr/>
            <w:r>
              <w:t xml:space="preserve">Technological</w:t>
            </w:r>
          </w:p>
        </w:tc>
        <w:tc>
          <w:tcPr>
            <w:tcW w:w="3120" w:type="dxa"/>
          </w:tcPr>
          <w:p>
            <w:pPr/>
            <w:r>
              <w:t xml:space="preserve">Tool obsolescence; connectivity limits; AI model drift</w:t>
            </w:r>
          </w:p>
        </w:tc>
        <w:tc>
          <w:tcPr>
            <w:tcW w:w="3120" w:type="dxa"/>
          </w:tcPr>
          <w:p>
            <w:pPr/>
            <w:r>
              <w:t xml:space="preserve">Open designs, offline-first software, low-tech fallback, versioned models</w:t>
            </w:r>
          </w:p>
        </w:tc>
      </w:tr>
      <w:tr>
        <w:tc>
          <w:tcPr>
            <w:tcW w:w="3120" w:type="dxa"/>
          </w:tcPr>
          <w:p>
            <w:pPr/>
            <w:r>
              <w:t xml:space="preserve">Environmental</w:t>
            </w:r>
          </w:p>
        </w:tc>
        <w:tc>
          <w:tcPr>
            <w:tcW w:w="3120" w:type="dxa"/>
          </w:tcPr>
          <w:p>
            <w:pPr/>
            <w:r>
              <w:t xml:space="preserve">Plastic waste from printing; metal offcuts</w:t>
            </w:r>
          </w:p>
        </w:tc>
        <w:tc>
          <w:tcPr>
            <w:tcW w:w="3120" w:type="dxa"/>
          </w:tcPr>
          <w:p>
            <w:pPr/>
            <w:r>
              <w:t xml:space="preserve">Recycle failed prints, recycled or bio-based filament where durable, take-back and refurbishment of old chairs, repair-first design</w:t>
            </w:r>
          </w:p>
        </w:tc>
      </w:tr>
      <w:tr>
        <w:tc>
          <w:tcPr>
            <w:tcW w:w="3120" w:type="dxa"/>
          </w:tcPr>
          <w:p>
            <w:pPr/>
            <w:r>
              <w:t xml:space="preserve">Institutional</w:t>
            </w:r>
          </w:p>
        </w:tc>
        <w:tc>
          <w:tcPr>
            <w:tcW w:w="3120" w:type="dxa"/>
          </w:tcPr>
          <w:p>
            <w:pPr/>
            <w:r>
              <w:t xml:space="preserve">Policy shifts, procurement changes</w:t>
            </w:r>
          </w:p>
        </w:tc>
        <w:tc>
          <w:tcPr>
            <w:tcW w:w="3120" w:type="dxa"/>
          </w:tcPr>
          <w:p>
            <w:pPr/>
            <w:r>
              <w:t xml:space="preserve">Early alignment with MoH and KEMSA specifications, county MoUs, published evidence</w:t>
            </w:r>
          </w:p>
        </w:tc>
      </w:tr>
      <w:tr>
        <w:tc>
          <w:tcPr>
            <w:tcW w:w="3120" w:type="dxa"/>
          </w:tcPr>
          <w:p>
            <w:pPr/>
            <w:r>
              <w:t xml:space="preserve">Ethical and data</w:t>
            </w:r>
          </w:p>
        </w:tc>
        <w:tc>
          <w:tcPr>
            <w:tcW w:w="3120" w:type="dxa"/>
          </w:tcPr>
          <w:p>
            <w:pPr/>
            <w:r>
              <w:t xml:space="preserve">Misuse of health data; algorithmic bias</w:t>
            </w:r>
          </w:p>
        </w:tc>
        <w:tc>
          <w:tcPr>
            <w:tcW w:w="3120" w:type="dxa"/>
          </w:tcPr>
          <w:p>
            <w:pPr/>
            <w:r>
              <w:t xml:space="preserve">Consent, minimal data, Kenyan hosting, clinician in the loop, periodic bias review</w:t>
            </w:r>
          </w:p>
        </w:tc>
      </w:tr>
    </w:tbl>
    <w:p>
      <w:pPr/>
      <w:r>
        <w:rPr>
          <w:b/>
        </w:rPr>
        <w:t xml:space="preserve">Long-term vision.</w:t>
      </w:r>
      <w:r>
        <w:t xml:space="preserve"> Become the regional service-and-data layer for assistive technology (certified local repairers, device passport, outcome data for payers), with manufacture shared across hubs and partners. This is more defensible than being only a device maker.</w:t>
      </w:r>
    </w:p>
    <w:p>
      <w:pPr>
        <w:pStyle w:val="Heading2"/>
      </w:pPr>
      <w:r>
        <w:t xml:space="preserve">14. Risk register (venture)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Device failure causes injury</w:t>
            </w:r>
          </w:p>
        </w:tc>
        <w:tc>
          <w:tcPr>
            <w:tcW w:w="2340" w:type="dxa"/>
          </w:tcPr>
          <w:p>
            <w:pPr/>
            <w:r>
              <w:t xml:space="preserve">Medium</w:t>
            </w:r>
          </w:p>
        </w:tc>
        <w:tc>
          <w:tcPr>
            <w:tcW w:w="2340" w:type="dxa"/>
          </w:tcPr>
          <w:p>
            <w:pPr/>
            <w:r>
              <w:t xml:space="preserve">High</w:t>
            </w:r>
          </w:p>
        </w:tc>
        <w:tc>
          <w:tcPr>
            <w:tcW w:w="2340" w:type="dxa"/>
          </w:tcPr>
          <w:p>
            <w:pPr/>
            <w:r>
              <w:t xml:space="preserve">Test rig, clinical sign-off, insurance, batch traceability, recall plan</w:t>
            </w:r>
          </w:p>
        </w:tc>
      </w:tr>
      <w:tr>
        <w:tc>
          <w:tcPr>
            <w:tcW w:w="2340" w:type="dxa"/>
          </w:tcPr>
          <w:p>
            <w:pPr/>
            <w:r>
              <w:t xml:space="preserve">No regulatory clarity or long PPB timelines</w:t>
            </w:r>
          </w:p>
        </w:tc>
        <w:tc>
          <w:tcPr>
            <w:tcW w:w="2340" w:type="dxa"/>
          </w:tcPr>
          <w:p>
            <w:pPr/>
            <w:r>
              <w:t xml:space="preserve">Medium-High</w:t>
            </w:r>
          </w:p>
        </w:tc>
        <w:tc>
          <w:tcPr>
            <w:tcW w:w="2340" w:type="dxa"/>
          </w:tcPr>
          <w:p>
            <w:pPr/>
            <w:r>
              <w:t xml:space="preserve">High</w:t>
            </w:r>
          </w:p>
        </w:tc>
        <w:tc>
          <w:tcPr>
            <w:tcW w:w="2340" w:type="dxa"/>
          </w:tcPr>
          <w:p>
            <w:pPr/>
            <w:r>
              <w:t xml:space="preserve">Written enquiries; clinician-supervised custom-device route; start tender-product registration early</w:t>
            </w:r>
          </w:p>
        </w:tc>
      </w:tr>
      <w:tr>
        <w:tc>
          <w:tcPr>
            <w:tcW w:w="2340" w:type="dxa"/>
          </w:tcPr>
          <w:p>
            <w:pPr/>
            <w:r>
              <w:t xml:space="preserve">Payers delay or default</w:t>
            </w:r>
          </w:p>
        </w:tc>
        <w:tc>
          <w:tcPr>
            <w:tcW w:w="2340" w:type="dxa"/>
          </w:tcPr>
          <w:p>
            <w:pPr/>
            <w:r>
              <w:t xml:space="preserve">High</w:t>
            </w:r>
          </w:p>
        </w:tc>
        <w:tc>
          <w:tcPr>
            <w:tcW w:w="2340" w:type="dxa"/>
          </w:tcPr>
          <w:p>
            <w:pPr/>
            <w:r>
              <w:t xml:space="preserve">High</w:t>
            </w:r>
          </w:p>
        </w:tc>
        <w:tc>
          <w:tcPr>
            <w:tcW w:w="2340" w:type="dxa"/>
          </w:tcPr>
          <w:p>
            <w:pPr/>
            <w:r>
              <w:t xml:space="preserve">Milestone billing, deposits, diversified buyers, receivables financing</w:t>
            </w:r>
          </w:p>
        </w:tc>
      </w:tr>
      <w:tr>
        <w:tc>
          <w:tcPr>
            <w:tcW w:w="2340" w:type="dxa"/>
          </w:tcPr>
          <w:p>
            <w:pPr/>
            <w:r>
              <w:t xml:space="preserve">Public tariffs below cost (SHA, tenders)</w:t>
            </w:r>
          </w:p>
        </w:tc>
        <w:tc>
          <w:tcPr>
            <w:tcW w:w="2340" w:type="dxa"/>
          </w:tcPr>
          <w:p>
            <w:pPr/>
            <w:r>
              <w:t xml:space="preserve">High</w:t>
            </w:r>
          </w:p>
        </w:tc>
        <w:tc>
          <w:tcPr>
            <w:tcW w:w="2340" w:type="dxa"/>
          </w:tcPr>
          <w:p>
            <w:pPr/>
            <w:r>
              <w:t xml:space="preserve">Medium-High</w:t>
            </w:r>
          </w:p>
        </w:tc>
        <w:tc>
          <w:tcPr>
            <w:tcW w:w="2340" w:type="dxa"/>
          </w:tcPr>
          <w:p>
            <w:pPr/>
            <w:r>
              <w:t xml:space="preserve">Cost-based pricing floor; decline loss-making business; negotiate service bundles</w:t>
            </w:r>
          </w:p>
        </w:tc>
      </w:tr>
      <w:tr>
        <w:tc>
          <w:tcPr>
            <w:tcW w:w="2340" w:type="dxa"/>
          </w:tcPr>
          <w:p>
            <w:pPr/>
            <w:r>
              <w:t xml:space="preserve">Funding shortfall (donor shifts)</w:t>
            </w:r>
          </w:p>
        </w:tc>
        <w:tc>
          <w:tcPr>
            <w:tcW w:w="2340" w:type="dxa"/>
          </w:tcPr>
          <w:p>
            <w:pPr/>
            <w:r>
              <w:t xml:space="preserve">High</w:t>
            </w:r>
          </w:p>
        </w:tc>
        <w:tc>
          <w:tcPr>
            <w:tcW w:w="2340" w:type="dxa"/>
          </w:tcPr>
          <w:p>
            <w:pPr/>
            <w:r>
              <w:t xml:space="preserve">High</w:t>
            </w:r>
          </w:p>
        </w:tc>
        <w:tc>
          <w:tcPr>
            <w:tcW w:w="2340" w:type="dxa"/>
          </w:tcPr>
          <w:p>
            <w:pPr/>
            <w:r>
              <w:t xml:space="preserve">Multiple funders, earned revenue, lean costs, 9-12 months of runway</w:t>
            </w:r>
          </w:p>
        </w:tc>
      </w:tr>
      <w:tr>
        <w:tc>
          <w:tcPr>
            <w:tcW w:w="2340" w:type="dxa"/>
          </w:tcPr>
          <w:p>
            <w:pPr/>
            <w:r>
              <w:t xml:space="preserve">Low household willingness to pay</w:t>
            </w:r>
          </w:p>
        </w:tc>
        <w:tc>
          <w:tcPr>
            <w:tcW w:w="2340" w:type="dxa"/>
          </w:tcPr>
          <w:p>
            <w:pPr/>
            <w:r>
              <w:t xml:space="preserve">High</w:t>
            </w:r>
          </w:p>
        </w:tc>
        <w:tc>
          <w:tcPr>
            <w:tcW w:w="2340" w:type="dxa"/>
          </w:tcPr>
          <w:p>
            <w:pPr/>
            <w:r>
              <w:t xml:space="preserve">Medium</w:t>
            </w:r>
          </w:p>
        </w:tc>
        <w:tc>
          <w:tcPr>
            <w:tcW w:w="2340" w:type="dxa"/>
          </w:tcPr>
          <w:p>
            <w:pPr/>
            <w:r>
              <w:t xml:space="preserve">Tiered subsidy, instalments, sponsor-a-device, institutional focus</w:t>
            </w:r>
          </w:p>
        </w:tc>
      </w:tr>
      <w:tr>
        <w:tc>
          <w:tcPr>
            <w:tcW w:w="2340" w:type="dxa"/>
          </w:tcPr>
          <w:p>
            <w:pPr/>
            <w:r>
              <w:t xml:space="preserve">Government factory and NGOs compress prices</w:t>
            </w:r>
          </w:p>
        </w:tc>
        <w:tc>
          <w:tcPr>
            <w:tcW w:w="2340" w:type="dxa"/>
          </w:tcPr>
          <w:p>
            <w:pPr/>
            <w:r>
              <w:t xml:space="preserve">Medium</w:t>
            </w:r>
          </w:p>
        </w:tc>
        <w:tc>
          <w:tcPr>
            <w:tcW w:w="2340" w:type="dxa"/>
          </w:tcPr>
          <w:p>
            <w:pPr/>
            <w:r>
              <w:t xml:space="preserve">Medium</w:t>
            </w:r>
          </w:p>
        </w:tc>
        <w:tc>
          <w:tcPr>
            <w:tcW w:w="2340" w:type="dxa"/>
          </w:tcPr>
          <w:p>
            <w:pPr/>
            <w:r>
              <w:t xml:space="preserve">Differentiate on fit, service, data and speed; partner</w:t>
            </w:r>
          </w:p>
        </w:tc>
      </w:tr>
      <w:tr>
        <w:tc>
          <w:tcPr>
            <w:tcW w:w="2340" w:type="dxa"/>
          </w:tcPr>
          <w:p>
            <w:pPr/>
            <w:r>
              <w:t xml:space="preserve">Credit-licensing exposure on instalments</w:t>
            </w:r>
          </w:p>
        </w:tc>
        <w:tc>
          <w:tcPr>
            <w:tcW w:w="2340" w:type="dxa"/>
          </w:tcPr>
          <w:p>
            <w:pPr/>
            <w:r>
              <w:t xml:space="preserve">Medium</w:t>
            </w:r>
          </w:p>
        </w:tc>
        <w:tc>
          <w:tcPr>
            <w:tcW w:w="2340" w:type="dxa"/>
          </w:tcPr>
          <w:p>
            <w:pPr/>
            <w:r>
              <w:t xml:space="preserve">Medium-High</w:t>
            </w:r>
          </w:p>
        </w:tc>
        <w:tc>
          <w:tcPr>
            <w:tcW w:w="2340" w:type="dxa"/>
          </w:tcPr>
          <w:p>
            <w:pPr/>
            <w:r>
              <w:t xml:space="preserve">Legal opinion; deposits and third-party financing</w:t>
            </w:r>
          </w:p>
        </w:tc>
      </w:tr>
      <w:tr>
        <w:tc>
          <w:tcPr>
            <w:tcW w:w="2340" w:type="dxa"/>
          </w:tcPr>
          <w:p>
            <w:pPr/>
            <w:r>
              <w:t xml:space="preserve">Raw material price and FX swings</w:t>
            </w:r>
          </w:p>
        </w:tc>
        <w:tc>
          <w:tcPr>
            <w:tcW w:w="2340" w:type="dxa"/>
          </w:tcPr>
          <w:p>
            <w:pPr/>
            <w:r>
              <w:t xml:space="preserve">Medium</w:t>
            </w:r>
          </w:p>
        </w:tc>
        <w:tc>
          <w:tcPr>
            <w:tcW w:w="2340" w:type="dxa"/>
          </w:tcPr>
          <w:p>
            <w:pPr/>
            <w:r>
              <w:t xml:space="preserve">Medium</w:t>
            </w:r>
          </w:p>
        </w:tc>
        <w:tc>
          <w:tcPr>
            <w:tcW w:w="2340" w:type="dxa"/>
          </w:tcPr>
          <w:p>
            <w:pPr/>
            <w:r>
              <w:t xml:space="preserve">Dual sourcing, local steel, price pass-through clauses</w:t>
            </w:r>
          </w:p>
        </w:tc>
      </w:tr>
      <w:tr>
        <w:tc>
          <w:tcPr>
            <w:tcW w:w="2340" w:type="dxa"/>
          </w:tcPr>
          <w:p>
            <w:pPr/>
            <w:r>
              <w:t xml:space="preserve">Skills shortage</w:t>
            </w:r>
          </w:p>
        </w:tc>
        <w:tc>
          <w:tcPr>
            <w:tcW w:w="2340" w:type="dxa"/>
          </w:tcPr>
          <w:p>
            <w:pPr/>
            <w:r>
              <w:t xml:space="preserve">Medium</w:t>
            </w:r>
          </w:p>
        </w:tc>
        <w:tc>
          <w:tcPr>
            <w:tcW w:w="2340" w:type="dxa"/>
          </w:tcPr>
          <w:p>
            <w:pPr/>
            <w:r>
              <w:t xml:space="preserve">Medium</w:t>
            </w:r>
          </w:p>
        </w:tc>
        <w:tc>
          <w:tcPr>
            <w:tcW w:w="2340" w:type="dxa"/>
          </w:tcPr>
          <w:p>
            <w:pPr/>
            <w:r>
              <w:t xml:space="preserve">Apprenticeships, KMTC and polytechnic partnerships</w:t>
            </w:r>
          </w:p>
        </w:tc>
      </w:tr>
      <w:tr>
        <w:tc>
          <w:tcPr>
            <w:tcW w:w="2340" w:type="dxa"/>
          </w:tcPr>
          <w:p>
            <w:pPr/>
            <w:r>
              <w:t xml:space="preserve">Power and connectivity outages</w:t>
            </w:r>
          </w:p>
        </w:tc>
        <w:tc>
          <w:tcPr>
            <w:tcW w:w="2340" w:type="dxa"/>
          </w:tcPr>
          <w:p>
            <w:pPr/>
            <w:r>
              <w:t xml:space="preserve">High</w:t>
            </w:r>
          </w:p>
        </w:tc>
        <w:tc>
          <w:tcPr>
            <w:tcW w:w="2340" w:type="dxa"/>
          </w:tcPr>
          <w:p>
            <w:pPr/>
            <w:r>
              <w:t xml:space="preserve">Low-Medium</w:t>
            </w:r>
          </w:p>
        </w:tc>
        <w:tc>
          <w:tcPr>
            <w:tcW w:w="2340" w:type="dxa"/>
          </w:tcPr>
          <w:p>
            <w:pPr/>
            <w:r>
              <w:t xml:space="preserve">Backup power, offline-first tools</w:t>
            </w:r>
          </w:p>
        </w:tc>
      </w:tr>
      <w:tr>
        <w:tc>
          <w:tcPr>
            <w:tcW w:w="2340" w:type="dxa"/>
          </w:tcPr>
          <w:p>
            <w:pPr/>
            <w:r>
              <w:t xml:space="preserve">Data breach or localisation breach</w:t>
            </w:r>
          </w:p>
        </w:tc>
        <w:tc>
          <w:tcPr>
            <w:tcW w:w="2340" w:type="dxa"/>
          </w:tcPr>
          <w:p>
            <w:pPr/>
            <w:r>
              <w:t xml:space="preserve">Low-Medium</w:t>
            </w:r>
          </w:p>
        </w:tc>
        <w:tc>
          <w:tcPr>
            <w:tcW w:w="2340" w:type="dxa"/>
          </w:tcPr>
          <w:p>
            <w:pPr/>
            <w:r>
              <w:t xml:space="preserve">High</w:t>
            </w:r>
          </w:p>
        </w:tc>
        <w:tc>
          <w:tcPr>
            <w:tcW w:w="2340" w:type="dxa"/>
          </w:tcPr>
          <w:p>
            <w:pPr/>
            <w:r>
              <w:t xml:space="preserve">Access control, encryption, Kenyan hosting, DPIA</w:t>
            </w:r>
          </w:p>
        </w:tc>
      </w:tr>
      <w:tr>
        <w:tc>
          <w:tcPr>
            <w:tcW w:w="2340" w:type="dxa"/>
          </w:tcPr>
          <w:p>
            <w:pPr/>
            <w:r>
              <w:t xml:space="preserve">Messaging cost growth</w:t>
            </w:r>
          </w:p>
        </w:tc>
        <w:tc>
          <w:tcPr>
            <w:tcW w:w="2340" w:type="dxa"/>
          </w:tcPr>
          <w:p>
            <w:pPr/>
            <w:r>
              <w:t xml:space="preserve">Medium</w:t>
            </w:r>
          </w:p>
        </w:tc>
        <w:tc>
          <w:tcPr>
            <w:tcW w:w="2340" w:type="dxa"/>
          </w:tcPr>
          <w:p>
            <w:pPr/>
            <w:r>
              <w:t xml:space="preserve">Low-Medium</w:t>
            </w:r>
          </w:p>
        </w:tc>
        <w:tc>
          <w:tcPr>
            <w:tcW w:w="2340" w:type="dxa"/>
          </w:tcPr>
          <w:p>
            <w:pPr/>
            <w:r>
              <w:t xml:space="preserve">Use USSD, SMS and PWA; template discipline</w:t>
            </w:r>
          </w:p>
        </w:tc>
      </w:tr>
      <w:tr>
        <w:tc>
          <w:tcPr>
            <w:tcW w:w="2340" w:type="dxa"/>
          </w:tcPr>
          <w:p>
            <w:pPr/>
            <w:r>
              <w:t xml:space="preserve">Software classified as a medical device</w:t>
            </w:r>
          </w:p>
        </w:tc>
        <w:tc>
          <w:tcPr>
            <w:tcW w:w="2340" w:type="dxa"/>
          </w:tcPr>
          <w:p>
            <w:pPr/>
            <w:r>
              <w:t xml:space="preserve">Medium</w:t>
            </w:r>
          </w:p>
        </w:tc>
        <w:tc>
          <w:tcPr>
            <w:tcW w:w="2340" w:type="dxa"/>
          </w:tcPr>
          <w:p>
            <w:pPr/>
            <w:r>
              <w:t xml:space="preserve">Medium-High</w:t>
            </w:r>
          </w:p>
        </w:tc>
        <w:tc>
          <w:tcPr>
            <w:tcW w:w="2340" w:type="dxa"/>
          </w:tcPr>
          <w:p>
            <w:pPr/>
            <w:r>
              <w:t xml:space="preserve">Keep clinical decisions human; early PPB conversation</w:t>
            </w:r>
          </w:p>
        </w:tc>
      </w:tr>
    </w:tbl>
    <w:p>
      <w:pPr>
        <w:pStyle w:val="Heading2"/>
      </w:pPr>
      <w:r>
        <w:t xml:space="preserve">15. Funding strategy</w:t>
      </w:r>
    </w:p>
    <w:p>
      <w:pPr/>
      <w:r>
        <w:rPr>
          <w:b/>
        </w:rPr>
        <w:t xml:space="preserve">Reality check.</w:t>
      </w:r>
      <w:r>
        <w:t xml:space="preserve"> USAID is not a base-case funder. ATscale received a USAID termination letter on 27 February 2025 and reported a shortfall of about USD 7 million ✅; UK aid cuts are also flagged as a pressure [V].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Funder or programme</w:t>
            </w:r>
          </w:p>
        </w:tc>
        <w:tc>
          <w:tcPr>
            <w:tcW w:w="2340" w:type="dxa"/>
            <w:shd w:val="clear" w:color="auto" w:fill="F2F2F2"/>
          </w:tcPr>
          <w:p>
            <w:pPr/>
            <w:r>
              <w:t xml:space="preserve">Fit</w:t>
            </w:r>
          </w:p>
        </w:tc>
        <w:tc>
          <w:tcPr>
            <w:tcW w:w="2340" w:type="dxa"/>
            <w:shd w:val="clear" w:color="auto" w:fill="F2F2F2"/>
          </w:tcPr>
          <w:p>
            <w:pPr/>
            <w:r>
              <w:t xml:space="preserve">Instrument</w:t>
            </w:r>
          </w:p>
        </w:tc>
        <w:tc>
          <w:tcPr>
            <w:tcW w:w="2340" w:type="dxa"/>
            <w:shd w:val="clear" w:color="auto" w:fill="F2F2F2"/>
          </w:tcPr>
          <w:p>
            <w:pPr/>
            <w:r>
              <w:t xml:space="preserve">Next step</w:t>
            </w:r>
          </w:p>
        </w:tc>
      </w:tr>
      <w:tr>
        <w:tc>
          <w:tcPr>
            <w:tcW w:w="2340" w:type="dxa"/>
          </w:tcPr>
          <w:p>
            <w:pPr/>
            <w:r>
              <w:t xml:space="preserve">AT4D Momentous Pilot Fund (with the Judith Neilson Foundation)</w:t>
            </w:r>
          </w:p>
        </w:tc>
        <w:tc>
          <w:tcPr>
            <w:tcW w:w="2340" w:type="dxa"/>
          </w:tcPr>
          <w:p>
            <w:pPr/>
            <w:r>
              <w:t xml:space="preserve">Up to five early-stage African AT ventures; announced at USD 500,000 and later reported as USD 650,000; emphasis on digital solutions for mobility, communication, education, independent living and accessibility ✅</w:t>
            </w:r>
          </w:p>
        </w:tc>
        <w:tc>
          <w:tcPr>
            <w:tcW w:w="2340" w:type="dxa"/>
          </w:tcPr>
          <w:p>
            <w:pPr/>
            <w:r>
              <w:t xml:space="preserve">Catalytic investment such as SAFE notes or convertible debt, plus technical support ✅</w:t>
            </w:r>
          </w:p>
        </w:tc>
        <w:tc>
          <w:tcPr>
            <w:tcW w:w="2340" w:type="dxa"/>
          </w:tcPr>
          <w:p>
            <w:pPr/>
            <w:r>
              <w:t xml:space="preserve">Check eligibility and call dates; pitch the platform and the service chain, not the printer</w:t>
            </w:r>
          </w:p>
        </w:tc>
      </w:tr>
      <w:tr>
        <w:tc>
          <w:tcPr>
            <w:tcW w:w="2340" w:type="dxa"/>
          </w:tcPr>
          <w:p>
            <w:pPr/>
            <w:r>
              <w:t xml:space="preserve">AT4D Innovate Now accelerator</w:t>
            </w:r>
          </w:p>
        </w:tc>
        <w:tc>
          <w:tcPr>
            <w:tcW w:w="2340" w:type="dxa"/>
          </w:tcPr>
          <w:p>
            <w:pPr/>
            <w:r>
              <w:t xml:space="preserve">Early-stage AT ventures ✅</w:t>
            </w:r>
          </w:p>
        </w:tc>
        <w:tc>
          <w:tcPr>
            <w:tcW w:w="2340" w:type="dxa"/>
          </w:tcPr>
          <w:p>
            <w:pPr/>
            <w:r>
              <w:t xml:space="preserve">Accelerator support</w:t>
            </w:r>
          </w:p>
        </w:tc>
        <w:tc>
          <w:tcPr>
            <w:tcW w:w="2340" w:type="dxa"/>
          </w:tcPr>
          <w:p>
            <w:pPr/>
            <w:r>
              <w:t xml:space="preserve">Apply for the next cohort [V]</w:t>
            </w:r>
          </w:p>
        </w:tc>
      </w:tr>
      <w:tr>
        <w:tc>
          <w:tcPr>
            <w:tcW w:w="2340" w:type="dxa"/>
          </w:tcPr>
          <w:p>
            <w:pPr/>
            <w:r>
              <w:t xml:space="preserve">Kenya AI for Disability Project (Mastercard Foundation, Qhala, AT4D, KISE, Huawei, UNESCO, others)</w:t>
            </w:r>
          </w:p>
        </w:tc>
        <w:tc>
          <w:tcPr>
            <w:tcW w:w="2340" w:type="dxa"/>
          </w:tcPr>
          <w:p>
            <w:pPr/>
            <w:r>
              <w:t xml:space="preserve">Hybrid-tier partnerships, datasets, inclusive AI ✅</w:t>
            </w:r>
          </w:p>
        </w:tc>
        <w:tc>
          <w:tcPr>
            <w:tcW w:w="2340" w:type="dxa"/>
          </w:tcPr>
          <w:p>
            <w:pPr/>
            <w:r>
              <w:t xml:space="preserve">Partnership and grants</w:t>
            </w:r>
          </w:p>
        </w:tc>
        <w:tc>
          <w:tcPr>
            <w:tcW w:w="2340" w:type="dxa"/>
          </w:tcPr>
          <w:p>
            <w:pPr/>
            <w:r>
              <w:t xml:space="preserve">Offer anonymised, consented outcome data and Swahili content pilots</w:t>
            </w:r>
          </w:p>
        </w:tc>
      </w:tr>
      <w:tr>
        <w:tc>
          <w:tcPr>
            <w:tcW w:w="2340" w:type="dxa"/>
          </w:tcPr>
          <w:p>
            <w:pPr/>
            <w:r>
              <w:t xml:space="preserve">ATscale and CHAI</w:t>
            </w:r>
          </w:p>
        </w:tc>
        <w:tc>
          <w:tcPr>
            <w:tcW w:w="2340" w:type="dxa"/>
          </w:tcPr>
          <w:p>
            <w:pPr/>
            <w:r>
              <w:t xml:space="preserve">Market shaping; pipeline reported as still strong despite USAID loss ✅</w:t>
            </w:r>
          </w:p>
        </w:tc>
        <w:tc>
          <w:tcPr>
            <w:tcW w:w="2340" w:type="dxa"/>
          </w:tcPr>
          <w:p>
            <w:pPr/>
            <w:r>
              <w:t xml:space="preserve">Catalytic and technical support</w:t>
            </w:r>
          </w:p>
        </w:tc>
        <w:tc>
          <w:tcPr>
            <w:tcW w:w="2340" w:type="dxa"/>
          </w:tcPr>
          <w:p>
            <w:pPr/>
            <w:r>
              <w:t xml:space="preserve">Align with KEMSA specifications and service model</w:t>
            </w:r>
          </w:p>
        </w:tc>
      </w:tr>
      <w:tr>
        <w:tc>
          <w:tcPr>
            <w:tcW w:w="2340" w:type="dxa"/>
          </w:tcPr>
          <w:p>
            <w:pPr/>
            <w:r>
              <w:t xml:space="preserve">Health Products and Technologies Local Manufacturing Strategy 2026-2030</w:t>
            </w:r>
          </w:p>
        </w:tc>
        <w:tc>
          <w:tcPr>
            <w:tcW w:w="2340" w:type="dxa"/>
          </w:tcPr>
          <w:p>
            <w:pPr/>
            <w:r>
              <w:t xml:space="preserve">Includes a financing facility for investment in medical devices, with long-term lending and risk-sharing ✅</w:t>
            </w:r>
          </w:p>
        </w:tc>
        <w:tc>
          <w:tcPr>
            <w:tcW w:w="2340" w:type="dxa"/>
          </w:tcPr>
          <w:p>
            <w:pPr/>
            <w:r>
              <w:t xml:space="preserve">Concessional finance</w:t>
            </w:r>
          </w:p>
        </w:tc>
        <w:tc>
          <w:tcPr>
            <w:tcW w:w="2340" w:type="dxa"/>
          </w:tcPr>
          <w:p>
            <w:pPr/>
            <w:r>
              <w:t xml:space="preserve">Ask MoH how devices ventures access it [V]</w:t>
            </w:r>
          </w:p>
        </w:tc>
      </w:tr>
      <w:tr>
        <w:tc>
          <w:tcPr>
            <w:tcW w:w="2340" w:type="dxa"/>
          </w:tcPr>
          <w:p>
            <w:pPr/>
            <w:r>
              <w:t xml:space="preserve">County, NCPWD and KEMSA procurement</w:t>
            </w:r>
          </w:p>
        </w:tc>
        <w:tc>
          <w:tcPr>
            <w:tcW w:w="2340" w:type="dxa"/>
          </w:tcPr>
          <w:p>
            <w:pPr/>
            <w:r>
              <w:t xml:space="preserve">Volume buyers</w:t>
            </w:r>
          </w:p>
        </w:tc>
        <w:tc>
          <w:tcPr>
            <w:tcW w:w="2340" w:type="dxa"/>
          </w:tcPr>
          <w:p>
            <w:pPr/>
            <w:r>
              <w:t xml:space="preserve">Tenders, frameworks</w:t>
            </w:r>
          </w:p>
        </w:tc>
        <w:tc>
          <w:tcPr>
            <w:tcW w:w="2340" w:type="dxa"/>
          </w:tcPr>
          <w:p>
            <w:pPr/>
            <w:r>
              <w:t xml:space="preserve">Register as supplier once products are registered</w:t>
            </w:r>
          </w:p>
        </w:tc>
      </w:tr>
      <w:tr>
        <w:tc>
          <w:tcPr>
            <w:tcW w:w="2340" w:type="dxa"/>
          </w:tcPr>
          <w:p>
            <w:pPr/>
            <w:r>
              <w:t xml:space="preserve">Corporate foundations (for example Safaricom Foundation, Co-op Foundation, Chandaria Foundation) and impact funds (for example Acumen, Villgro Africa, Novastar)</w:t>
            </w:r>
          </w:p>
        </w:tc>
        <w:tc>
          <w:tcPr>
            <w:tcW w:w="2340" w:type="dxa"/>
          </w:tcPr>
          <w:p>
            <w:pPr/>
            <w:r>
              <w:t xml:space="preserve">Pilot and scale funding</w:t>
            </w:r>
          </w:p>
        </w:tc>
        <w:tc>
          <w:tcPr>
            <w:tcW w:w="2340" w:type="dxa"/>
          </w:tcPr>
          <w:p>
            <w:pPr/>
            <w:r>
              <w:t xml:space="preserve">Grants, CSR sponsorship, patient capital</w:t>
            </w:r>
          </w:p>
        </w:tc>
        <w:tc>
          <w:tcPr>
            <w:tcW w:w="2340" w:type="dxa"/>
          </w:tcPr>
          <w:p>
            <w:pPr/>
            <w:r>
              <w:t xml:space="preserve">Check current calls [V all]</w:t>
            </w:r>
          </w:p>
        </w:tc>
      </w:tr>
      <w:tr>
        <w:tc>
          <w:tcPr>
            <w:tcW w:w="2340" w:type="dxa"/>
          </w:tcPr>
          <w:p>
            <w:pPr/>
            <w:r>
              <w:t xml:space="preserve">GDI Hub AT2030 and similar</w:t>
            </w:r>
          </w:p>
        </w:tc>
        <w:tc>
          <w:tcPr>
            <w:tcW w:w="2340" w:type="dxa"/>
          </w:tcPr>
          <w:p>
            <w:pPr/>
            <w:r>
              <w:t xml:space="preserve">Evidence and innovation</w:t>
            </w:r>
          </w:p>
        </w:tc>
        <w:tc>
          <w:tcPr>
            <w:tcW w:w="2340" w:type="dxa"/>
          </w:tcPr>
          <w:p>
            <w:pPr/>
            <w:r>
              <w:t xml:space="preserve">Research grants</w:t>
            </w:r>
          </w:p>
        </w:tc>
        <w:tc>
          <w:tcPr>
            <w:tcW w:w="2340" w:type="dxa"/>
          </w:tcPr>
          <w:p>
            <w:pPr/>
            <w:r>
              <w:t xml:space="preserve">Check for a new round [V]</w:t>
            </w:r>
          </w:p>
        </w:tc>
      </w:tr>
    </w:tbl>
    <w:p>
      <w:pPr/>
      <w:r>
        <w:rPr>
          <w:b/>
        </w:rPr>
        <w:t xml:space="preserve">Stage-appropriate instruments.</w:t>
      </w:r>
      <w:r>
        <w:t xml:space="preserve"> Innovation competitions and hub grants for the pilot; small grants and CSR for the 50-unit pilot; results-based contracts and blended finance for scale; convertible notes or equity only once margins and demand are proven.</w:t>
      </w:r>
    </w:p>
    <w:p>
      <w:pPr>
        <w:pStyle w:val="Heading2"/>
      </w:pPr>
      <w:r>
        <w:t xml:space="preserve">16. Validation plan, team and governance</w:t>
      </w:r>
    </w:p>
    <w:p>
      <w:pPr>
        <w:pStyle w:val="Heading3"/>
      </w:pPr>
      <w:r>
        <w:t xml:space="preserve">16.1 Next 30-60 days</w:t>
      </w:r>
    </w:p>
    <w:p>
      <w:pPr>
        <w:pStyle w:val="ListParagraph"/>
        <w:numPr>
          <w:ilvl w:val="0"/>
          <w:numId w:val="11"/>
        </w:numPr>
      </w:pPr>
      <w:r>
        <w:t xml:space="preserve">Run 30-40 interviews: 15 users and caregivers, 8 clinicians, 5 hospital or NGO buyers, 3 county or NCPWD officers, 3 repair or metalwork shops. Capture price, pain points, willingness to pay and procurement process (Appendix G).</w:t>
      </w:r>
    </w:p>
    <w:p>
      <w:pPr>
        <w:pStyle w:val="ListParagraph"/>
        <w:numPr>
          <w:ilvl w:val="0"/>
          <w:numId w:val="11"/>
        </w:numPr>
      </w:pPr>
      <w:r>
        <w:t xml:space="preserve">Visit Motivation, APDK or similar workshops to learn production cost, failure modes and quality methods; ask about partnership and design sharing.</w:t>
      </w:r>
    </w:p>
    <w:p>
      <w:pPr>
        <w:pStyle w:val="ListParagraph"/>
        <w:numPr>
          <w:ilvl w:val="0"/>
          <w:numId w:val="11"/>
        </w:numPr>
      </w:pPr>
      <w:r>
        <w:t xml:space="preserve">Get three supplier quotes for the bill of materials of each pilot product and for equipment; replace every assumption in Section 11.</w:t>
      </w:r>
    </w:p>
    <w:p>
      <w:pPr>
        <w:pStyle w:val="ListParagraph"/>
        <w:numPr>
          <w:ilvl w:val="0"/>
          <w:numId w:val="11"/>
        </w:numPr>
      </w:pPr>
      <w:r>
        <w:t xml:space="preserve">Secure one clinical partner and agree the ethics, consent and test route.</w:t>
      </w:r>
    </w:p>
    <w:p>
      <w:pPr>
        <w:pStyle w:val="ListParagraph"/>
        <w:numPr>
          <w:ilvl w:val="0"/>
          <w:numId w:val="11"/>
        </w:numPr>
      </w:pPr>
      <w:r>
        <w:t xml:space="preserve">Send the written enquiries to PPB, KEBS, NCPWD and the Digital Health Agency (Section 5).</w:t>
      </w:r>
    </w:p>
    <w:p>
      <w:pPr>
        <w:pStyle w:val="ListParagraph"/>
        <w:numPr>
          <w:ilvl w:val="0"/>
          <w:numId w:val="11"/>
        </w:numPr>
      </w:pPr>
      <w:r>
        <w:t xml:space="preserve">Prototype three products to a safe standard and test against ISO benchmarks.</w:t>
      </w:r>
    </w:p>
    <w:p>
      <w:pPr>
        <w:pStyle w:val="ListParagraph"/>
        <w:numPr>
          <w:ilvl w:val="0"/>
          <w:numId w:val="11"/>
        </w:numPr>
      </w:pPr>
      <w:r>
        <w:t xml:space="preserve">Recruit the missing roles (clinical lead and manufacturing lead) as advisors or co-founders.</w:t>
      </w:r>
    </w:p>
    <w:p>
      <w:pPr>
        <w:pStyle w:val="ListParagraph"/>
        <w:numPr>
          <w:ilvl w:val="0"/>
          <w:numId w:val="11"/>
        </w:numPr>
      </w:pPr>
      <w:r>
        <w:t xml:space="preserve">Draft a one-page pitch and apply for hub or competition funding for the pilot.</w:t>
      </w:r>
    </w:p>
    <w:p>
      <w:pPr>
        <w:pStyle w:val="Heading3"/>
      </w:pPr>
      <w:r>
        <w:t xml:space="preserve">16.2 Team and governance</w:t>
      </w:r>
    </w:p>
    <w:p>
      <w:pPr/>
      <w:r>
        <w:t xml:space="preserve">Founders bring software, CAD and business skills. Add, as advisors or hires: a registered orthopaedic technologist or physiotherapist, a manufacturing and quality engineer, a finance and grants lead, and a </w:t>
      </w:r>
      <w:r>
        <w:rPr>
          <w:b/>
        </w:rPr>
        <w:t xml:space="preserve">user advisory board of people with disabilities who can veto design decisions</w:t>
      </w:r>
      <w:r>
        <w:t xml:space="preserve">. Choose a legal form that allows both grant receipt and earned revenue (for example a company limited by guarantee with a trading subsidiary) [V with a lawyer]. Preferred long-term path: scale through franchise and partners, with a mission lock or impact-investor buyout; a trade sale is a poor fit for a social enterprise.</w:t>
      </w:r>
    </w:p>
    <w:p>
      <w:pPr>
        <w:pStyle w:val="Heading1"/>
      </w:pPr>
      <w:r>
        <w:t xml:space="preserve">Part II: Platform documentation</w:t>
      </w:r>
    </w:p>
    <w:p>
      <w:pPr>
        <w:pStyle w:val="Heading2"/>
      </w:pPr>
      <w:r>
        <w:t xml:space="preserve">17. Platform scope, principles and personas</w:t>
      </w:r>
    </w:p>
    <w:p>
      <w:pPr>
        <w:pStyle w:val="Heading3"/>
      </w:pPr>
      <w:r>
        <w:t xml:space="preserve">17.1 Purpose</w:t>
      </w:r>
    </w:p>
    <w:p>
      <w:pPr/>
      <w:r>
        <w:t xml:space="preserve">The platform is the </w:t>
      </w:r>
      <w:r>
        <w:rPr>
          <w:b/>
        </w:rPr>
        <w:t xml:space="preserve">operating system of the AfriAssistive service chain</w:t>
      </w:r>
      <w:r>
        <w:t xml:space="preserve">. It connects users and caregivers, clinicians, partners and payers, the workshop and repair hubs, and funders around one record per person and one passport per device, and implements the WHO eight-step service model (Section 3.4).</w:t>
      </w:r>
    </w:p>
    <w:p>
      <w:pPr>
        <w:pStyle w:val="Heading3"/>
      </w:pPr>
      <w:r>
        <w:t xml:space="preserve">17.2 Scope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Phase</w:t>
            </w:r>
          </w:p>
        </w:tc>
        <w:tc>
          <w:tcPr>
            <w:tcW w:w="4680" w:type="dxa"/>
            <w:shd w:val="clear" w:color="auto" w:fill="F2F2F2"/>
          </w:tcPr>
          <w:p>
            <w:pPr/>
            <w:r>
              <w:t xml:space="preserve">In scope</w:t>
            </w:r>
          </w:p>
        </w:tc>
      </w:tr>
      <w:tr>
        <w:tc>
          <w:tcPr>
            <w:tcW w:w="4680" w:type="dxa"/>
          </w:tcPr>
          <w:p>
            <w:pPr/>
            <w:r>
              <w:t xml:space="preserve">MVP to v1</w:t>
            </w:r>
          </w:p>
        </w:tc>
        <w:tc>
          <w:tcPr>
            <w:tcW w:w="4680" w:type="dxa"/>
          </w:tcPr>
          <w:p>
            <w:pPr/>
            <w:r>
              <w:t xml:space="preserve">Intake and referral, consent, assessment and prescription, device registry with QR passport, work orders and QA, delivery and acceptance, fitting and follow-up, repair tickets and spares, care-plan subscriptions and M-Pesa payments, partner dashboards, impact reporting</w:t>
            </w:r>
          </w:p>
        </w:tc>
      </w:tr>
      <w:tr>
        <w:tc>
          <w:tcPr>
            <w:tcW w:w="4680" w:type="dxa"/>
          </w:tcPr>
          <w:p>
            <w:pPr/>
            <w:r>
              <w:t xml:space="preserve">v2 and later</w:t>
            </w:r>
          </w:p>
        </w:tc>
        <w:tc>
          <w:tcPr>
            <w:tcW w:w="4680" w:type="dxa"/>
          </w:tcPr>
          <w:p>
            <w:pPr/>
            <w:r>
              <w:t xml:space="preserve">AI features (scan-to-design, predictive maintenance, Swahili assistant, forecasting), IoT sensors, franchise and hub management, interoperability with national health systems</w:t>
            </w:r>
          </w:p>
        </w:tc>
      </w:tr>
      <w:tr>
        <w:tc>
          <w:tcPr>
            <w:tcW w:w="4680" w:type="dxa"/>
          </w:tcPr>
          <w:p>
            <w:pPr/>
            <w:r>
              <w:t xml:space="preserve">Out of scope for now</w:t>
            </w:r>
          </w:p>
        </w:tc>
        <w:tc>
          <w:tcPr>
            <w:tcW w:w="4680" w:type="dxa"/>
          </w:tcPr>
          <w:p>
            <w:pPr/>
            <w:r>
              <w:t xml:space="preserve">E-commerce for unrelated products; clinical diagnosis; any feature that makes clinical decisions without a clinician; SHA claims submission (keep optional)</w:t>
            </w:r>
          </w:p>
        </w:tc>
      </w:tr>
    </w:tbl>
    <w:p>
      <w:pPr>
        <w:pStyle w:val="Heading3"/>
      </w:pPr>
      <w:r>
        <w:t xml:space="preserve">17.3 Design principles</w:t>
      </w:r>
    </w:p>
    <w:p>
      <w:pPr>
        <w:pStyle w:val="ListParagraph"/>
        <w:numPr>
          <w:ilvl w:val="0"/>
          <w:numId w:val="12"/>
        </w:numPr>
      </w:pPr>
      <w:r>
        <w:rPr>
          <w:b/>
        </w:rPr>
        <w:t xml:space="preserve">Service chain first, technology second.</w:t>
      </w:r>
      <w:r>
        <w:t xml:space="preserve"> Every feature must reduce device abandonment, repair time or cost to serve.</w:t>
      </w:r>
    </w:p>
    <w:p>
      <w:pPr>
        <w:pStyle w:val="ListParagraph"/>
        <w:numPr>
          <w:ilvl w:val="0"/>
          <w:numId w:val="12"/>
        </w:numPr>
      </w:pPr>
      <w:r>
        <w:rPr>
          <w:b/>
        </w:rPr>
        <w:t xml:space="preserve">Offline-first, low-bandwidth, low-end Android.</w:t>
      </w:r>
      <w:r>
        <w:t xml:space="preserve"> Field staff work with weak connectivity; about 36% of connected handsets are not smartphones ✅, so USSD and SMS stay in the design.</w:t>
      </w:r>
    </w:p>
    <w:p>
      <w:pPr>
        <w:pStyle w:val="ListParagraph"/>
        <w:numPr>
          <w:ilvl w:val="0"/>
          <w:numId w:val="12"/>
        </w:numPr>
      </w:pPr>
      <w:r>
        <w:rPr>
          <w:b/>
        </w:rPr>
        <w:t xml:space="preserve">Accessible by default.</w:t>
      </w:r>
      <w:r>
        <w:t xml:space="preserve"> Users are people with disabilities. WCAG 2.2 AA is a baseline, and the Persons with Disabilities Act 2025 places an accessibility duty on ICT providers (s.26) ✅P.</w:t>
      </w:r>
    </w:p>
    <w:p>
      <w:pPr>
        <w:pStyle w:val="ListParagraph"/>
        <w:numPr>
          <w:ilvl w:val="0"/>
          <w:numId w:val="12"/>
        </w:numPr>
      </w:pPr>
      <w:r>
        <w:rPr>
          <w:b/>
        </w:rPr>
        <w:t xml:space="preserve">Privacy and compliance by design.</w:t>
      </w:r>
      <w:r>
        <w:t xml:space="preserve"> Disability and health data are sensitive under Kenyan law ✅P; the platform is built for ODPC, Digital Health Act and PPB software rules from the first sprint.</w:t>
      </w:r>
    </w:p>
    <w:p>
      <w:pPr>
        <w:pStyle w:val="ListParagraph"/>
        <w:numPr>
          <w:ilvl w:val="0"/>
          <w:numId w:val="12"/>
        </w:numPr>
      </w:pPr>
      <w:r>
        <w:rPr>
          <w:b/>
        </w:rPr>
        <w:t xml:space="preserve">Human in the loop.</w:t>
      </w:r>
      <w:r>
        <w:t xml:space="preserve"> AI assists clinicians and technicians; it never replaces clinical sign-off.</w:t>
      </w:r>
    </w:p>
    <w:p>
      <w:pPr>
        <w:pStyle w:val="ListParagraph"/>
        <w:numPr>
          <w:ilvl w:val="0"/>
          <w:numId w:val="12"/>
        </w:numPr>
      </w:pPr>
      <w:r>
        <w:rPr>
          <w:b/>
        </w:rPr>
        <w:t xml:space="preserve">Open and portable.</w:t>
      </w:r>
      <w:r>
        <w:t xml:space="preserve"> Open-source stack, open data formats (FHIR where health data is exchanged ✅), no lock-in to one cloud.</w:t>
      </w:r>
    </w:p>
    <w:p>
      <w:pPr>
        <w:pStyle w:val="ListParagraph"/>
        <w:numPr>
          <w:ilvl w:val="0"/>
          <w:numId w:val="12"/>
        </w:numPr>
      </w:pPr>
      <w:r>
        <w:rPr>
          <w:b/>
        </w:rPr>
        <w:t xml:space="preserve">Evidence-ready.</w:t>
      </w:r>
      <w:r>
        <w:t xml:space="preserve"> Every record is captured so that it can support a payer pre-authorisation, an audit, a recall or an impact report.</w:t>
      </w:r>
    </w:p>
    <w:p>
      <w:pPr>
        <w:pStyle w:val="Heading3"/>
      </w:pPr>
      <w:r>
        <w:t xml:space="preserve">17.4 Personas and jobs to be done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Persona</w:t>
            </w:r>
          </w:p>
        </w:tc>
        <w:tc>
          <w:tcPr>
            <w:tcW w:w="2340" w:type="dxa"/>
            <w:shd w:val="clear" w:color="auto" w:fill="F2F2F2"/>
          </w:tcPr>
          <w:p>
            <w:pPr/>
            <w:r>
              <w:t xml:space="preserve">Who</w:t>
            </w:r>
          </w:p>
        </w:tc>
        <w:tc>
          <w:tcPr>
            <w:tcW w:w="2340" w:type="dxa"/>
            <w:shd w:val="clear" w:color="auto" w:fill="F2F2F2"/>
          </w:tcPr>
          <w:p>
            <w:pPr/>
            <w:r>
              <w:t xml:space="preserve">Main jobs</w:t>
            </w:r>
          </w:p>
        </w:tc>
        <w:tc>
          <w:tcPr>
            <w:tcW w:w="2340" w:type="dxa"/>
            <w:shd w:val="clear" w:color="auto" w:fill="F2F2F2"/>
          </w:tcPr>
          <w:p>
            <w:pPr/>
            <w:r>
              <w:t xml:space="preserve">Primary channel</w:t>
            </w:r>
          </w:p>
        </w:tc>
      </w:tr>
      <w:tr>
        <w:tc>
          <w:tcPr>
            <w:tcW w:w="2340" w:type="dxa"/>
          </w:tcPr>
          <w:p>
            <w:pPr/>
            <w:r>
              <w:t xml:space="preserve">Beneficiary or caregiver</w:t>
            </w:r>
          </w:p>
        </w:tc>
        <w:tc>
          <w:tcPr>
            <w:tcW w:w="2340" w:type="dxa"/>
          </w:tcPr>
          <w:p>
            <w:pPr/>
            <w:r>
              <w:t xml:space="preserve">Person needing a device, or parent or guardian</w:t>
            </w:r>
          </w:p>
        </w:tc>
        <w:tc>
          <w:tcPr>
            <w:tcW w:w="2340" w:type="dxa"/>
          </w:tcPr>
          <w:p>
            <w:pPr/>
            <w:r>
              <w:t xml:space="preserve">Request help, give consent, track an order, get repairs, pay a care plan</w:t>
            </w:r>
          </w:p>
        </w:tc>
        <w:tc>
          <w:tcPr>
            <w:tcW w:w="2340" w:type="dxa"/>
          </w:tcPr>
          <w:p>
            <w:pPr/>
            <w:r>
              <w:t xml:space="preserve">WhatsApp, SMS/USSD, PWA</w:t>
            </w:r>
          </w:p>
        </w:tc>
      </w:tr>
      <w:tr>
        <w:tc>
          <w:tcPr>
            <w:tcW w:w="2340" w:type="dxa"/>
          </w:tcPr>
          <w:p>
            <w:pPr/>
            <w:r>
              <w:t xml:space="preserve">Community referrer</w:t>
            </w:r>
          </w:p>
        </w:tc>
        <w:tc>
          <w:tcPr>
            <w:tcW w:w="2340" w:type="dxa"/>
          </w:tcPr>
          <w:p>
            <w:pPr/>
            <w:r>
              <w:t xml:space="preserve">CHW, teacher, disability officer, faith leader</w:t>
            </w:r>
          </w:p>
        </w:tc>
        <w:tc>
          <w:tcPr>
            <w:tcW w:w="2340" w:type="dxa"/>
          </w:tcPr>
          <w:p>
            <w:pPr/>
            <w:r>
              <w:t xml:space="preserve">Refer people, check status</w:t>
            </w:r>
          </w:p>
        </w:tc>
        <w:tc>
          <w:tcPr>
            <w:tcW w:w="2340" w:type="dxa"/>
          </w:tcPr>
          <w:p>
            <w:pPr/>
            <w:r>
              <w:t xml:space="preserve">WhatsApp, offline PWA</w:t>
            </w:r>
          </w:p>
        </w:tc>
      </w:tr>
      <w:tr>
        <w:tc>
          <w:tcPr>
            <w:tcW w:w="2340" w:type="dxa"/>
          </w:tcPr>
          <w:p>
            <w:pPr/>
            <w:r>
              <w:t xml:space="preserve">Clinician</w:t>
            </w:r>
          </w:p>
        </w:tc>
        <w:tc>
          <w:tcPr>
            <w:tcW w:w="2340" w:type="dxa"/>
          </w:tcPr>
          <w:p>
            <w:pPr/>
            <w:r>
              <w:t xml:space="preserve">Physiotherapist, orthopaedic technologist, occupational therapist</w:t>
            </w:r>
          </w:p>
        </w:tc>
        <w:tc>
          <w:tcPr>
            <w:tcW w:w="2340" w:type="dxa"/>
          </w:tcPr>
          <w:p>
            <w:pPr/>
            <w:r>
              <w:t xml:space="preserve">Assess, prescribe, fit, follow up, record outcomes</w:t>
            </w:r>
          </w:p>
        </w:tc>
        <w:tc>
          <w:tcPr>
            <w:tcW w:w="2340" w:type="dxa"/>
          </w:tcPr>
          <w:p>
            <w:pPr/>
            <w:r>
              <w:t xml:space="preserve">Tablet PWA (offline)</w:t>
            </w:r>
          </w:p>
        </w:tc>
      </w:tr>
      <w:tr>
        <w:tc>
          <w:tcPr>
            <w:tcW w:w="2340" w:type="dxa"/>
          </w:tcPr>
          <w:p>
            <w:pPr/>
            <w:r>
              <w:t xml:space="preserve">Technician or fabricator</w:t>
            </w:r>
          </w:p>
        </w:tc>
        <w:tc>
          <w:tcPr>
            <w:tcW w:w="2340" w:type="dxa"/>
          </w:tcPr>
          <w:p>
            <w:pPr/>
            <w:r>
              <w:t xml:space="preserve">Workshop CAD and fabrication staff</w:t>
            </w:r>
          </w:p>
        </w:tc>
        <w:tc>
          <w:tcPr>
            <w:tcW w:w="2340" w:type="dxa"/>
          </w:tcPr>
          <w:p>
            <w:pPr/>
            <w:r>
              <w:t xml:space="preserve">See work orders, print queue, QA checks, log batches</w:t>
            </w:r>
          </w:p>
        </w:tc>
        <w:tc>
          <w:tcPr>
            <w:tcW w:w="2340" w:type="dxa"/>
          </w:tcPr>
          <w:p>
            <w:pPr/>
            <w:r>
              <w:t xml:space="preserve">Workshop screens, tablet</w:t>
            </w:r>
          </w:p>
        </w:tc>
      </w:tr>
      <w:tr>
        <w:tc>
          <w:tcPr>
            <w:tcW w:w="2340" w:type="dxa"/>
          </w:tcPr>
          <w:p>
            <w:pPr/>
            <w:r>
              <w:t xml:space="preserve">Repair hub agent</w:t>
            </w:r>
          </w:p>
        </w:tc>
        <w:tc>
          <w:tcPr>
            <w:tcW w:w="2340" w:type="dxa"/>
          </w:tcPr>
          <w:p>
            <w:pPr/>
            <w:r>
              <w:t xml:space="preserve">Local repairer</w:t>
            </w:r>
          </w:p>
        </w:tc>
        <w:tc>
          <w:tcPr>
            <w:tcW w:w="2340" w:type="dxa"/>
          </w:tcPr>
          <w:p>
            <w:pPr/>
            <w:r>
              <w:t xml:space="preserve">Receive tickets, order spares, close repairs</w:t>
            </w:r>
          </w:p>
        </w:tc>
        <w:tc>
          <w:tcPr>
            <w:tcW w:w="2340" w:type="dxa"/>
          </w:tcPr>
          <w:p>
            <w:pPr/>
            <w:r>
              <w:t xml:space="preserve">Phone PWA</w:t>
            </w:r>
          </w:p>
        </w:tc>
      </w:tr>
      <w:tr>
        <w:tc>
          <w:tcPr>
            <w:tcW w:w="2340" w:type="dxa"/>
          </w:tcPr>
          <w:p>
            <w:pPr/>
            <w:r>
              <w:t xml:space="preserve">Partner officer</w:t>
            </w:r>
          </w:p>
        </w:tc>
        <w:tc>
          <w:tcPr>
            <w:tcW w:w="2340" w:type="dxa"/>
          </w:tcPr>
          <w:p>
            <w:pPr/>
            <w:r>
              <w:t xml:space="preserve">NGO, county, NCPWD, KEMSA, hospital</w:t>
            </w:r>
          </w:p>
        </w:tc>
        <w:tc>
          <w:tcPr>
            <w:tcW w:w="2340" w:type="dxa"/>
          </w:tcPr>
          <w:p>
            <w:pPr/>
            <w:r>
              <w:t xml:space="preserve">Place bulk orders, accept deliveries, view dashboards</w:t>
            </w:r>
          </w:p>
        </w:tc>
        <w:tc>
          <w:tcPr>
            <w:tcW w:w="2340" w:type="dxa"/>
          </w:tcPr>
          <w:p>
            <w:pPr/>
            <w:r>
              <w:t xml:space="preserve">Web</w:t>
            </w:r>
          </w:p>
        </w:tc>
      </w:tr>
      <w:tr>
        <w:tc>
          <w:tcPr>
            <w:tcW w:w="2340" w:type="dxa"/>
          </w:tcPr>
          <w:p>
            <w:pPr/>
            <w:r>
              <w:t xml:space="preserve">Finance and operations admin</w:t>
            </w:r>
          </w:p>
        </w:tc>
        <w:tc>
          <w:tcPr>
            <w:tcW w:w="2340" w:type="dxa"/>
          </w:tcPr>
          <w:p>
            <w:pPr/>
            <w:r>
              <w:t xml:space="preserve">AfriAssistive staff</w:t>
            </w:r>
          </w:p>
        </w:tc>
        <w:tc>
          <w:tcPr>
            <w:tcW w:w="2340" w:type="dxa"/>
          </w:tcPr>
          <w:p>
            <w:pPr/>
            <w:r>
              <w:t xml:space="preserve">Invoices, reconciliation, inventory, staffing</w:t>
            </w:r>
          </w:p>
        </w:tc>
        <w:tc>
          <w:tcPr>
            <w:tcW w:w="2340" w:type="dxa"/>
          </w:tcPr>
          <w:p>
            <w:pPr/>
            <w:r>
              <w:t xml:space="preserve">Web</w:t>
            </w:r>
          </w:p>
        </w:tc>
      </w:tr>
      <w:tr>
        <w:tc>
          <w:tcPr>
            <w:tcW w:w="2340" w:type="dxa"/>
          </w:tcPr>
          <w:p>
            <w:pPr/>
            <w:r>
              <w:t xml:space="preserve">Funder or auditor</w:t>
            </w:r>
          </w:p>
        </w:tc>
        <w:tc>
          <w:tcPr>
            <w:tcW w:w="2340" w:type="dxa"/>
          </w:tcPr>
          <w:p>
            <w:pPr/>
            <w:r>
              <w:t xml:space="preserve">Donors, CSR, investors</w:t>
            </w:r>
          </w:p>
        </w:tc>
        <w:tc>
          <w:tcPr>
            <w:tcW w:w="2340" w:type="dxa"/>
          </w:tcPr>
          <w:p>
            <w:pPr/>
            <w:r>
              <w:t xml:space="preserve">Impact and spend reports</w:t>
            </w:r>
          </w:p>
        </w:tc>
        <w:tc>
          <w:tcPr>
            <w:tcW w:w="2340" w:type="dxa"/>
          </w:tcPr>
          <w:p>
            <w:pPr/>
            <w:r>
              <w:t xml:space="preserve">Read-only web, exports</w:t>
            </w:r>
          </w:p>
        </w:tc>
      </w:tr>
      <w:tr>
        <w:tc>
          <w:tcPr>
            <w:tcW w:w="2340" w:type="dxa"/>
          </w:tcPr>
          <w:p>
            <w:pPr/>
            <w:r>
              <w:t xml:space="preserve">Platform admin and DPO</w:t>
            </w:r>
          </w:p>
        </w:tc>
        <w:tc>
          <w:tcPr>
            <w:tcW w:w="2340" w:type="dxa"/>
          </w:tcPr>
          <w:p>
            <w:pPr/>
            <w:r>
              <w:t xml:space="preserve">Technology lead and data protection officer</w:t>
            </w:r>
          </w:p>
        </w:tc>
        <w:tc>
          <w:tcPr>
            <w:tcW w:w="2340" w:type="dxa"/>
          </w:tcPr>
          <w:p>
            <w:pPr/>
            <w:r>
              <w:t xml:space="preserve">Access control, audits, data subject requests</w:t>
            </w:r>
          </w:p>
        </w:tc>
        <w:tc>
          <w:tcPr>
            <w:tcW w:w="2340" w:type="dxa"/>
          </w:tcPr>
          <w:p>
            <w:pPr/>
            <w:r>
              <w:t xml:space="preserve">Web</w:t>
            </w:r>
          </w:p>
        </w:tc>
      </w:tr>
    </w:tbl>
    <w:p>
      <w:pPr>
        <w:pStyle w:val="Heading2"/>
      </w:pPr>
      <w:r>
        <w:t xml:space="preserve">18. Requirements</w:t>
      </w:r>
    </w:p>
    <w:p>
      <w:pPr>
        <w:pStyle w:val="Heading3"/>
      </w:pPr>
      <w:r>
        <w:t xml:space="preserve">18.1 Functional modules (MoSCoW and phase)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Module</w:t>
            </w:r>
          </w:p>
        </w:tc>
        <w:tc>
          <w:tcPr>
            <w:tcW w:w="1872" w:type="dxa"/>
            <w:shd w:val="clear" w:color="auto" w:fill="F2F2F2"/>
          </w:tcPr>
          <w:p>
            <w:pPr/>
            <w:r>
              <w:t xml:space="preserve">Key capabilities</w:t>
            </w:r>
          </w:p>
        </w:tc>
        <w:tc>
          <w:tcPr>
            <w:tcW w:w="1872" w:type="dxa"/>
            <w:shd w:val="clear" w:color="auto" w:fill="F2F2F2"/>
          </w:tcPr>
          <w:p>
            <w:pPr/>
            <w:r>
              <w:t xml:space="preserve">Priority</w:t>
            </w:r>
          </w:p>
        </w:tc>
        <w:tc>
          <w:tcPr>
            <w:tcW w:w="1872" w:type="dxa"/>
            <w:shd w:val="clear" w:color="auto" w:fill="F2F2F2"/>
          </w:tcPr>
          <w:p>
            <w:pPr/>
            <w:r>
              <w:t xml:space="preserve">Phase</w:t>
            </w:r>
          </w:p>
        </w:tc>
      </w:tr>
      <w:tr>
        <w:tc>
          <w:tcPr>
            <w:tcW w:w="1872" w:type="dxa"/>
          </w:tcPr>
          <w:p>
            <w:pPr/>
            <w:r>
              <w:t xml:space="preserve">M1</w:t>
            </w:r>
          </w:p>
        </w:tc>
        <w:tc>
          <w:tcPr>
            <w:tcW w:w="1872" w:type="dxa"/>
          </w:tcPr>
          <w:p>
            <w:pPr/>
            <w:r>
              <w:t xml:space="preserve">Identity and access</w:t>
            </w:r>
          </w:p>
        </w:tc>
        <w:tc>
          <w:tcPr>
            <w:tcW w:w="1872" w:type="dxa"/>
          </w:tcPr>
          <w:p>
            <w:pPr/>
            <w:r>
              <w:t xml:space="preserve">Phone-number login with OTP, organisation accounts, role-based access, session and device management</w:t>
            </w:r>
          </w:p>
        </w:tc>
        <w:tc>
          <w:tcPr>
            <w:tcW w:w="1872" w:type="dxa"/>
          </w:tcPr>
          <w:p>
            <w:pPr/>
            <w:r>
              <w:t xml:space="preserve">Must</w:t>
            </w:r>
          </w:p>
        </w:tc>
        <w:tc>
          <w:tcPr>
            <w:tcW w:w="1872" w:type="dxa"/>
          </w:tcPr>
          <w:p>
            <w:pPr/>
            <w:r>
              <w:t xml:space="preserve">MVP</w:t>
            </w:r>
          </w:p>
        </w:tc>
      </w:tr>
      <w:tr>
        <w:tc>
          <w:tcPr>
            <w:tcW w:w="1872" w:type="dxa"/>
          </w:tcPr>
          <w:p>
            <w:pPr/>
            <w:r>
              <w:t xml:space="preserve">M2</w:t>
            </w:r>
          </w:p>
        </w:tc>
        <w:tc>
          <w:tcPr>
            <w:tcW w:w="1872" w:type="dxa"/>
          </w:tcPr>
          <w:p>
            <w:pPr/>
            <w:r>
              <w:t xml:space="preserve">Intake and referral</w:t>
            </w:r>
          </w:p>
        </w:tc>
        <w:tc>
          <w:tcPr>
            <w:tcW w:w="1872" w:type="dxa"/>
          </w:tcPr>
          <w:p>
            <w:pPr/>
            <w:r>
              <w:t xml:space="preserve">Self-referral, referrer form, duplicate detection, triage queue, WhatsApp and USSD entry</w:t>
            </w:r>
          </w:p>
        </w:tc>
        <w:tc>
          <w:tcPr>
            <w:tcW w:w="1872" w:type="dxa"/>
          </w:tcPr>
          <w:p>
            <w:pPr/>
            <w:r>
              <w:t xml:space="preserve">Must</w:t>
            </w:r>
          </w:p>
        </w:tc>
        <w:tc>
          <w:tcPr>
            <w:tcW w:w="1872" w:type="dxa"/>
          </w:tcPr>
          <w:p>
            <w:pPr/>
            <w:r>
              <w:t xml:space="preserve">MVP</w:t>
            </w:r>
          </w:p>
        </w:tc>
      </w:tr>
      <w:tr>
        <w:tc>
          <w:tcPr>
            <w:tcW w:w="1872" w:type="dxa"/>
          </w:tcPr>
          <w:p>
            <w:pPr/>
            <w:r>
              <w:t xml:space="preserve">M3</w:t>
            </w:r>
          </w:p>
        </w:tc>
        <w:tc>
          <w:tcPr>
            <w:tcW w:w="1872" w:type="dxa"/>
          </w:tcPr>
          <w:p>
            <w:pPr/>
            <w:r>
              <w:t xml:space="preserve">Consent and privacy</w:t>
            </w:r>
          </w:p>
        </w:tc>
        <w:tc>
          <w:tcPr>
            <w:tcW w:w="1872" w:type="dxa"/>
          </w:tcPr>
          <w:p>
            <w:pPr/>
            <w:r>
              <w:t xml:space="preserve">Layered consent (care, data sharing, research, photos and scans), guardian consent for minors, withdraw and erase, audit trail</w:t>
            </w:r>
          </w:p>
        </w:tc>
        <w:tc>
          <w:tcPr>
            <w:tcW w:w="1872" w:type="dxa"/>
          </w:tcPr>
          <w:p>
            <w:pPr/>
            <w:r>
              <w:t xml:space="preserve">Must</w:t>
            </w:r>
          </w:p>
        </w:tc>
        <w:tc>
          <w:tcPr>
            <w:tcW w:w="1872" w:type="dxa"/>
          </w:tcPr>
          <w:p>
            <w:pPr/>
            <w:r>
              <w:t xml:space="preserve">MVP</w:t>
            </w:r>
          </w:p>
        </w:tc>
      </w:tr>
      <w:tr>
        <w:tc>
          <w:tcPr>
            <w:tcW w:w="1872" w:type="dxa"/>
          </w:tcPr>
          <w:p>
            <w:pPr/>
            <w:r>
              <w:t xml:space="preserve">M4</w:t>
            </w:r>
          </w:p>
        </w:tc>
        <w:tc>
          <w:tcPr>
            <w:tcW w:w="1872" w:type="dxa"/>
          </w:tcPr>
          <w:p>
            <w:pPr/>
            <w:r>
              <w:t xml:space="preserve">Assessment and prescription</w:t>
            </w:r>
          </w:p>
        </w:tc>
        <w:tc>
          <w:tcPr>
            <w:tcW w:w="1872" w:type="dxa"/>
          </w:tcPr>
          <w:p>
            <w:pPr/>
            <w:r>
              <w:t xml:space="preserve">Structured assessment forms, measurements, photos, prescription of device type and size, clinician sign-off</w:t>
            </w:r>
          </w:p>
        </w:tc>
        <w:tc>
          <w:tcPr>
            <w:tcW w:w="1872" w:type="dxa"/>
          </w:tcPr>
          <w:p>
            <w:pPr/>
            <w:r>
              <w:t xml:space="preserve">Must</w:t>
            </w:r>
          </w:p>
        </w:tc>
        <w:tc>
          <w:tcPr>
            <w:tcW w:w="1872" w:type="dxa"/>
          </w:tcPr>
          <w:p>
            <w:pPr/>
            <w:r>
              <w:t xml:space="preserve">MVP</w:t>
            </w:r>
          </w:p>
        </w:tc>
      </w:tr>
      <w:tr>
        <w:tc>
          <w:tcPr>
            <w:tcW w:w="1872" w:type="dxa"/>
          </w:tcPr>
          <w:p>
            <w:pPr/>
            <w:r>
              <w:t xml:space="preserve">M5</w:t>
            </w:r>
          </w:p>
        </w:tc>
        <w:tc>
          <w:tcPr>
            <w:tcW w:w="1872" w:type="dxa"/>
          </w:tcPr>
          <w:p>
            <w:pPr/>
            <w:r>
              <w:t xml:space="preserve">Device registry and passport</w:t>
            </w:r>
          </w:p>
        </w:tc>
        <w:tc>
          <w:tcPr>
            <w:tcW w:w="1872" w:type="dxa"/>
          </w:tcPr>
          <w:p>
            <w:pPr/>
            <w:r>
              <w:t xml:space="preserve">Unique serial and QR, model and version, bill of materials, batch, QA record, owner, status, warranty, history</w:t>
            </w:r>
          </w:p>
        </w:tc>
        <w:tc>
          <w:tcPr>
            <w:tcW w:w="1872" w:type="dxa"/>
          </w:tcPr>
          <w:p>
            <w:pPr/>
            <w:r>
              <w:t xml:space="preserve">Must</w:t>
            </w:r>
          </w:p>
        </w:tc>
        <w:tc>
          <w:tcPr>
            <w:tcW w:w="1872" w:type="dxa"/>
          </w:tcPr>
          <w:p>
            <w:pPr/>
            <w:r>
              <w:t xml:space="preserve">MVP</w:t>
            </w:r>
          </w:p>
        </w:tc>
      </w:tr>
      <w:tr>
        <w:tc>
          <w:tcPr>
            <w:tcW w:w="1872" w:type="dxa"/>
          </w:tcPr>
          <w:p>
            <w:pPr/>
            <w:r>
              <w:t xml:space="preserve">M6</w:t>
            </w:r>
          </w:p>
        </w:tc>
        <w:tc>
          <w:tcPr>
            <w:tcW w:w="1872" w:type="dxa"/>
          </w:tcPr>
          <w:p>
            <w:pPr/>
            <w:r>
              <w:t xml:space="preserve">Production and QA</w:t>
            </w:r>
          </w:p>
        </w:tc>
        <w:tc>
          <w:tcPr>
            <w:tcW w:w="1872" w:type="dxa"/>
          </w:tcPr>
          <w:p>
            <w:pPr/>
            <w:r>
              <w:t xml:space="preserve">Work orders, fabrication and print queue, material usage, QA checklists, test results, release gate</w:t>
            </w:r>
          </w:p>
        </w:tc>
        <w:tc>
          <w:tcPr>
            <w:tcW w:w="1872" w:type="dxa"/>
          </w:tcPr>
          <w:p>
            <w:pPr/>
            <w:r>
              <w:t xml:space="preserve">Must</w:t>
            </w:r>
          </w:p>
        </w:tc>
        <w:tc>
          <w:tcPr>
            <w:tcW w:w="1872" w:type="dxa"/>
          </w:tcPr>
          <w:p>
            <w:pPr/>
            <w:r>
              <w:t xml:space="preserve">MVP</w:t>
            </w:r>
          </w:p>
        </w:tc>
      </w:tr>
      <w:tr>
        <w:tc>
          <w:tcPr>
            <w:tcW w:w="1872" w:type="dxa"/>
          </w:tcPr>
          <w:p>
            <w:pPr/>
            <w:r>
              <w:t xml:space="preserve">M7</w:t>
            </w:r>
          </w:p>
        </w:tc>
        <w:tc>
          <w:tcPr>
            <w:tcW w:w="1872" w:type="dxa"/>
          </w:tcPr>
          <w:p>
            <w:pPr/>
            <w:r>
              <w:t xml:space="preserve">Delivery and acceptance</w:t>
            </w:r>
          </w:p>
        </w:tc>
        <w:tc>
          <w:tcPr>
            <w:tcW w:w="1872" w:type="dxa"/>
          </w:tcPr>
          <w:p>
            <w:pPr/>
            <w:r>
              <w:t xml:space="preserve">Delivery lists, proof of delivery (signature, photo or OTP), partner acceptance forms</w:t>
            </w:r>
          </w:p>
        </w:tc>
        <w:tc>
          <w:tcPr>
            <w:tcW w:w="1872" w:type="dxa"/>
          </w:tcPr>
          <w:p>
            <w:pPr/>
            <w:r>
              <w:t xml:space="preserve">Must</w:t>
            </w:r>
          </w:p>
        </w:tc>
        <w:tc>
          <w:tcPr>
            <w:tcW w:w="1872" w:type="dxa"/>
          </w:tcPr>
          <w:p>
            <w:pPr/>
            <w:r>
              <w:t xml:space="preserve">MVP</w:t>
            </w:r>
          </w:p>
        </w:tc>
      </w:tr>
      <w:tr>
        <w:tc>
          <w:tcPr>
            <w:tcW w:w="1872" w:type="dxa"/>
          </w:tcPr>
          <w:p>
            <w:pPr/>
            <w:r>
              <w:t xml:space="preserve">M8</w:t>
            </w:r>
          </w:p>
        </w:tc>
        <w:tc>
          <w:tcPr>
            <w:tcW w:w="1872" w:type="dxa"/>
          </w:tcPr>
          <w:p>
            <w:pPr/>
            <w:r>
              <w:t xml:space="preserve">Fitting and follow-up</w:t>
            </w:r>
          </w:p>
        </w:tc>
        <w:tc>
          <w:tcPr>
            <w:tcW w:w="1872" w:type="dxa"/>
          </w:tcPr>
          <w:p>
            <w:pPr/>
            <w:r>
              <w:t xml:space="preserve">Fitting records, training checklist, 2-week, 3-month and 12-month follow-ups, adverse event log</w:t>
            </w:r>
          </w:p>
        </w:tc>
        <w:tc>
          <w:tcPr>
            <w:tcW w:w="1872" w:type="dxa"/>
          </w:tcPr>
          <w:p>
            <w:pPr/>
            <w:r>
              <w:t xml:space="preserve">Must</w:t>
            </w:r>
          </w:p>
        </w:tc>
        <w:tc>
          <w:tcPr>
            <w:tcW w:w="1872" w:type="dxa"/>
          </w:tcPr>
          <w:p>
            <w:pPr/>
            <w:r>
              <w:t xml:space="preserve">MVP</w:t>
            </w:r>
          </w:p>
        </w:tc>
      </w:tr>
      <w:tr>
        <w:tc>
          <w:tcPr>
            <w:tcW w:w="1872" w:type="dxa"/>
          </w:tcPr>
          <w:p>
            <w:pPr/>
            <w:r>
              <w:t xml:space="preserve">M9</w:t>
            </w:r>
          </w:p>
        </w:tc>
        <w:tc>
          <w:tcPr>
            <w:tcW w:w="1872" w:type="dxa"/>
          </w:tcPr>
          <w:p>
            <w:pPr/>
            <w:r>
              <w:t xml:space="preserve">Service and repair</w:t>
            </w:r>
          </w:p>
        </w:tc>
        <w:tc>
          <w:tcPr>
            <w:tcW w:w="1872" w:type="dxa"/>
          </w:tcPr>
          <w:p>
            <w:pPr/>
            <w:r>
              <w:t xml:space="preserve">Tickets via QR or WhatsApp, hub assignment, spares, turnaround SLA, loan devices</w:t>
            </w:r>
          </w:p>
        </w:tc>
        <w:tc>
          <w:tcPr>
            <w:tcW w:w="1872" w:type="dxa"/>
          </w:tcPr>
          <w:p>
            <w:pPr/>
            <w:r>
              <w:t xml:space="preserve">Must</w:t>
            </w:r>
          </w:p>
        </w:tc>
        <w:tc>
          <w:tcPr>
            <w:tcW w:w="1872" w:type="dxa"/>
          </w:tcPr>
          <w:p>
            <w:pPr/>
            <w:r>
              <w:t xml:space="preserve">MVP</w:t>
            </w:r>
          </w:p>
        </w:tc>
      </w:tr>
      <w:tr>
        <w:tc>
          <w:tcPr>
            <w:tcW w:w="1872" w:type="dxa"/>
          </w:tcPr>
          <w:p>
            <w:pPr/>
            <w:r>
              <w:t xml:space="preserve">M10</w:t>
            </w:r>
          </w:p>
        </w:tc>
        <w:tc>
          <w:tcPr>
            <w:tcW w:w="1872" w:type="dxa"/>
          </w:tcPr>
          <w:p>
            <w:pPr/>
            <w:r>
              <w:t xml:space="preserve">Payments and care plans</w:t>
            </w:r>
          </w:p>
        </w:tc>
        <w:tc>
          <w:tcPr>
            <w:tcW w:w="1872" w:type="dxa"/>
          </w:tcPr>
          <w:p>
            <w:pPr/>
            <w:r>
              <w:t xml:space="preserve">M-Pesa STK Push, deposits and instalments, care-plan subscriptions, invoices, sponsor-a-device, reconciliation</w:t>
            </w:r>
          </w:p>
        </w:tc>
        <w:tc>
          <w:tcPr>
            <w:tcW w:w="1872" w:type="dxa"/>
          </w:tcPr>
          <w:p>
            <w:pPr/>
            <w:r>
              <w:t xml:space="preserve">Must</w:t>
            </w:r>
          </w:p>
        </w:tc>
        <w:tc>
          <w:tcPr>
            <w:tcW w:w="1872" w:type="dxa"/>
          </w:tcPr>
          <w:p>
            <w:pPr/>
            <w:r>
              <w:t xml:space="preserve">MVP-lite to v1</w:t>
            </w:r>
          </w:p>
        </w:tc>
      </w:tr>
      <w:tr>
        <w:tc>
          <w:tcPr>
            <w:tcW w:w="1872" w:type="dxa"/>
          </w:tcPr>
          <w:p>
            <w:pPr/>
            <w:r>
              <w:t xml:space="preserve">M11</w:t>
            </w:r>
          </w:p>
        </w:tc>
        <w:tc>
          <w:tcPr>
            <w:tcW w:w="1872" w:type="dxa"/>
          </w:tcPr>
          <w:p>
            <w:pPr/>
            <w:r>
              <w:t xml:space="preserve">Inventory and procurement</w:t>
            </w:r>
          </w:p>
        </w:tc>
        <w:tc>
          <w:tcPr>
            <w:tcW w:w="1872" w:type="dxa"/>
          </w:tcPr>
          <w:p>
            <w:pPr/>
            <w:r>
              <w:t xml:space="preserve">Materials, spares, reorder points, suppliers, batch and lot traceability</w:t>
            </w:r>
          </w:p>
        </w:tc>
        <w:tc>
          <w:tcPr>
            <w:tcW w:w="1872" w:type="dxa"/>
          </w:tcPr>
          <w:p>
            <w:pPr/>
            <w:r>
              <w:t xml:space="preserve">Should</w:t>
            </w:r>
          </w:p>
        </w:tc>
        <w:tc>
          <w:tcPr>
            <w:tcW w:w="1872" w:type="dxa"/>
          </w:tcPr>
          <w:p>
            <w:pPr/>
            <w:r>
              <w:t xml:space="preserve">v1</w:t>
            </w:r>
          </w:p>
        </w:tc>
      </w:tr>
      <w:tr>
        <w:tc>
          <w:tcPr>
            <w:tcW w:w="1872" w:type="dxa"/>
          </w:tcPr>
          <w:p>
            <w:pPr/>
            <w:r>
              <w:t xml:space="preserve">M12</w:t>
            </w:r>
          </w:p>
        </w:tc>
        <w:tc>
          <w:tcPr>
            <w:tcW w:w="1872" w:type="dxa"/>
          </w:tcPr>
          <w:p>
            <w:pPr/>
            <w:r>
              <w:t xml:space="preserve">Partner and tender portal</w:t>
            </w:r>
          </w:p>
        </w:tc>
        <w:tc>
          <w:tcPr>
            <w:tcW w:w="1872" w:type="dxa"/>
          </w:tcPr>
          <w:p>
            <w:pPr/>
            <w:r>
              <w:t xml:space="preserve">Bulk orders, framework agreements, milestone billing, delivery acceptance, dashboards</w:t>
            </w:r>
          </w:p>
        </w:tc>
        <w:tc>
          <w:tcPr>
            <w:tcW w:w="1872" w:type="dxa"/>
          </w:tcPr>
          <w:p>
            <w:pPr/>
            <w:r>
              <w:t xml:space="preserve">Should</w:t>
            </w:r>
          </w:p>
        </w:tc>
        <w:tc>
          <w:tcPr>
            <w:tcW w:w="1872" w:type="dxa"/>
          </w:tcPr>
          <w:p>
            <w:pPr/>
            <w:r>
              <w:t xml:space="preserve">v1</w:t>
            </w:r>
          </w:p>
        </w:tc>
      </w:tr>
      <w:tr>
        <w:tc>
          <w:tcPr>
            <w:tcW w:w="1872" w:type="dxa"/>
          </w:tcPr>
          <w:p>
            <w:pPr/>
            <w:r>
              <w:t xml:space="preserve">M13</w:t>
            </w:r>
          </w:p>
        </w:tc>
        <w:tc>
          <w:tcPr>
            <w:tcW w:w="1872" w:type="dxa"/>
          </w:tcPr>
          <w:p>
            <w:pPr/>
            <w:r>
              <w:t xml:space="preserve">Impact and analytics</w:t>
            </w:r>
          </w:p>
        </w:tc>
        <w:tc>
          <w:tcPr>
            <w:tcW w:w="1872" w:type="dxa"/>
          </w:tcPr>
          <w:p>
            <w:pPr/>
            <w:r>
              <w:t xml:space="preserve">KPI dashboards, cohort follow-up, donor report export, anonymised open data</w:t>
            </w:r>
          </w:p>
        </w:tc>
        <w:tc>
          <w:tcPr>
            <w:tcW w:w="1872" w:type="dxa"/>
          </w:tcPr>
          <w:p>
            <w:pPr/>
            <w:r>
              <w:t xml:space="preserve">Should</w:t>
            </w:r>
          </w:p>
        </w:tc>
        <w:tc>
          <w:tcPr>
            <w:tcW w:w="1872" w:type="dxa"/>
          </w:tcPr>
          <w:p>
            <w:pPr/>
            <w:r>
              <w:t xml:space="preserve">MVP-lite to v1</w:t>
            </w:r>
          </w:p>
        </w:tc>
      </w:tr>
      <w:tr>
        <w:tc>
          <w:tcPr>
            <w:tcW w:w="1872" w:type="dxa"/>
          </w:tcPr>
          <w:p>
            <w:pPr/>
            <w:r>
              <w:t xml:space="preserve">M14</w:t>
            </w:r>
          </w:p>
        </w:tc>
        <w:tc>
          <w:tcPr>
            <w:tcW w:w="1872" w:type="dxa"/>
          </w:tcPr>
          <w:p>
            <w:pPr/>
            <w:r>
              <w:t xml:space="preserve">Communications</w:t>
            </w:r>
          </w:p>
        </w:tc>
        <w:tc>
          <w:tcPr>
            <w:tcW w:w="1872" w:type="dxa"/>
          </w:tcPr>
          <w:p>
            <w:pPr/>
            <w:r>
              <w:t xml:space="preserve">WhatsApp templates, SMS, reminders, campaigns with opt-in</w:t>
            </w:r>
          </w:p>
        </w:tc>
        <w:tc>
          <w:tcPr>
            <w:tcW w:w="1872" w:type="dxa"/>
          </w:tcPr>
          <w:p>
            <w:pPr/>
            <w:r>
              <w:t xml:space="preserve">Should</w:t>
            </w:r>
          </w:p>
        </w:tc>
        <w:tc>
          <w:tcPr>
            <w:tcW w:w="1872" w:type="dxa"/>
          </w:tcPr>
          <w:p>
            <w:pPr/>
            <w:r>
              <w:t xml:space="preserve">MVP transactional; v1 campaigns</w:t>
            </w:r>
          </w:p>
        </w:tc>
      </w:tr>
      <w:tr>
        <w:tc>
          <w:tcPr>
            <w:tcW w:w="1872" w:type="dxa"/>
          </w:tcPr>
          <w:p>
            <w:pPr/>
            <w:r>
              <w:t xml:space="preserve">M15</w:t>
            </w:r>
          </w:p>
        </w:tc>
        <w:tc>
          <w:tcPr>
            <w:tcW w:w="1872" w:type="dxa"/>
          </w:tcPr>
          <w:p>
            <w:pPr/>
            <w:r>
              <w:t xml:space="preserve">Hub and franchise management</w:t>
            </w:r>
          </w:p>
        </w:tc>
        <w:tc>
          <w:tcPr>
            <w:tcW w:w="1872" w:type="dxa"/>
          </w:tcPr>
          <w:p>
            <w:pPr/>
            <w:r>
              <w:t xml:space="preserve">Hub onboarding, certification, stock, performance</w:t>
            </w:r>
          </w:p>
        </w:tc>
        <w:tc>
          <w:tcPr>
            <w:tcW w:w="1872" w:type="dxa"/>
          </w:tcPr>
          <w:p>
            <w:pPr/>
            <w:r>
              <w:t xml:space="preserve">Could</w:t>
            </w:r>
          </w:p>
        </w:tc>
        <w:tc>
          <w:tcPr>
            <w:tcW w:w="1872" w:type="dxa"/>
          </w:tcPr>
          <w:p>
            <w:pPr/>
            <w:r>
              <w:t xml:space="preserve">v2</w:t>
            </w:r>
          </w:p>
        </w:tc>
      </w:tr>
      <w:tr>
        <w:tc>
          <w:tcPr>
            <w:tcW w:w="1872" w:type="dxa"/>
          </w:tcPr>
          <w:p>
            <w:pPr/>
            <w:r>
              <w:t xml:space="preserve">M16</w:t>
            </w:r>
          </w:p>
        </w:tc>
        <w:tc>
          <w:tcPr>
            <w:tcW w:w="1872" w:type="dxa"/>
          </w:tcPr>
          <w:p>
            <w:pPr/>
            <w:r>
              <w:t xml:space="preserve">AI services</w:t>
            </w:r>
          </w:p>
        </w:tc>
        <w:tc>
          <w:tcPr>
            <w:tcW w:w="1872" w:type="dxa"/>
          </w:tcPr>
          <w:p>
            <w:pPr/>
            <w:r>
              <w:t xml:space="preserve">See Section 24</w:t>
            </w:r>
          </w:p>
        </w:tc>
        <w:tc>
          <w:tcPr>
            <w:tcW w:w="1872" w:type="dxa"/>
          </w:tcPr>
          <w:p>
            <w:pPr/>
            <w:r>
              <w:t xml:space="preserve">Could</w:t>
            </w:r>
          </w:p>
        </w:tc>
        <w:tc>
          <w:tcPr>
            <w:tcW w:w="1872" w:type="dxa"/>
          </w:tcPr>
          <w:p>
            <w:pPr/>
            <w:r>
              <w:t xml:space="preserve">v2-v3</w:t>
            </w:r>
          </w:p>
        </w:tc>
      </w:tr>
      <w:tr>
        <w:tc>
          <w:tcPr>
            <w:tcW w:w="1872" w:type="dxa"/>
          </w:tcPr>
          <w:p>
            <w:pPr/>
            <w:r>
              <w:t xml:space="preserve">M17</w:t>
            </w:r>
          </w:p>
        </w:tc>
        <w:tc>
          <w:tcPr>
            <w:tcW w:w="1872" w:type="dxa"/>
          </w:tcPr>
          <w:p>
            <w:pPr/>
            <w:r>
              <w:t xml:space="preserve">Interoperability</w:t>
            </w:r>
          </w:p>
        </w:tc>
        <w:tc>
          <w:tcPr>
            <w:tcW w:w="1872" w:type="dxa"/>
          </w:tcPr>
          <w:p>
            <w:pPr/>
            <w:r>
              <w:t xml:space="preserve">FHIR export, Digital Health Agency exchange, KEMSA logistics data, payer pre-authorisation pack</w:t>
            </w:r>
          </w:p>
        </w:tc>
        <w:tc>
          <w:tcPr>
            <w:tcW w:w="1872" w:type="dxa"/>
          </w:tcPr>
          <w:p>
            <w:pPr/>
            <w:r>
              <w:t xml:space="preserve">Could to Should</w:t>
            </w:r>
          </w:p>
        </w:tc>
        <w:tc>
          <w:tcPr>
            <w:tcW w:w="1872" w:type="dxa"/>
          </w:tcPr>
          <w:p>
            <w:pPr/>
            <w:r>
              <w:t xml:space="preserve">v2 [V requirements]</w:t>
            </w:r>
          </w:p>
        </w:tc>
      </w:tr>
      <w:tr>
        <w:tc>
          <w:tcPr>
            <w:tcW w:w="1872" w:type="dxa"/>
          </w:tcPr>
          <w:p>
            <w:pPr/>
            <w:r>
              <w:t xml:space="preserve">M18</w:t>
            </w:r>
          </w:p>
        </w:tc>
        <w:tc>
          <w:tcPr>
            <w:tcW w:w="1872" w:type="dxa"/>
          </w:tcPr>
          <w:p>
            <w:pPr/>
            <w:r>
              <w:t xml:space="preserve">Quality, complaints and recall</w:t>
            </w:r>
          </w:p>
        </w:tc>
        <w:tc>
          <w:tcPr>
            <w:tcW w:w="1872" w:type="dxa"/>
          </w:tcPr>
          <w:p>
            <w:pPr/>
            <w:r>
              <w:t xml:space="preserve">Complaint intake, corrective and preventive actions, field safety notices, batch-level recall, design change log</w:t>
            </w:r>
          </w:p>
        </w:tc>
        <w:tc>
          <w:tcPr>
            <w:tcW w:w="1872" w:type="dxa"/>
          </w:tcPr>
          <w:p>
            <w:pPr/>
            <w:r>
              <w:t xml:space="preserve">Must</w:t>
            </w:r>
          </w:p>
        </w:tc>
        <w:tc>
          <w:tcPr>
            <w:tcW w:w="1872" w:type="dxa"/>
          </w:tcPr>
          <w:p>
            <w:pPr/>
            <w:r>
              <w:t xml:space="preserve">MVP-lite</w:t>
            </w:r>
          </w:p>
        </w:tc>
      </w:tr>
    </w:tbl>
    <w:p>
      <w:pPr>
        <w:pStyle w:val="Heading3"/>
      </w:pPr>
      <w:r>
        <w:t xml:space="preserve">18.2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Requirement</w:t>
            </w:r>
          </w:p>
        </w:tc>
        <w:tc>
          <w:tcPr>
            <w:tcW w:w="3120" w:type="dxa"/>
            <w:shd w:val="clear" w:color="auto" w:fill="F2F2F2"/>
          </w:tcPr>
          <w:p>
            <w:pPr/>
            <w:r>
              <w:t xml:space="preserve">How it is verified</w:t>
            </w:r>
          </w:p>
        </w:tc>
      </w:tr>
      <w:tr>
        <w:tc>
          <w:tcPr>
            <w:tcW w:w="3120" w:type="dxa"/>
          </w:tcPr>
          <w:p>
            <w:pPr/>
            <w:r>
              <w:t xml:space="preserve">Performance</w:t>
            </w:r>
          </w:p>
        </w:tc>
        <w:tc>
          <w:tcPr>
            <w:tcW w:w="3120" w:type="dxa"/>
          </w:tcPr>
          <w:p>
            <w:pPr/>
            <w:r>
              <w:t xml:space="preserve">Core screens usable on 3G; initial PWA load under 3 s on a mid-range Android; API p95 under 500 ms for reads [A]</w:t>
            </w:r>
          </w:p>
        </w:tc>
        <w:tc>
          <w:tcPr>
            <w:tcW w:w="3120" w:type="dxa"/>
          </w:tcPr>
          <w:p>
            <w:pPr/>
            <w:r>
              <w:t xml:space="preserve">Synthetic tests on throttled networks; real-device checks</w:t>
            </w:r>
          </w:p>
        </w:tc>
      </w:tr>
      <w:tr>
        <w:tc>
          <w:tcPr>
            <w:tcW w:w="3120" w:type="dxa"/>
          </w:tcPr>
          <w:p>
            <w:pPr/>
            <w:r>
              <w:t xml:space="preserve">Offline</w:t>
            </w:r>
          </w:p>
        </w:tc>
        <w:tc>
          <w:tcPr>
            <w:tcW w:w="3120" w:type="dxa"/>
          </w:tcPr>
          <w:p>
            <w:pPr/>
            <w:r>
              <w:t xml:space="preserve">Field flows (referral, assessment, fitting, delivery, repair close-out) work offline with conflict-safe sync</w:t>
            </w:r>
          </w:p>
        </w:tc>
        <w:tc>
          <w:tcPr>
            <w:tcW w:w="3120" w:type="dxa"/>
          </w:tcPr>
          <w:p>
            <w:pPr/>
            <w:r>
              <w:t xml:space="preserve">Offline end-to-end tests with network cut at every step</w:t>
            </w:r>
          </w:p>
        </w:tc>
      </w:tr>
      <w:tr>
        <w:tc>
          <w:tcPr>
            <w:tcW w:w="3120" w:type="dxa"/>
          </w:tcPr>
          <w:p>
            <w:pPr/>
            <w:r>
              <w:t xml:space="preserve">Availability</w:t>
            </w:r>
          </w:p>
        </w:tc>
        <w:tc>
          <w:tcPr>
            <w:tcW w:w="3120" w:type="dxa"/>
          </w:tcPr>
          <w:p>
            <w:pPr/>
            <w:r>
              <w:t xml:space="preserve">99.5% monthly for the MVP; maintenance outside 06:00-20:00 EAT [A]</w:t>
            </w:r>
          </w:p>
        </w:tc>
        <w:tc>
          <w:tcPr>
            <w:tcW w:w="3120" w:type="dxa"/>
          </w:tcPr>
          <w:p>
            <w:pPr/>
            <w:r>
              <w:t xml:space="preserve">Uptime monitoring</w:t>
            </w:r>
          </w:p>
        </w:tc>
      </w:tr>
      <w:tr>
        <w:tc>
          <w:tcPr>
            <w:tcW w:w="3120" w:type="dxa"/>
          </w:tcPr>
          <w:p>
            <w:pPr/>
            <w:r>
              <w:t xml:space="preserve">Backups and disaster recovery</w:t>
            </w:r>
          </w:p>
        </w:tc>
        <w:tc>
          <w:tcPr>
            <w:tcW w:w="3120" w:type="dxa"/>
          </w:tcPr>
          <w:p>
            <w:pPr/>
            <w:r>
              <w:t xml:space="preserve">Recovery point under 1 hour, recovery time under 4 hours; encrypted backups in a second Kenyan location; quarterly restore test [A]</w:t>
            </w:r>
          </w:p>
        </w:tc>
        <w:tc>
          <w:tcPr>
            <w:tcW w:w="3120" w:type="dxa"/>
          </w:tcPr>
          <w:p>
            <w:pPr/>
            <w:r>
              <w:t xml:space="preserve">Restore drills with timing</w:t>
            </w:r>
          </w:p>
        </w:tc>
      </w:tr>
      <w:tr>
        <w:tc>
          <w:tcPr>
            <w:tcW w:w="3120" w:type="dxa"/>
          </w:tcPr>
          <w:p>
            <w:pPr/>
            <w:r>
              <w:t xml:space="preserve">Security</w:t>
            </w:r>
          </w:p>
        </w:tc>
        <w:tc>
          <w:tcPr>
            <w:tcW w:w="3120" w:type="dxa"/>
          </w:tcPr>
          <w:p>
            <w:pPr/>
            <w:r>
              <w:t xml:space="preserve">Encryption in transit and at rest, least privilege, MFA for staff, immutable audit logs, secrets in a vault</w:t>
            </w:r>
          </w:p>
        </w:tc>
        <w:tc>
          <w:tcPr>
            <w:tcW w:w="3120" w:type="dxa"/>
          </w:tcPr>
          <w:p>
            <w:pPr/>
            <w:r>
              <w:t xml:space="preserve">Pen test, CI scans, access reviews</w:t>
            </w:r>
          </w:p>
        </w:tc>
      </w:tr>
      <w:tr>
        <w:tc>
          <w:tcPr>
            <w:tcW w:w="3120" w:type="dxa"/>
          </w:tcPr>
          <w:p>
            <w:pPr/>
            <w:r>
              <w:t xml:space="preserve">Accessibility</w:t>
            </w:r>
          </w:p>
        </w:tc>
        <w:tc>
          <w:tcPr>
            <w:tcW w:w="3120" w:type="dxa"/>
          </w:tcPr>
          <w:p>
            <w:pPr/>
            <w:r>
              <w:t xml:space="preserve">WCAG 2.2 AA; screen reader support; text scaling to 200%; high contrast; no colour-only meaning; large touch targets; captions on videos (Section 25.1)</w:t>
            </w:r>
          </w:p>
        </w:tc>
        <w:tc>
          <w:tcPr>
            <w:tcW w:w="3120" w:type="dxa"/>
          </w:tcPr>
          <w:p>
            <w:pPr/>
            <w:r>
              <w:t xml:space="preserve">Automated checks plus manual testing with disabled users</w:t>
            </w:r>
          </w:p>
        </w:tc>
      </w:tr>
      <w:tr>
        <w:tc>
          <w:tcPr>
            <w:tcW w:w="3120" w:type="dxa"/>
          </w:tcPr>
          <w:p>
            <w:pPr/>
            <w:r>
              <w:t xml:space="preserve">Localisation</w:t>
            </w:r>
          </w:p>
        </w:tc>
        <w:tc>
          <w:tcPr>
            <w:tcW w:w="3120" w:type="dxa"/>
          </w:tcPr>
          <w:p>
            <w:pPr/>
            <w:r>
              <w:t xml:space="preserve">English and Swahili at launch; ready for further languages [A]</w:t>
            </w:r>
          </w:p>
        </w:tc>
        <w:tc>
          <w:tcPr>
            <w:tcW w:w="3120" w:type="dxa"/>
          </w:tcPr>
          <w:p>
            <w:pPr/>
            <w:r>
              <w:t xml:space="preserve">Translation review with native speakers</w:t>
            </w:r>
          </w:p>
        </w:tc>
      </w:tr>
      <w:tr>
        <w:tc>
          <w:tcPr>
            <w:tcW w:w="3120" w:type="dxa"/>
          </w:tcPr>
          <w:p>
            <w:pPr/>
            <w:r>
              <w:t xml:space="preserve">Data residency</w:t>
            </w:r>
          </w:p>
        </w:tc>
        <w:tc>
          <w:tcPr>
            <w:tcW w:w="3120" w:type="dxa"/>
          </w:tcPr>
          <w:p>
            <w:pPr/>
            <w:r>
              <w:t xml:space="preserve">Production data for health care processing held in Kenya or with a continuously synced Kenyan serving copy (Section 19.4)</w:t>
            </w:r>
          </w:p>
        </w:tc>
        <w:tc>
          <w:tcPr>
            <w:tcW w:w="3120" w:type="dxa"/>
          </w:tcPr>
          <w:p>
            <w:pPr/>
            <w:r>
              <w:t xml:space="preserve">Architecture review; hosting contract</w:t>
            </w:r>
          </w:p>
        </w:tc>
      </w:tr>
      <w:tr>
        <w:tc>
          <w:tcPr>
            <w:tcW w:w="3120" w:type="dxa"/>
          </w:tcPr>
          <w:p>
            <w:pPr/>
            <w:r>
              <w:t xml:space="preserve">Maintainability</w:t>
            </w:r>
          </w:p>
        </w:tc>
        <w:tc>
          <w:tcPr>
            <w:tcW w:w="3120" w:type="dxa"/>
          </w:tcPr>
          <w:p>
            <w:pPr/>
            <w:r>
              <w:t xml:space="preserve">Modular monolith, typed APIs, at least 70% test coverage on core domain logic [A]</w:t>
            </w:r>
          </w:p>
        </w:tc>
        <w:tc>
          <w:tcPr>
            <w:tcW w:w="3120" w:type="dxa"/>
          </w:tcPr>
          <w:p>
            <w:pPr/>
            <w:r>
              <w:t xml:space="preserve">CI coverage gates</w:t>
            </w:r>
          </w:p>
        </w:tc>
      </w:tr>
      <w:tr>
        <w:tc>
          <w:tcPr>
            <w:tcW w:w="3120" w:type="dxa"/>
          </w:tcPr>
          <w:p>
            <w:pPr/>
            <w:r>
              <w:t xml:space="preserve">Observability</w:t>
            </w:r>
          </w:p>
        </w:tc>
        <w:tc>
          <w:tcPr>
            <w:tcW w:w="3120" w:type="dxa"/>
          </w:tcPr>
          <w:p>
            <w:pPr/>
            <w:r>
              <w:t xml:space="preserve">Structured logs, metrics, traces, error tracking, uptime checks, payment reconciliation alerts</w:t>
            </w:r>
          </w:p>
        </w:tc>
        <w:tc>
          <w:tcPr>
            <w:tcW w:w="3120" w:type="dxa"/>
          </w:tcPr>
          <w:p>
            <w:pPr/>
            <w:r>
              <w:t xml:space="preserve">Dashboards and alert drills</w:t>
            </w:r>
          </w:p>
        </w:tc>
      </w:tr>
      <w:tr>
        <w:tc>
          <w:tcPr>
            <w:tcW w:w="3120" w:type="dxa"/>
          </w:tcPr>
          <w:p>
            <w:pPr/>
            <w:r>
              <w:t xml:space="preserve">Interoperability</w:t>
            </w:r>
          </w:p>
        </w:tc>
        <w:tc>
          <w:tcPr>
            <w:tcW w:w="3120" w:type="dxa"/>
          </w:tcPr>
          <w:p>
            <w:pPr/>
            <w:r>
              <w:t xml:space="preserve">Standards-based export (FHIR resources for person, device, observation)</w:t>
            </w:r>
          </w:p>
        </w:tc>
        <w:tc>
          <w:tcPr>
            <w:tcW w:w="3120" w:type="dxa"/>
          </w:tcPr>
          <w:p>
            <w:pPr/>
            <w:r>
              <w:t xml:space="preserve">Conformance tests</w:t>
            </w:r>
          </w:p>
        </w:tc>
      </w:tr>
    </w:tbl>
    <w:p>
      <w:pPr>
        <w:pStyle w:val="Heading3"/>
      </w:pPr>
      <w:r>
        <w:t xml:space="preserve">18.3 Constraints and working assumptions</w:t>
      </w:r>
    </w:p>
    <w:p>
      <w:pPr>
        <w:pStyle w:val="ListParagraph"/>
        <w:numPr>
          <w:ilvl w:val="0"/>
          <w:numId w:val="13"/>
        </w:numPr>
      </w:pPr>
      <w:r>
        <w:t xml:space="preserve">Connectivity: Kenya has about 78.7 million connected mobile devices of which 63.7% are smartphones, and mobile money has about 53.4 million active subscriptions with M-Pesa holding about 89% ✅. Rural areas will have lower smartphone use and patchier signal [A].</w:t>
      </w:r>
    </w:p>
    <w:p>
      <w:pPr>
        <w:pStyle w:val="ListParagraph"/>
        <w:numPr>
          <w:ilvl w:val="0"/>
          <w:numId w:val="13"/>
        </w:numPr>
      </w:pPr>
      <w:r>
        <w:t xml:space="preserve">Languages: English and Swahili first; consent text and key instructions also need audio.</w:t>
      </w:r>
    </w:p>
    <w:p>
      <w:pPr>
        <w:pStyle w:val="ListParagraph"/>
        <w:numPr>
          <w:ilvl w:val="0"/>
          <w:numId w:val="13"/>
        </w:numPr>
      </w:pPr>
      <w:r>
        <w:t xml:space="preserve">Staff devices: low-cost Android tablets and phones; shared devices are common [A].</w:t>
      </w:r>
    </w:p>
    <w:p>
      <w:pPr>
        <w:pStyle w:val="ListParagraph"/>
        <w:numPr>
          <w:ilvl w:val="0"/>
          <w:numId w:val="13"/>
        </w:numPr>
      </w:pPr>
      <w:r>
        <w:t xml:space="preserve">Users with low literacy, low vision, limited dexterity or cognitive disability must be able to use the assisted modes.</w:t>
      </w:r>
    </w:p>
    <w:p>
      <w:pPr>
        <w:pStyle w:val="Heading2"/>
      </w:pPr>
      <w:r>
        <w:t xml:space="preserve">19. System architecture</w:t>
      </w:r>
    </w:p>
    <w:p>
      <w:pPr>
        <w:pStyle w:val="Heading3"/>
      </w:pPr>
      <w:r>
        <w:t xml:space="preserve">19.1 System context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External party or system</w:t>
            </w:r>
          </w:p>
        </w:tc>
        <w:tc>
          <w:tcPr>
            <w:tcW w:w="3120" w:type="dxa"/>
            <w:shd w:val="clear" w:color="auto" w:fill="F2F2F2"/>
          </w:tcPr>
          <w:p>
            <w:pPr/>
            <w:r>
              <w:t xml:space="preserve">Direction</w:t>
            </w:r>
          </w:p>
        </w:tc>
        <w:tc>
          <w:tcPr>
            <w:tcW w:w="3120" w:type="dxa"/>
            <w:shd w:val="clear" w:color="auto" w:fill="F2F2F2"/>
          </w:tcPr>
          <w:p>
            <w:pPr/>
            <w:r>
              <w:t xml:space="preserve">Purpose</w:t>
            </w:r>
          </w:p>
        </w:tc>
      </w:tr>
      <w:tr>
        <w:tc>
          <w:tcPr>
            <w:tcW w:w="3120" w:type="dxa"/>
          </w:tcPr>
          <w:p>
            <w:pPr/>
            <w:r>
              <w:t xml:space="preserve">Beneficiaries, caregivers, referrers</w:t>
            </w:r>
          </w:p>
        </w:tc>
        <w:tc>
          <w:tcPr>
            <w:tcW w:w="3120" w:type="dxa"/>
          </w:tcPr>
          <w:p>
            <w:pPr/>
            <w:r>
              <w:t xml:space="preserve">Both</w:t>
            </w:r>
          </w:p>
        </w:tc>
        <w:tc>
          <w:tcPr>
            <w:tcW w:w="3120" w:type="dxa"/>
          </w:tcPr>
          <w:p>
            <w:pPr/>
            <w:r>
              <w:t xml:space="preserve">WhatsApp, USSD/SMS and web for referrals, status, repairs and payments</w:t>
            </w:r>
          </w:p>
        </w:tc>
      </w:tr>
      <w:tr>
        <w:tc>
          <w:tcPr>
            <w:tcW w:w="3120" w:type="dxa"/>
          </w:tcPr>
          <w:p>
            <w:pPr/>
            <w:r>
              <w:t xml:space="preserve">Clinicians, technicians, hub agents</w:t>
            </w:r>
          </w:p>
        </w:tc>
        <w:tc>
          <w:tcPr>
            <w:tcW w:w="3120" w:type="dxa"/>
          </w:tcPr>
          <w:p>
            <w:pPr/>
            <w:r>
              <w:t xml:space="preserve">Both</w:t>
            </w:r>
          </w:p>
        </w:tc>
        <w:tc>
          <w:tcPr>
            <w:tcW w:w="3120" w:type="dxa"/>
          </w:tcPr>
          <w:p>
            <w:pPr/>
            <w:r>
              <w:t xml:space="preserve">Offline-capable tablet and phone PWA</w:t>
            </w:r>
          </w:p>
        </w:tc>
      </w:tr>
      <w:tr>
        <w:tc>
          <w:tcPr>
            <w:tcW w:w="3120" w:type="dxa"/>
          </w:tcPr>
          <w:p>
            <w:pPr/>
            <w:r>
              <w:t xml:space="preserve">Partners and funders</w:t>
            </w:r>
          </w:p>
        </w:tc>
        <w:tc>
          <w:tcPr>
            <w:tcW w:w="3120" w:type="dxa"/>
          </w:tcPr>
          <w:p>
            <w:pPr/>
            <w:r>
              <w:t xml:space="preserve">Out</w:t>
            </w:r>
          </w:p>
        </w:tc>
        <w:tc>
          <w:tcPr>
            <w:tcW w:w="3120" w:type="dxa"/>
          </w:tcPr>
          <w:p>
            <w:pPr/>
            <w:r>
              <w:t xml:space="preserve">Dashboards and reports; bulk ordering and acceptance</w:t>
            </w:r>
          </w:p>
        </w:tc>
      </w:tr>
      <w:tr>
        <w:tc>
          <w:tcPr>
            <w:tcW w:w="3120" w:type="dxa"/>
          </w:tcPr>
          <w:p>
            <w:pPr/>
            <w:r>
              <w:t xml:space="preserve">M-Pesa (Safaricom Daraja)</w:t>
            </w:r>
          </w:p>
        </w:tc>
        <w:tc>
          <w:tcPr>
            <w:tcW w:w="3120" w:type="dxa"/>
          </w:tcPr>
          <w:p>
            <w:pPr/>
            <w:r>
              <w:t xml:space="preserve">Both</w:t>
            </w:r>
          </w:p>
        </w:tc>
        <w:tc>
          <w:tcPr>
            <w:tcW w:w="3120" w:type="dxa"/>
          </w:tcPr>
          <w:p>
            <w:pPr/>
            <w:r>
              <w:t xml:space="preserve">Payment requests and callbacks; reconciliation</w:t>
            </w:r>
          </w:p>
        </w:tc>
      </w:tr>
      <w:tr>
        <w:tc>
          <w:tcPr>
            <w:tcW w:w="3120" w:type="dxa"/>
          </w:tcPr>
          <w:p>
            <w:pPr/>
            <w:r>
              <w:t xml:space="preserve">WhatsApp Cloud API and SMS/USSD aggregator</w:t>
            </w:r>
          </w:p>
        </w:tc>
        <w:tc>
          <w:tcPr>
            <w:tcW w:w="3120" w:type="dxa"/>
          </w:tcPr>
          <w:p>
            <w:pPr/>
            <w:r>
              <w:t xml:space="preserve">Both</w:t>
            </w:r>
          </w:p>
        </w:tc>
        <w:tc>
          <w:tcPr>
            <w:tcW w:w="3120" w:type="dxa"/>
          </w:tcPr>
          <w:p>
            <w:pPr/>
            <w:r>
              <w:t xml:space="preserve">Messaging and menus</w:t>
            </w:r>
          </w:p>
        </w:tc>
      </w:tr>
      <w:tr>
        <w:tc>
          <w:tcPr>
            <w:tcW w:w="3120" w:type="dxa"/>
          </w:tcPr>
          <w:p>
            <w:pPr/>
            <w:r>
              <w:t xml:space="preserve">Digital Health Agency systems</w:t>
            </w:r>
          </w:p>
        </w:tc>
        <w:tc>
          <w:tcPr>
            <w:tcW w:w="3120" w:type="dxa"/>
          </w:tcPr>
          <w:p>
            <w:pPr/>
            <w:r>
              <w:t xml:space="preserve">Both (later)</w:t>
            </w:r>
          </w:p>
        </w:tc>
        <w:tc>
          <w:tcPr>
            <w:tcW w:w="3120" w:type="dxa"/>
          </w:tcPr>
          <w:p>
            <w:pPr/>
            <w:r>
              <w:t xml:space="preserve">Certification, health information exchange</w:t>
            </w:r>
          </w:p>
        </w:tc>
      </w:tr>
      <w:tr>
        <w:tc>
          <w:tcPr>
            <w:tcW w:w="3120" w:type="dxa"/>
          </w:tcPr>
          <w:p>
            <w:pPr/>
            <w:r>
              <w:t xml:space="preserve">KEMSA and procurement systems</w:t>
            </w:r>
          </w:p>
        </w:tc>
        <w:tc>
          <w:tcPr>
            <w:tcW w:w="3120" w:type="dxa"/>
          </w:tcPr>
          <w:p>
            <w:pPr/>
            <w:r>
              <w:t xml:space="preserve">Both (later)</w:t>
            </w:r>
          </w:p>
        </w:tc>
        <w:tc>
          <w:tcPr>
            <w:tcW w:w="3120" w:type="dxa"/>
          </w:tcPr>
          <w:p>
            <w:pPr/>
            <w:r>
              <w:t xml:space="preserve">Specifications, stock and delivery data</w:t>
            </w:r>
          </w:p>
        </w:tc>
      </w:tr>
      <w:tr>
        <w:tc>
          <w:tcPr>
            <w:tcW w:w="3120" w:type="dxa"/>
          </w:tcPr>
          <w:p>
            <w:pPr/>
            <w:r>
              <w:t xml:space="preserve">SHA</w:t>
            </w:r>
          </w:p>
        </w:tc>
        <w:tc>
          <w:tcPr>
            <w:tcW w:w="3120" w:type="dxa"/>
          </w:tcPr>
          <w:p>
            <w:pPr/>
            <w:r>
              <w:t xml:space="preserve">Out (optional)</w:t>
            </w:r>
          </w:p>
        </w:tc>
        <w:tc>
          <w:tcPr>
            <w:tcW w:w="3120" w:type="dxa"/>
          </w:tcPr>
          <w:p>
            <w:pPr/>
            <w:r>
              <w:t xml:space="preserve">Pre-authorisation evidence pack</w:t>
            </w:r>
          </w:p>
        </w:tc>
      </w:tr>
      <w:tr>
        <w:tc>
          <w:tcPr>
            <w:tcW w:w="3120" w:type="dxa"/>
          </w:tcPr>
          <w:p>
            <w:pPr/>
            <w:r>
              <w:t xml:space="preserve">ODPC</w:t>
            </w:r>
          </w:p>
        </w:tc>
        <w:tc>
          <w:tcPr>
            <w:tcW w:w="3120" w:type="dxa"/>
          </w:tcPr>
          <w:p>
            <w:pPr/>
            <w:r>
              <w:t xml:space="preserve">Out</w:t>
            </w:r>
          </w:p>
        </w:tc>
        <w:tc>
          <w:tcPr>
            <w:tcW w:w="3120" w:type="dxa"/>
          </w:tcPr>
          <w:p>
            <w:pPr/>
            <w:r>
              <w:t xml:space="preserve">Registration, breach notification, transfer notices</w:t>
            </w:r>
          </w:p>
        </w:tc>
      </w:tr>
      <w:tr>
        <w:tc>
          <w:tcPr>
            <w:tcW w:w="3120" w:type="dxa"/>
          </w:tcPr>
          <w:p>
            <w:pPr/>
            <w:r>
              <w:t xml:space="preserve">Accounting system</w:t>
            </w:r>
          </w:p>
        </w:tc>
        <w:tc>
          <w:tcPr>
            <w:tcW w:w="3120" w:type="dxa"/>
          </w:tcPr>
          <w:p>
            <w:pPr/>
            <w:r>
              <w:t xml:space="preserve">Out</w:t>
            </w:r>
          </w:p>
        </w:tc>
        <w:tc>
          <w:tcPr>
            <w:tcW w:w="3120" w:type="dxa"/>
          </w:tcPr>
          <w:p>
            <w:pPr/>
            <w:r>
              <w:t xml:space="preserve">Invoice and payment export</w:t>
            </w:r>
          </w:p>
        </w:tc>
      </w:tr>
    </w:tbl>
    <w:p>
      <w:pPr>
        <w:pStyle w:val="Heading3"/>
      </w:pPr>
      <w:r>
        <w:t xml:space="preserve">19.2 Recommended stack [A]</w:t>
      </w:r>
    </w:p>
    <w:p>
      <w:pPr/>
      <w:r>
        <w:t xml:space="preserve">Chosen for a small team, strong typing, offline support and low cost. Adjust to the team's strengths.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Web and PWA</w:t>
            </w:r>
          </w:p>
        </w:tc>
        <w:tc>
          <w:tcPr>
            <w:tcW w:w="3120" w:type="dxa"/>
          </w:tcPr>
          <w:p>
            <w:pPr/>
            <w:r>
              <w:t xml:space="preserve">Next.js (React, TypeScript), Tailwind, accessible primitives (Radix or Headless UI)</w:t>
            </w:r>
          </w:p>
        </w:tc>
        <w:tc>
          <w:tcPr>
            <w:tcW w:w="3120" w:type="dxa"/>
          </w:tcPr>
          <w:p>
            <w:pPr/>
            <w:r>
              <w:t xml:space="preserve">Light first load, strong accessibility primitives</w:t>
            </w:r>
          </w:p>
        </w:tc>
      </w:tr>
      <w:tr>
        <w:tc>
          <w:tcPr>
            <w:tcW w:w="3120" w:type="dxa"/>
          </w:tcPr>
          <w:p>
            <w:pPr/>
            <w:r>
              <w:t xml:space="preserve">Offline</w:t>
            </w:r>
          </w:p>
        </w:tc>
        <w:tc>
          <w:tcPr>
            <w:tcW w:w="3120" w:type="dxa"/>
          </w:tcPr>
          <w:p>
            <w:pPr/>
            <w:r>
              <w:t xml:space="preserve">Service worker, IndexedDB (Dexie), outbox queue; evaluate a local-first sync engine (for example RxDB, PowerSync or ElectricSQL) [V]</w:t>
            </w:r>
          </w:p>
        </w:tc>
        <w:tc>
          <w:tcPr>
            <w:tcW w:w="3120" w:type="dxa"/>
          </w:tcPr>
          <w:p>
            <w:pPr/>
            <w:r>
              <w:t xml:space="preserve">Offline forms with a sync queue</w:t>
            </w:r>
          </w:p>
        </w:tc>
      </w:tr>
      <w:tr>
        <w:tc>
          <w:tcPr>
            <w:tcW w:w="3120" w:type="dxa"/>
          </w:tcPr>
          <w:p>
            <w:pPr/>
            <w:r>
              <w:t xml:space="preserve">Mobile (later)</w:t>
            </w:r>
          </w:p>
        </w:tc>
        <w:tc>
          <w:tcPr>
            <w:tcW w:w="3120" w:type="dxa"/>
          </w:tcPr>
          <w:p>
            <w:pPr/>
            <w:r>
              <w:t xml:space="preserve">React Native (Expo) if the PWA hits limits (camera, Bluetooth, NFC)</w:t>
            </w:r>
          </w:p>
        </w:tc>
        <w:tc>
          <w:tcPr>
            <w:tcW w:w="3120" w:type="dxa"/>
          </w:tcPr>
          <w:p>
            <w:pPr/>
            <w:r>
              <w:t xml:space="preserve">Reuse TypeScript code</w:t>
            </w:r>
          </w:p>
        </w:tc>
      </w:tr>
      <w:tr>
        <w:tc>
          <w:tcPr>
            <w:tcW w:w="3120" w:type="dxa"/>
          </w:tcPr>
          <w:p>
            <w:pPr/>
            <w:r>
              <w:t xml:space="preserve">Core API</w:t>
            </w:r>
          </w:p>
        </w:tc>
        <w:tc>
          <w:tcPr>
            <w:tcW w:w="3120" w:type="dxa"/>
          </w:tcPr>
          <w:p>
            <w:pPr/>
            <w:r>
              <w:t xml:space="preserve">NestJS (TypeScript) modular monolith, REST with OpenAPI</w:t>
            </w:r>
          </w:p>
        </w:tc>
        <w:tc>
          <w:tcPr>
            <w:tcW w:w="3120" w:type="dxa"/>
          </w:tcPr>
          <w:p>
            <w:pPr/>
            <w:r>
              <w:t xml:space="preserve">Fast delivery, clear module boundaries</w:t>
            </w:r>
          </w:p>
        </w:tc>
      </w:tr>
      <w:tr>
        <w:tc>
          <w:tcPr>
            <w:tcW w:w="3120" w:type="dxa"/>
          </w:tcPr>
          <w:p>
            <w:pPr/>
            <w:r>
              <w:t xml:space="preserve">AI services</w:t>
            </w:r>
          </w:p>
        </w:tc>
        <w:tc>
          <w:tcPr>
            <w:tcW w:w="3120" w:type="dxa"/>
          </w:tcPr>
          <w:p>
            <w:pPr/>
            <w:r>
              <w:t xml:space="preserve">FastAPI (Python) as a separate service</w:t>
            </w:r>
          </w:p>
        </w:tc>
        <w:tc>
          <w:tcPr>
            <w:tcW w:w="3120" w:type="dxa"/>
          </w:tcPr>
          <w:p>
            <w:pPr/>
            <w:r>
              <w:t xml:space="preserve">ML ecosystem</w:t>
            </w:r>
          </w:p>
        </w:tc>
      </w:tr>
      <w:tr>
        <w:tc>
          <w:tcPr>
            <w:tcW w:w="3120" w:type="dxa"/>
          </w:tcPr>
          <w:p>
            <w:pPr/>
            <w:r>
              <w:t xml:space="preserve">Database</w:t>
            </w:r>
          </w:p>
        </w:tc>
        <w:tc>
          <w:tcPr>
            <w:tcW w:w="3120" w:type="dxa"/>
          </w:tcPr>
          <w:p>
            <w:pPr/>
            <w:r>
              <w:t xml:space="preserve">PostgreSQL 16 with PostGIS and pgcrypto</w:t>
            </w:r>
          </w:p>
        </w:tc>
        <w:tc>
          <w:tcPr>
            <w:tcW w:w="3120" w:type="dxa"/>
          </w:tcPr>
          <w:p>
            <w:pPr/>
            <w:r>
              <w:t xml:space="preserve">Relational integrity, auditability, geo queries</w:t>
            </w:r>
          </w:p>
        </w:tc>
      </w:tr>
      <w:tr>
        <w:tc>
          <w:tcPr>
            <w:tcW w:w="3120" w:type="dxa"/>
          </w:tcPr>
          <w:p>
            <w:pPr/>
            <w:r>
              <w:t xml:space="preserve">Queue and cache</w:t>
            </w:r>
          </w:p>
        </w:tc>
        <w:tc>
          <w:tcPr>
            <w:tcW w:w="3120" w:type="dxa"/>
          </w:tcPr>
          <w:p>
            <w:pPr/>
            <w:r>
              <w:t xml:space="preserve">Redis with BullMQ</w:t>
            </w:r>
          </w:p>
        </w:tc>
        <w:tc>
          <w:tcPr>
            <w:tcW w:w="3120" w:type="dxa"/>
          </w:tcPr>
          <w:p>
            <w:pPr/>
            <w:r>
              <w:t xml:space="preserve">Webhooks, notifications, sync, jobs</w:t>
            </w:r>
          </w:p>
        </w:tc>
      </w:tr>
      <w:tr>
        <w:tc>
          <w:tcPr>
            <w:tcW w:w="3120" w:type="dxa"/>
          </w:tcPr>
          <w:p>
            <w:pPr/>
            <w:r>
              <w:t xml:space="preserve">Object storage</w:t>
            </w:r>
          </w:p>
        </w:tc>
        <w:tc>
          <w:tcPr>
            <w:tcW w:w="3120" w:type="dxa"/>
          </w:tcPr>
          <w:p>
            <w:pPr/>
            <w:r>
              <w:t xml:space="preserve">S3-compatible (MinIO or provider)</w:t>
            </w:r>
          </w:p>
        </w:tc>
        <w:tc>
          <w:tcPr>
            <w:tcW w:w="3120" w:type="dxa"/>
          </w:tcPr>
          <w:p>
            <w:pPr/>
            <w:r>
              <w:t xml:space="preserve">Scans, CAD files, photos, PDFs</w:t>
            </w:r>
          </w:p>
        </w:tc>
      </w:tr>
      <w:tr>
        <w:tc>
          <w:tcPr>
            <w:tcW w:w="3120" w:type="dxa"/>
          </w:tcPr>
          <w:p>
            <w:pPr/>
            <w:r>
              <w:t xml:space="preserve">Auth</w:t>
            </w:r>
          </w:p>
        </w:tc>
        <w:tc>
          <w:tcPr>
            <w:tcW w:w="3120" w:type="dxa"/>
          </w:tcPr>
          <w:p>
            <w:pPr/>
            <w:r>
              <w:t xml:space="preserve">Keycloak or Ory (OIDC); phone OTP for end users; TOTP or WebAuthn for staff</w:t>
            </w:r>
          </w:p>
        </w:tc>
        <w:tc>
          <w:tcPr>
            <w:tcW w:w="3120" w:type="dxa"/>
          </w:tcPr>
          <w:p>
            <w:pPr/>
            <w:r>
              <w:t xml:space="preserve">Standards-based</w:t>
            </w:r>
          </w:p>
        </w:tc>
      </w:tr>
      <w:tr>
        <w:tc>
          <w:tcPr>
            <w:tcW w:w="3120" w:type="dxa"/>
          </w:tcPr>
          <w:p>
            <w:pPr/>
            <w:r>
              <w:t xml:space="preserve">Search</w:t>
            </w:r>
          </w:p>
        </w:tc>
        <w:tc>
          <w:tcPr>
            <w:tcW w:w="3120" w:type="dxa"/>
          </w:tcPr>
          <w:p>
            <w:pPr/>
            <w:r>
              <w:t xml:space="preserve">PostgreSQL full-text first; OpenSearch later</w:t>
            </w:r>
          </w:p>
        </w:tc>
        <w:tc>
          <w:tcPr>
            <w:tcW w:w="3120" w:type="dxa"/>
          </w:tcPr>
          <w:p>
            <w:pPr/>
            <w:r>
              <w:t xml:space="preserve">Keep operations light</w:t>
            </w:r>
          </w:p>
        </w:tc>
      </w:tr>
      <w:tr>
        <w:tc>
          <w:tcPr>
            <w:tcW w:w="3120" w:type="dxa"/>
          </w:tcPr>
          <w:p>
            <w:pPr/>
            <w:r>
              <w:t xml:space="preserve">Messaging</w:t>
            </w:r>
          </w:p>
        </w:tc>
        <w:tc>
          <w:tcPr>
            <w:tcW w:w="3120" w:type="dxa"/>
          </w:tcPr>
          <w:p>
            <w:pPr/>
            <w:r>
              <w:t xml:space="preserve">WhatsApp Cloud API; SMS/USSD via an aggregator such as Africa's Talking [V pricing and availability]</w:t>
            </w:r>
          </w:p>
        </w:tc>
        <w:tc>
          <w:tcPr>
            <w:tcW w:w="3120" w:type="dxa"/>
          </w:tcPr>
          <w:p>
            <w:pPr/>
            <w:r>
              <w:t xml:space="preserve">Reach users where they are</w:t>
            </w:r>
          </w:p>
        </w:tc>
      </w:tr>
      <w:tr>
        <w:tc>
          <w:tcPr>
            <w:tcW w:w="3120" w:type="dxa"/>
          </w:tcPr>
          <w:p>
            <w:pPr/>
            <w:r>
              <w:t xml:space="preserve">Payments</w:t>
            </w:r>
          </w:p>
        </w:tc>
        <w:tc>
          <w:tcPr>
            <w:tcW w:w="3120" w:type="dxa"/>
          </w:tcPr>
          <w:p>
            <w:pPr/>
            <w:r>
              <w:t xml:space="preserve">M-Pesa Daraja (STK Push, C2B, B2C); cards and other wallets later</w:t>
            </w:r>
          </w:p>
        </w:tc>
        <w:tc>
          <w:tcPr>
            <w:tcW w:w="3120" w:type="dxa"/>
          </w:tcPr>
          <w:p>
            <w:pPr/>
            <w:r>
              <w:t xml:space="preserve">Dominant channel in Kenya</w:t>
            </w:r>
          </w:p>
        </w:tc>
      </w:tr>
      <w:tr>
        <w:tc>
          <w:tcPr>
            <w:tcW w:w="3120" w:type="dxa"/>
          </w:tcPr>
          <w:p>
            <w:pPr/>
            <w:r>
              <w:t xml:space="preserve">Health data standards</w:t>
            </w:r>
          </w:p>
        </w:tc>
        <w:tc>
          <w:tcPr>
            <w:tcW w:w="3120" w:type="dxa"/>
          </w:tcPr>
          <w:p>
            <w:pPr/>
            <w:r>
              <w:t xml:space="preserve">FHIR resource mapping; optional HAPI FHIR facade in v2</w:t>
            </w:r>
          </w:p>
        </w:tc>
        <w:tc>
          <w:tcPr>
            <w:tcW w:w="3120" w:type="dxa"/>
          </w:tcPr>
          <w:p>
            <w:pPr/>
            <w:r>
              <w:t xml:space="preserve">National interoperability ✅</w:t>
            </w:r>
          </w:p>
        </w:tc>
      </w:tr>
      <w:tr>
        <w:tc>
          <w:tcPr>
            <w:tcW w:w="3120" w:type="dxa"/>
          </w:tcPr>
          <w:p>
            <w:pPr/>
            <w:r>
              <w:t xml:space="preserve">Infrastructure as code</w:t>
            </w:r>
          </w:p>
        </w:tc>
        <w:tc>
          <w:tcPr>
            <w:tcW w:w="3120" w:type="dxa"/>
          </w:tcPr>
          <w:p>
            <w:pPr/>
            <w:r>
              <w:t xml:space="preserve">Terraform, Docker, GitHub Actions</w:t>
            </w:r>
          </w:p>
        </w:tc>
        <w:tc>
          <w:tcPr>
            <w:tcW w:w="3120" w:type="dxa"/>
          </w:tcPr>
          <w:p>
            <w:pPr/>
            <w:r>
              <w:t xml:space="preserve">Reproducible, portable</w:t>
            </w:r>
          </w:p>
        </w:tc>
      </w:tr>
      <w:tr>
        <w:tc>
          <w:tcPr>
            <w:tcW w:w="3120" w:type="dxa"/>
          </w:tcPr>
          <w:p>
            <w:pPr/>
            <w:r>
              <w:t xml:space="preserve">Observability</w:t>
            </w:r>
          </w:p>
        </w:tc>
        <w:tc>
          <w:tcPr>
            <w:tcW w:w="3120" w:type="dxa"/>
          </w:tcPr>
          <w:p>
            <w:pPr/>
            <w:r>
              <w:t xml:space="preserve">OpenTelemetry to a Grafana stack; Sentry</w:t>
            </w:r>
          </w:p>
        </w:tc>
        <w:tc>
          <w:tcPr>
            <w:tcW w:w="3120" w:type="dxa"/>
          </w:tcPr>
          <w:p>
            <w:pPr/>
            <w:r>
              <w:t xml:space="preserve">Open tooling</w:t>
            </w:r>
          </w:p>
        </w:tc>
      </w:tr>
      <w:tr>
        <w:tc>
          <w:tcPr>
            <w:tcW w:w="3120" w:type="dxa"/>
          </w:tcPr>
          <w:p>
            <w:pPr/>
            <w:r>
              <w:t xml:space="preserve">Hosting</w:t>
            </w:r>
          </w:p>
        </w:tc>
        <w:tc>
          <w:tcPr>
            <w:tcW w:w="3120" w:type="dxa"/>
          </w:tcPr>
          <w:p>
            <w:pPr/>
            <w:r>
              <w:t xml:space="preserve">Nairobi data centre or a cloud region with a Kenyan serving copy (Section 19.4)</w:t>
            </w:r>
          </w:p>
        </w:tc>
        <w:tc>
          <w:tcPr>
            <w:tcW w:w="3120" w:type="dxa"/>
          </w:tcPr>
          <w:p>
            <w:pPr/>
            <w:r>
              <w:t xml:space="preserve">Compliance</w:t>
            </w:r>
          </w:p>
        </w:tc>
      </w:tr>
    </w:tbl>
    <w:p>
      <w:pPr>
        <w:pStyle w:val="Heading3"/>
      </w:pPr>
      <w:r>
        <w:t xml:space="preserve">19.3 Architecture decisions (ADR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ADR</w:t>
            </w:r>
          </w:p>
        </w:tc>
        <w:tc>
          <w:tcPr>
            <w:tcW w:w="3120" w:type="dxa"/>
            <w:shd w:val="clear" w:color="auto" w:fill="F2F2F2"/>
          </w:tcPr>
          <w:p>
            <w:pPr/>
            <w:r>
              <w:t xml:space="preserve">Decision</w:t>
            </w:r>
          </w:p>
        </w:tc>
        <w:tc>
          <w:tcPr>
            <w:tcW w:w="3120" w:type="dxa"/>
            <w:shd w:val="clear" w:color="auto" w:fill="F2F2F2"/>
          </w:tcPr>
          <w:p>
            <w:pPr/>
            <w:r>
              <w:t xml:space="preserve">Rationale</w:t>
            </w:r>
          </w:p>
        </w:tc>
      </w:tr>
      <w:tr>
        <w:tc>
          <w:tcPr>
            <w:tcW w:w="3120" w:type="dxa"/>
          </w:tcPr>
          <w:p>
            <w:pPr/>
            <w:r>
              <w:t xml:space="preserve">01</w:t>
            </w:r>
          </w:p>
        </w:tc>
        <w:tc>
          <w:tcPr>
            <w:tcW w:w="3120" w:type="dxa"/>
          </w:tcPr>
          <w:p>
            <w:pPr/>
            <w:r>
              <w:t xml:space="preserve">Modular monolith, not microservices; split out the AI service only</w:t>
            </w:r>
          </w:p>
        </w:tc>
        <w:tc>
          <w:tcPr>
            <w:tcW w:w="3120" w:type="dxa"/>
          </w:tcPr>
          <w:p>
            <w:pPr/>
            <w:r>
              <w:t xml:space="preserve">Small team; fewer moving parts</w:t>
            </w:r>
          </w:p>
        </w:tc>
      </w:tr>
      <w:tr>
        <w:tc>
          <w:tcPr>
            <w:tcW w:w="3120" w:type="dxa"/>
          </w:tcPr>
          <w:p>
            <w:pPr/>
            <w:r>
              <w:t xml:space="preserve">02</w:t>
            </w:r>
          </w:p>
        </w:tc>
        <w:tc>
          <w:tcPr>
            <w:tcW w:w="3120" w:type="dxa"/>
          </w:tcPr>
          <w:p>
            <w:pPr/>
            <w:r>
              <w:t xml:space="preserve">PWA first with offline sync</w:t>
            </w:r>
          </w:p>
        </w:tc>
        <w:tc>
          <w:tcPr>
            <w:tcW w:w="3120" w:type="dxa"/>
          </w:tcPr>
          <w:p>
            <w:pPr/>
            <w:r>
              <w:t xml:space="preserve">Fastest to ship; no install for referrers</w:t>
            </w:r>
          </w:p>
        </w:tc>
      </w:tr>
      <w:tr>
        <w:tc>
          <w:tcPr>
            <w:tcW w:w="3120" w:type="dxa"/>
          </w:tcPr>
          <w:p>
            <w:pPr/>
            <w:r>
              <w:t xml:space="preserve">03</w:t>
            </w:r>
          </w:p>
        </w:tc>
        <w:tc>
          <w:tcPr>
            <w:tcW w:w="3120" w:type="dxa"/>
          </w:tcPr>
          <w:p>
            <w:pPr/>
            <w:r>
              <w:t xml:space="preserve">Event outbox table for domain events</w:t>
            </w:r>
          </w:p>
        </w:tc>
        <w:tc>
          <w:tcPr>
            <w:tcW w:w="3120" w:type="dxa"/>
          </w:tcPr>
          <w:p>
            <w:pPr/>
            <w:r>
              <w:t xml:space="preserve">Reliable notifications, audit and future integrations</w:t>
            </w:r>
          </w:p>
        </w:tc>
      </w:tr>
      <w:tr>
        <w:tc>
          <w:tcPr>
            <w:tcW w:w="3120" w:type="dxa"/>
          </w:tcPr>
          <w:p>
            <w:pPr/>
            <w:r>
              <w:t xml:space="preserve">04</w:t>
            </w:r>
          </w:p>
        </w:tc>
        <w:tc>
          <w:tcPr>
            <w:tcW w:w="3120" w:type="dxa"/>
          </w:tcPr>
          <w:p>
            <w:pPr/>
            <w:r>
              <w:t xml:space="preserve">Append-only audit log; soft delete plus cryptographic erasure</w:t>
            </w:r>
          </w:p>
        </w:tc>
        <w:tc>
          <w:tcPr>
            <w:tcW w:w="3120" w:type="dxa"/>
          </w:tcPr>
          <w:p>
            <w:pPr/>
            <w:r>
              <w:t xml:space="preserve">Traceability together with erasure rights</w:t>
            </w:r>
          </w:p>
        </w:tc>
      </w:tr>
      <w:tr>
        <w:tc>
          <w:tcPr>
            <w:tcW w:w="3120" w:type="dxa"/>
          </w:tcPr>
          <w:p>
            <w:pPr/>
            <w:r>
              <w:t xml:space="preserve">05</w:t>
            </w:r>
          </w:p>
        </w:tc>
        <w:tc>
          <w:tcPr>
            <w:tcW w:w="3120" w:type="dxa"/>
          </w:tcPr>
          <w:p>
            <w:pPr/>
            <w:r>
              <w:t xml:space="preserve">Idempotency keys on all payment and webhook endpoints</w:t>
            </w:r>
          </w:p>
        </w:tc>
        <w:tc>
          <w:tcPr>
            <w:tcW w:w="3120" w:type="dxa"/>
          </w:tcPr>
          <w:p>
            <w:pPr/>
            <w:r>
              <w:t xml:space="preserve">M-Pesa retries and duplicate callbacks</w:t>
            </w:r>
          </w:p>
        </w:tc>
      </w:tr>
      <w:tr>
        <w:tc>
          <w:tcPr>
            <w:tcW w:w="3120" w:type="dxa"/>
          </w:tcPr>
          <w:p>
            <w:pPr/>
            <w:r>
              <w:t xml:space="preserve">06</w:t>
            </w:r>
          </w:p>
        </w:tc>
        <w:tc>
          <w:tcPr>
            <w:tcW w:w="3120" w:type="dxa"/>
          </w:tcPr>
          <w:p>
            <w:pPr/>
            <w:r>
              <w:t xml:space="preserve">Pseudonymous identifiers in analytics; personal data stays in the operational schema</w:t>
            </w:r>
          </w:p>
        </w:tc>
        <w:tc>
          <w:tcPr>
            <w:tcW w:w="3120" w:type="dxa"/>
          </w:tcPr>
          <w:p>
            <w:pPr/>
            <w:r>
              <w:t xml:space="preserve">Privacy and safe sharing with funders</w:t>
            </w:r>
          </w:p>
        </w:tc>
      </w:tr>
      <w:tr>
        <w:tc>
          <w:tcPr>
            <w:tcW w:w="3120" w:type="dxa"/>
          </w:tcPr>
          <w:p>
            <w:pPr/>
            <w:r>
              <w:t xml:space="preserve">07</w:t>
            </w:r>
          </w:p>
        </w:tc>
        <w:tc>
          <w:tcPr>
            <w:tcW w:w="3120" w:type="dxa"/>
          </w:tcPr>
          <w:p>
            <w:pPr/>
            <w:r>
              <w:t xml:space="preserve">Feature flags for AI and experimental modules</w:t>
            </w:r>
          </w:p>
        </w:tc>
        <w:tc>
          <w:tcPr>
            <w:tcW w:w="3120" w:type="dxa"/>
          </w:tcPr>
          <w:p>
            <w:pPr/>
            <w:r>
              <w:t xml:space="preserve">Safe rollout and a kill switch</w:t>
            </w:r>
          </w:p>
        </w:tc>
      </w:tr>
      <w:tr>
        <w:tc>
          <w:tcPr>
            <w:tcW w:w="3120" w:type="dxa"/>
          </w:tcPr>
          <w:p>
            <w:pPr/>
            <w:r>
              <w:t xml:space="preserve">08</w:t>
            </w:r>
          </w:p>
        </w:tc>
        <w:tc>
          <w:tcPr>
            <w:tcW w:w="3120" w:type="dxa"/>
          </w:tcPr>
          <w:p>
            <w:pPr/>
            <w:r>
              <w:t xml:space="preserve">Cloud-agnostic containers</w:t>
            </w:r>
          </w:p>
        </w:tc>
        <w:tc>
          <w:tcPr>
            <w:tcW w:w="3120" w:type="dxa"/>
          </w:tcPr>
          <w:p>
            <w:pPr/>
            <w:r>
              <w:t xml:space="preserve">Avoid lock-in; support Kenyan hosting</w:t>
            </w:r>
          </w:p>
        </w:tc>
      </w:tr>
      <w:tr>
        <w:tc>
          <w:tcPr>
            <w:tcW w:w="3120" w:type="dxa"/>
          </w:tcPr>
          <w:p>
            <w:pPr/>
            <w:r>
              <w:t xml:space="preserve">09</w:t>
            </w:r>
          </w:p>
        </w:tc>
        <w:tc>
          <w:tcPr>
            <w:tcW w:w="3120" w:type="dxa"/>
          </w:tcPr>
          <w:p>
            <w:pPr/>
            <w:r>
              <w:t xml:space="preserve">Public QR page exposes no personal data</w:t>
            </w:r>
          </w:p>
        </w:tc>
        <w:tc>
          <w:tcPr>
            <w:tcW w:w="3120" w:type="dxa"/>
          </w:tcPr>
          <w:p>
            <w:pPr/>
            <w:r>
              <w:t xml:space="preserve">Safe scanning by anyone</w:t>
            </w:r>
          </w:p>
        </w:tc>
      </w:tr>
      <w:tr>
        <w:tc>
          <w:tcPr>
            <w:tcW w:w="3120" w:type="dxa"/>
          </w:tcPr>
          <w:p>
            <w:pPr/>
            <w:r>
              <w:t xml:space="preserve">10</w:t>
            </w:r>
          </w:p>
        </w:tc>
        <w:tc>
          <w:tcPr>
            <w:tcW w:w="3120" w:type="dxa"/>
          </w:tcPr>
          <w:p>
            <w:pPr/>
            <w:r>
              <w:t xml:space="preserve">Server-authoritative payment state</w:t>
            </w:r>
          </w:p>
        </w:tc>
        <w:tc>
          <w:tcPr>
            <w:tcW w:w="3120" w:type="dxa"/>
          </w:tcPr>
          <w:p>
            <w:pPr/>
            <w:r>
              <w:t xml:space="preserve">Never trust a client for money</w:t>
            </w:r>
          </w:p>
        </w:tc>
      </w:tr>
      <w:tr>
        <w:tc>
          <w:tcPr>
            <w:tcW w:w="3120" w:type="dxa"/>
          </w:tcPr>
          <w:p>
            <w:pPr/>
            <w:r>
              <w:t xml:space="preserve">11</w:t>
            </w:r>
          </w:p>
        </w:tc>
        <w:tc>
          <w:tcPr>
            <w:tcW w:w="3120" w:type="dxa"/>
          </w:tcPr>
          <w:p>
            <w:pPr/>
            <w:r>
              <w:t xml:space="preserve">Clinical sign-off is a hard gate in code, not only in policy</w:t>
            </w:r>
          </w:p>
        </w:tc>
        <w:tc>
          <w:tcPr>
            <w:tcW w:w="3120" w:type="dxa"/>
          </w:tcPr>
          <w:p>
            <w:pPr/>
            <w:r>
              <w:t xml:space="preserve">Human in the loop</w:t>
            </w:r>
          </w:p>
        </w:tc>
      </w:tr>
      <w:tr>
        <w:tc>
          <w:tcPr>
            <w:tcW w:w="3120" w:type="dxa"/>
          </w:tcPr>
          <w:p>
            <w:pPr/>
            <w:r>
              <w:t xml:space="preserve">12</w:t>
            </w:r>
          </w:p>
        </w:tc>
        <w:tc>
          <w:tcPr>
            <w:tcW w:w="3120" w:type="dxa"/>
          </w:tcPr>
          <w:p>
            <w:pPr/>
            <w:r>
              <w:t xml:space="preserve">Per-record versioning for offline sync (Section 19.5)</w:t>
            </w:r>
          </w:p>
        </w:tc>
        <w:tc>
          <w:tcPr>
            <w:tcW w:w="3120" w:type="dxa"/>
          </w:tcPr>
          <w:p>
            <w:pPr/>
            <w:r>
              <w:t xml:space="preserve">Conflict safety</w:t>
            </w:r>
          </w:p>
        </w:tc>
      </w:tr>
    </w:tbl>
    <w:p>
      <w:pPr>
        <w:pStyle w:val="Heading3"/>
      </w:pPr>
      <w:r>
        <w:t xml:space="preserve">19.4 Data residency and hosting options</w:t>
      </w:r>
    </w:p>
    <w:p>
      <w:pPr/>
      <w:r>
        <w:t xml:space="preserve">The Data Protection (General) Regulations (regulation 26) treat processing for the provision of primary or secondary health care in the country as processing for the strategic interest of the State, which under section 50 of the Act means processing on a server and data centre located in Kenya or storing at least one serving copy in a Kenyan data centre ✅P. Sending sensitive personal data abroad also requires the data subject's explicit consent and confirmation of appropriate safeguards (section 49(1)) ✅P, and ODPC treats a foreign cloud server as a cross-border transfer requiring notification and documentation ✅P. Whether AfriAssistive's own activity counts as health care is [V]; because clinical partners deliver care on the platform, plan as if it does.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Description</w:t>
            </w:r>
          </w:p>
        </w:tc>
        <w:tc>
          <w:tcPr>
            <w:tcW w:w="2340" w:type="dxa"/>
            <w:shd w:val="clear" w:color="auto" w:fill="F2F2F2"/>
          </w:tcPr>
          <w:p>
            <w:pPr/>
            <w:r>
              <w:t xml:space="preserve">Pros</w:t>
            </w:r>
          </w:p>
        </w:tc>
        <w:tc>
          <w:tcPr>
            <w:tcW w:w="2340" w:type="dxa"/>
            <w:shd w:val="clear" w:color="auto" w:fill="F2F2F2"/>
          </w:tcPr>
          <w:p>
            <w:pPr/>
            <w:r>
              <w:t xml:space="preserve">Cons</w:t>
            </w:r>
          </w:p>
        </w:tc>
      </w:tr>
      <w:tr>
        <w:tc>
          <w:tcPr>
            <w:tcW w:w="2340" w:type="dxa"/>
          </w:tcPr>
          <w:p>
            <w:pPr/>
            <w:r>
              <w:t xml:space="preserve">A: Kenyan primary</w:t>
            </w:r>
          </w:p>
        </w:tc>
        <w:tc>
          <w:tcPr>
            <w:tcW w:w="2340" w:type="dxa"/>
          </w:tcPr>
          <w:p>
            <w:pPr/>
            <w:r>
              <w:t xml:space="preserve">Production database, object storage and backups in a Nairobi facility</w:t>
            </w:r>
          </w:p>
        </w:tc>
        <w:tc>
          <w:tcPr>
            <w:tcW w:w="2340" w:type="dxa"/>
          </w:tcPr>
          <w:p>
            <w:pPr/>
            <w:r>
              <w:t xml:space="preserve">Cleanest compliance story; low latency in-country</w:t>
            </w:r>
          </w:p>
        </w:tc>
        <w:tc>
          <w:tcPr>
            <w:tcW w:w="2340" w:type="dxa"/>
          </w:tcPr>
          <w:p>
            <w:pPr/>
            <w:r>
              <w:t xml:space="preserve">Fewer managed services; operations burden; resilience needs a second Kenyan site</w:t>
            </w:r>
          </w:p>
        </w:tc>
      </w:tr>
      <w:tr>
        <w:tc>
          <w:tcPr>
            <w:tcW w:w="2340" w:type="dxa"/>
          </w:tcPr>
          <w:p>
            <w:pPr/>
            <w:r>
              <w:t xml:space="preserve">B: Foreign primary plus Kenyan serving copy</w:t>
            </w:r>
          </w:p>
        </w:tc>
        <w:tc>
          <w:tcPr>
            <w:tcW w:w="2340" w:type="dxa"/>
          </w:tcPr>
          <w:p>
            <w:pPr/>
            <w:r>
              <w:t xml:space="preserve">Managed cloud elsewhere, with continuous replication to Kenya</w:t>
            </w:r>
          </w:p>
        </w:tc>
        <w:tc>
          <w:tcPr>
            <w:tcW w:w="2340" w:type="dxa"/>
          </w:tcPr>
          <w:p>
            <w:pPr/>
            <w:r>
              <w:t xml:space="preserve">Rich managed services</w:t>
            </w:r>
          </w:p>
        </w:tc>
        <w:tc>
          <w:tcPr>
            <w:tcW w:w="2340" w:type="dxa"/>
          </w:tcPr>
          <w:p>
            <w:pPr/>
            <w:r>
              <w:t xml:space="preserve">Counts as a transfer: needs explicit consent, safeguards, transfer agreement and documentation; two systems to secure</w:t>
            </w:r>
          </w:p>
        </w:tc>
      </w:tr>
      <w:tr>
        <w:tc>
          <w:tcPr>
            <w:tcW w:w="2340" w:type="dxa"/>
          </w:tcPr>
          <w:p>
            <w:pPr/>
            <w:r>
              <w:t xml:space="preserve">C: Kenyan primary plus foreign pseudonymised analytics and AI</w:t>
            </w:r>
          </w:p>
        </w:tc>
        <w:tc>
          <w:tcPr>
            <w:tcW w:w="2340" w:type="dxa"/>
          </w:tcPr>
          <w:p>
            <w:pPr/>
            <w:r>
              <w:t xml:space="preserve">Personal data stays in Kenya; only pseudonymised or anonymised data leaves</w:t>
            </w:r>
          </w:p>
        </w:tc>
        <w:tc>
          <w:tcPr>
            <w:tcW w:w="2340" w:type="dxa"/>
          </w:tcPr>
          <w:p>
            <w:pPr/>
            <w:r>
              <w:t xml:space="preserve">Compliance with flexibility for ML</w:t>
            </w:r>
          </w:p>
        </w:tc>
        <w:tc>
          <w:tcPr>
            <w:tcW w:w="2340" w:type="dxa"/>
          </w:tcPr>
          <w:p>
            <w:pPr/>
            <w:r>
              <w:t xml:space="preserve">Re-identification risk must be assessed; transfer documentation still needed</w:t>
            </w:r>
          </w:p>
        </w:tc>
      </w:tr>
    </w:tbl>
    <w:p>
      <w:pPr/>
      <w:r>
        <w:rPr>
          <w:b/>
        </w:rPr>
        <w:t xml:space="preserve">Recommendation [A].</w:t>
      </w:r>
      <w:r>
        <w:t xml:space="preserve"> Option C. Keep the operational database, scans, photos and backups in Kenya (Nairobi facilities exist from several operators such as iXAfrica, Africa Data Centres and Open Access Data Centres [V]), keep identifiers out of analytics, and use foreign compute only for pseudonymised workloads after a transfer assessment. Confirm the position with counsel and ODPC, and re-check once ODPC's final cross-border guidance is read in full (the 2026 note was published for comment until 15 May 2026 ✅).</w:t>
      </w:r>
    </w:p>
    <w:p>
      <w:pPr>
        <w:pStyle w:val="Heading3"/>
      </w:pPr>
      <w:r>
        <w:t xml:space="preserve">19.5 Offline-first design</w:t>
      </w:r>
    </w:p>
    <w:p>
      <w:pPr>
        <w:pStyle w:val="ListParagraph"/>
        <w:numPr>
          <w:ilvl w:val="0"/>
          <w:numId w:val="14"/>
        </w:numPr>
      </w:pPr>
      <w:r>
        <w:rPr>
          <w:b/>
        </w:rPr>
        <w:t xml:space="preserve">Local store.</w:t>
      </w:r>
      <w:r>
        <w:t xml:space="preserve"> Each device keeps an encrypted local database of the records it needs (assigned referrals, devices, forms). Encryption keys are bound to the user and device; clinician tablets support remote wipe.</w:t>
      </w:r>
    </w:p>
    <w:p>
      <w:pPr>
        <w:pStyle w:val="ListParagraph"/>
        <w:numPr>
          <w:ilvl w:val="0"/>
          <w:numId w:val="14"/>
        </w:numPr>
      </w:pPr>
      <w:r>
        <w:rPr>
          <w:b/>
        </w:rPr>
        <w:t xml:space="preserve">Outbox and idempotency.</w:t>
      </w:r>
      <w:r>
        <w:t xml:space="preserve"> Every create or update is written to a local outbox with a client-generated UUID and an idempotency key, then replayed to the server in order.</w:t>
      </w:r>
    </w:p>
    <w:p>
      <w:pPr>
        <w:pStyle w:val="ListParagraph"/>
        <w:numPr>
          <w:ilvl w:val="0"/>
          <w:numId w:val="14"/>
        </w:numPr>
      </w:pPr>
      <w:r>
        <w:rPr>
          <w:b/>
        </w:rPr>
        <w:t xml:space="preserve">Versioning and conflicts.</w:t>
      </w:r>
      <w:r>
        <w:t xml:space="preserve"> Every row has a version; updates carry an If-Match version. Conflict rules are explicit per entity: clinical signed records are immutable once signed (amendments create new versions); measurements and notes merge as append-only entries; status fields follow a state machine and reject illegal transitions; inventory decrements are applied as deltas, not absolute values.</w:t>
      </w:r>
    </w:p>
    <w:p>
      <w:pPr>
        <w:pStyle w:val="ListParagraph"/>
        <w:numPr>
          <w:ilvl w:val="0"/>
          <w:numId w:val="14"/>
        </w:numPr>
      </w:pPr>
      <w:r>
        <w:rPr>
          <w:b/>
        </w:rPr>
        <w:t xml:space="preserve">Attachments.</w:t>
      </w:r>
      <w:r>
        <w:t xml:space="preserve"> Photos and scans upload in resumable chunks after text data, with compression and size caps.</w:t>
      </w:r>
    </w:p>
    <w:p>
      <w:pPr>
        <w:pStyle w:val="ListParagraph"/>
        <w:numPr>
          <w:ilvl w:val="0"/>
          <w:numId w:val="14"/>
        </w:numPr>
      </w:pPr>
      <w:r>
        <w:rPr>
          <w:b/>
        </w:rPr>
        <w:t xml:space="preserve">Sync priorities.</w:t>
      </w:r>
      <w:r>
        <w:t xml:space="preserve"> Safety-relevant items (recall notices, QA failures) sync first; large attachments last.</w:t>
      </w:r>
    </w:p>
    <w:p>
      <w:pPr>
        <w:pStyle w:val="ListParagraph"/>
        <w:numPr>
          <w:ilvl w:val="0"/>
          <w:numId w:val="14"/>
        </w:numPr>
      </w:pPr>
      <w:r>
        <w:rPr>
          <w:b/>
        </w:rPr>
        <w:t xml:space="preserve">Platform limits.</w:t>
      </w:r>
      <w:r>
        <w:t xml:space="preserve"> Background sync is not available on every browser (notably iOS Safari) [V], so always provide a foreground sync button and a clear "pending sync" indicator.</w:t>
      </w:r>
    </w:p>
    <w:p>
      <w:pPr>
        <w:pStyle w:val="ListParagraph"/>
        <w:numPr>
          <w:ilvl w:val="0"/>
          <w:numId w:val="14"/>
        </w:numPr>
      </w:pPr>
      <w:r>
        <w:rPr>
          <w:b/>
        </w:rPr>
        <w:t xml:space="preserve">Testing.</w:t>
      </w:r>
      <w:r>
        <w:t xml:space="preserve"> Automated tests cut the network at every step and replay duplicates and out-of-order messages.</w:t>
      </w:r>
    </w:p>
    <w:p>
      <w:pPr>
        <w:pStyle w:val="Heading3"/>
      </w:pPr>
      <w:r>
        <w:t xml:space="preserve">19.6 Deployment topology (MVP)</w:t>
      </w:r>
    </w:p>
    <w:p>
      <w:pPr>
        <w:pStyle w:val="ListParagraph"/>
        <w:numPr>
          <w:ilvl w:val="0"/>
          <w:numId w:val="15"/>
        </w:numPr>
      </w:pPr>
      <w:r>
        <w:t xml:space="preserve">One application node or small cluster (API, web, workers), one PostgreSQL instance (managed or self-hosted) with daily encrypted backups and point-in-time recovery, object storage and Redis.</w:t>
      </w:r>
    </w:p>
    <w:p>
      <w:pPr>
        <w:pStyle w:val="ListParagraph"/>
        <w:numPr>
          <w:ilvl w:val="0"/>
          <w:numId w:val="15"/>
        </w:numPr>
      </w:pPr>
      <w:r>
        <w:t xml:space="preserve">Separate staging and production; synthetic data only in staging; no real personal data outside production.</w:t>
      </w:r>
    </w:p>
    <w:p>
      <w:pPr>
        <w:pStyle w:val="ListParagraph"/>
        <w:numPr>
          <w:ilvl w:val="0"/>
          <w:numId w:val="15"/>
        </w:numPr>
      </w:pPr>
      <w:r>
        <w:t xml:space="preserve">CDN for static assets; web application firewall and rate limiting at the edge.</w:t>
      </w:r>
    </w:p>
    <w:p>
      <w:pPr>
        <w:pStyle w:val="ListParagraph"/>
        <w:numPr>
          <w:ilvl w:val="0"/>
          <w:numId w:val="15"/>
        </w:numPr>
      </w:pPr>
      <w:r>
        <w:t xml:space="preserve">Estimated MVP infrastructure: USD 100-300 per month, dominated by hosting, messaging and SMS volume [A] (Section 25.4).</w:t>
      </w:r>
    </w:p>
    <w:p>
      <w:pPr>
        <w:pStyle w:val="Heading2"/>
      </w:pPr>
      <w:r>
        <w:t xml:space="preserve">20. Data model and API design</w:t>
      </w:r>
    </w:p>
    <w:p>
      <w:pPr>
        <w:pStyle w:val="Heading3"/>
      </w:pPr>
      <w:r>
        <w:t xml:space="preserve">20.1 Core entities and relationships</w:t>
      </w:r>
    </w:p>
    <w:p>
      <w:pPr/>
      <w:r>
        <w:t xml:space="preserve">A </w:t>
      </w:r>
      <w:r>
        <w:rPr>
          <w:b/>
        </w:rPr>
        <w:t xml:space="preserve">person</w:t>
      </w:r>
      <w:r>
        <w:t xml:space="preserve"> has one or more </w:t>
      </w:r>
      <w:r>
        <w:rPr>
          <w:b/>
        </w:rPr>
        <w:t xml:space="preserve">consents</w:t>
      </w:r>
      <w:r>
        <w:t xml:space="preserve"> and may have a </w:t>
      </w:r>
      <w:r>
        <w:rPr>
          <w:b/>
        </w:rPr>
        <w:t xml:space="preserve">guardian</w:t>
      </w:r>
      <w:r>
        <w:t xml:space="preserve"> link. A </w:t>
      </w:r>
      <w:r>
        <w:rPr>
          <w:b/>
        </w:rPr>
        <w:t xml:space="preserve">referral</w:t>
      </w:r>
      <w:r>
        <w:t xml:space="preserve"> belongs to a person and leads to an </w:t>
      </w:r>
      <w:r>
        <w:rPr>
          <w:b/>
        </w:rPr>
        <w:t xml:space="preserve">assessment</w:t>
      </w:r>
      <w:r>
        <w:t xml:space="preserve">, which yields a </w:t>
      </w:r>
      <w:r>
        <w:rPr>
          <w:b/>
        </w:rPr>
        <w:t xml:space="preserve">prescription</w:t>
      </w:r>
      <w:r>
        <w:t xml:space="preserve">. An approved prescription creates a </w:t>
      </w:r>
      <w:r>
        <w:rPr>
          <w:b/>
        </w:rPr>
        <w:t xml:space="preserve">work order</w:t>
      </w:r>
      <w:r>
        <w:t xml:space="preserve"> for a </w:t>
      </w:r>
      <w:r>
        <w:rPr>
          <w:b/>
        </w:rPr>
        <w:t xml:space="preserve">device model</w:t>
      </w:r>
      <w:r>
        <w:t xml:space="preserve">; production creates a </w:t>
      </w:r>
      <w:r>
        <w:rPr>
          <w:b/>
        </w:rPr>
        <w:t xml:space="preserve">device</w:t>
      </w:r>
      <w:r>
        <w:t xml:space="preserve"> with a serial and QR token, and a </w:t>
      </w:r>
      <w:r>
        <w:rPr>
          <w:b/>
        </w:rPr>
        <w:t xml:space="preserve">qa_record</w:t>
      </w:r>
      <w:r>
        <w:t xml:space="preserve"> gates its release. A device is </w:t>
      </w:r>
      <w:r>
        <w:rPr>
          <w:b/>
        </w:rPr>
        <w:t xml:space="preserve">delivered</w:t>
      </w:r>
      <w:r>
        <w:t xml:space="preserve">, </w:t>
      </w:r>
      <w:r>
        <w:rPr>
          <w:b/>
        </w:rPr>
        <w:t xml:space="preserve">fitted</w:t>
      </w:r>
      <w:r>
        <w:t xml:space="preserve">, and followed up through </w:t>
      </w:r>
      <w:r>
        <w:rPr>
          <w:b/>
        </w:rPr>
        <w:t xml:space="preserve">follow_up</w:t>
      </w:r>
      <w:r>
        <w:t xml:space="preserve"> and </w:t>
      </w:r>
      <w:r>
        <w:rPr>
          <w:b/>
        </w:rPr>
        <w:t xml:space="preserve">outcome_measure</w:t>
      </w:r>
      <w:r>
        <w:t xml:space="preserve"> records, and may have </w:t>
      </w:r>
      <w:r>
        <w:rPr>
          <w:b/>
        </w:rPr>
        <w:t xml:space="preserve">service_tickets</w:t>
      </w:r>
      <w:r>
        <w:t xml:space="preserve"> handled by a </w:t>
      </w:r>
      <w:r>
        <w:rPr>
          <w:b/>
        </w:rPr>
        <w:t xml:space="preserve">hub</w:t>
      </w:r>
      <w:r>
        <w:t xml:space="preserve">. A person or organisation holds a </w:t>
      </w:r>
      <w:r>
        <w:rPr>
          <w:b/>
        </w:rPr>
        <w:t xml:space="preserve">care_plan</w:t>
      </w:r>
      <w:r>
        <w:t xml:space="preserve">, billed through </w:t>
      </w:r>
      <w:r>
        <w:rPr>
          <w:b/>
        </w:rPr>
        <w:t xml:space="preserve">invoices</w:t>
      </w:r>
      <w:r>
        <w:t xml:space="preserve"> and </w:t>
      </w:r>
      <w:r>
        <w:rPr>
          <w:b/>
        </w:rPr>
        <w:t xml:space="preserve">payments</w:t>
      </w:r>
      <w:r>
        <w:t xml:space="preserve">. Partners have </w:t>
      </w:r>
      <w:r>
        <w:rPr>
          <w:b/>
        </w:rPr>
        <w:t xml:space="preserve">contracts</w:t>
      </w:r>
      <w:r>
        <w:t xml:space="preserve">, </w:t>
      </w:r>
      <w:r>
        <w:rPr>
          <w:b/>
        </w:rPr>
        <w:t xml:space="preserve">orders</w:t>
      </w:r>
      <w:r>
        <w:t xml:space="preserve"> and </w:t>
      </w:r>
      <w:r>
        <w:rPr>
          <w:b/>
        </w:rPr>
        <w:t xml:space="preserve">deliveries</w:t>
      </w:r>
      <w:r>
        <w:t xml:space="preserve">. Every change writes to the </w:t>
      </w:r>
      <w:r>
        <w:rPr>
          <w:b/>
        </w:rPr>
        <w:t xml:space="preserve">audit_log</w:t>
      </w:r>
      <w:r>
        <w:t xml:space="preserve">, and domain events go to the </w:t>
      </w:r>
      <w:r>
        <w:rPr>
          <w:b/>
        </w:rPr>
        <w:t xml:space="preserve">event_outbox</w:t>
      </w:r>
      <w:r>
        <w:t xml:space="preserve">.</w:t>
      </w:r>
    </w:p>
    <w:p>
      <w:pPr>
        <w:pStyle w:val="Heading3"/>
      </w:pPr>
      <w:r>
        <w:t xml:space="preserve">20.2 Key tables and critical fields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Important fields (not exhaustive)</w:t>
            </w:r>
          </w:p>
        </w:tc>
      </w:tr>
      <w:tr>
        <w:tc>
          <w:tcPr>
            <w:tcW w:w="4680" w:type="dxa"/>
          </w:tcPr>
          <w:p>
            <w:pPr/>
            <w:r>
              <w:t xml:space="preserve">person</w:t>
            </w:r>
          </w:p>
        </w:tc>
        <w:tc>
          <w:tcPr>
            <w:tcW w:w="4680" w:type="dxa"/>
          </w:tcPr>
          <w:p>
            <w:pPr/>
            <w:r>
              <w:t xml:space="preserve">id (UUID), national_id_hash (optional), name, dob or age band, sex, phone (E.164), county, sub_county, coarse geo, language, disability_domain (coded), guardian flag, status</w:t>
            </w:r>
          </w:p>
        </w:tc>
      </w:tr>
      <w:tr>
        <w:tc>
          <w:tcPr>
            <w:tcW w:w="4680" w:type="dxa"/>
          </w:tcPr>
          <w:p>
            <w:pPr/>
            <w:r>
              <w:t xml:space="preserve">consent</w:t>
            </w:r>
          </w:p>
        </w:tc>
        <w:tc>
          <w:tcPr>
            <w:tcW w:w="4680" w:type="dxa"/>
          </w:tcPr>
          <w:p>
            <w:pPr/>
            <w:r>
              <w:t xml:space="preserve">id, person_id, purpose (care, data_sharing, research, media, marketing, cross_border_transfer), granted_by (self or guardian), text_version, granted_at, withdrawn_at, evidence reference (signature, OTP or audio)</w:t>
            </w:r>
          </w:p>
        </w:tc>
      </w:tr>
      <w:tr>
        <w:tc>
          <w:tcPr>
            <w:tcW w:w="4680" w:type="dxa"/>
          </w:tcPr>
          <w:p>
            <w:pPr/>
            <w:r>
              <w:t xml:space="preserve">referral</w:t>
            </w:r>
          </w:p>
        </w:tc>
        <w:tc>
          <w:tcPr>
            <w:tcW w:w="4680" w:type="dxa"/>
          </w:tcPr>
          <w:p>
            <w:pPr/>
            <w:r>
              <w:t xml:space="preserve">id, person_id, source (self, CHW, clinic, school, NGO), referrer_id, reason, urgency, status, assigned_to, created_at</w:t>
            </w:r>
          </w:p>
        </w:tc>
      </w:tr>
      <w:tr>
        <w:tc>
          <w:tcPr>
            <w:tcW w:w="4680" w:type="dxa"/>
          </w:tcPr>
          <w:p>
            <w:pPr/>
            <w:r>
              <w:t xml:space="preserve">assessment</w:t>
            </w:r>
          </w:p>
        </w:tc>
        <w:tc>
          <w:tcPr>
            <w:tcW w:w="4680" w:type="dxa"/>
          </w:tcPr>
          <w:p>
            <w:pPr/>
            <w:r>
              <w:t xml:space="preserve">id, referral_id, clinician_id, form_version, measurements (JSONB), functional_scores (JSONB), photo references, notes, signed_at</w:t>
            </w:r>
          </w:p>
        </w:tc>
      </w:tr>
      <w:tr>
        <w:tc>
          <w:tcPr>
            <w:tcW w:w="4680" w:type="dxa"/>
          </w:tcPr>
          <w:p>
            <w:pPr/>
            <w:r>
              <w:t xml:space="preserve">prescription</w:t>
            </w:r>
          </w:p>
        </w:tc>
        <w:tc>
          <w:tcPr>
            <w:tcW w:w="4680" w:type="dxa"/>
          </w:tcPr>
          <w:p>
            <w:pPr/>
            <w:r>
              <w:t xml:space="preserve">id, assessment_id, device_model_id, size and configuration, rationale, clinician_id, signed_at, payer_pathway</w:t>
            </w:r>
          </w:p>
        </w:tc>
      </w:tr>
      <w:tr>
        <w:tc>
          <w:tcPr>
            <w:tcW w:w="4680" w:type="dxa"/>
          </w:tcPr>
          <w:p>
            <w:pPr/>
            <w:r>
              <w:t xml:space="preserve">device_model</w:t>
            </w:r>
          </w:p>
        </w:tc>
        <w:tc>
          <w:tcPr>
            <w:tcW w:w="4680" w:type="dxa"/>
          </w:tcPr>
          <w:p>
            <w:pPr/>
            <w:r>
              <w:t xml:space="preserve">id, tier (1, 2 or 3), name, version, standard references, bill of materials (JSONB), design files, ppb_status, status (draft, validated, retired)</w:t>
            </w:r>
          </w:p>
        </w:tc>
      </w:tr>
      <w:tr>
        <w:tc>
          <w:tcPr>
            <w:tcW w:w="4680" w:type="dxa"/>
          </w:tcPr>
          <w:p>
            <w:pPr/>
            <w:r>
              <w:t xml:space="preserve">device</w:t>
            </w:r>
          </w:p>
        </w:tc>
        <w:tc>
          <w:tcPr>
            <w:tcW w:w="4680" w:type="dxa"/>
          </w:tcPr>
          <w:p>
            <w:pPr/>
            <w:r>
              <w:t xml:space="preserve">id, serial, qr_token, model_id, batch_id, status (in_production, in_stock, delivered, in_repair, retired), owner_person_id or owner_org_id, manufactured_at, warranty_until, product identifier mapping</w:t>
            </w:r>
          </w:p>
        </w:tc>
      </w:tr>
      <w:tr>
        <w:tc>
          <w:tcPr>
            <w:tcW w:w="4680" w:type="dxa"/>
          </w:tcPr>
          <w:p>
            <w:pPr/>
            <w:r>
              <w:t xml:space="preserve">work_order</w:t>
            </w:r>
          </w:p>
        </w:tc>
        <w:tc>
          <w:tcPr>
            <w:tcW w:w="4680" w:type="dxa"/>
          </w:tcPr>
          <w:p>
            <w:pPr/>
            <w:r>
              <w:t xml:space="preserve">id, prescription_id, model_id, quantity, priority, due_date, status, assigned_to, material_usage (JSONB)</w:t>
            </w:r>
          </w:p>
        </w:tc>
      </w:tr>
      <w:tr>
        <w:tc>
          <w:tcPr>
            <w:tcW w:w="4680" w:type="dxa"/>
          </w:tcPr>
          <w:p>
            <w:pPr/>
            <w:r>
              <w:t xml:space="preserve">qa_record</w:t>
            </w:r>
          </w:p>
        </w:tc>
        <w:tc>
          <w:tcPr>
            <w:tcW w:w="4680" w:type="dxa"/>
          </w:tcPr>
          <w:p>
            <w:pPr/>
            <w:r>
              <w:t xml:space="preserve">id, work_order_id, checklist_version, results (JSONB), tester_id, passed, signed_at</w:t>
            </w:r>
          </w:p>
        </w:tc>
      </w:tr>
      <w:tr>
        <w:tc>
          <w:tcPr>
            <w:tcW w:w="4680" w:type="dxa"/>
          </w:tcPr>
          <w:p>
            <w:pPr/>
            <w:r>
              <w:t xml:space="preserve">delivery</w:t>
            </w:r>
          </w:p>
        </w:tc>
        <w:tc>
          <w:tcPr>
            <w:tcW w:w="4680" w:type="dxa"/>
          </w:tcPr>
          <w:p>
            <w:pPr/>
            <w:r>
              <w:t xml:space="preserve">id, device_id, deliverer_id, method, proof (OTP, photo or signature), accepted_at</w:t>
            </w:r>
          </w:p>
        </w:tc>
      </w:tr>
      <w:tr>
        <w:tc>
          <w:tcPr>
            <w:tcW w:w="4680" w:type="dxa"/>
          </w:tcPr>
          <w:p>
            <w:pPr/>
            <w:r>
              <w:t xml:space="preserve">fitting and follow_up</w:t>
            </w:r>
          </w:p>
        </w:tc>
        <w:tc>
          <w:tcPr>
            <w:tcW w:w="4680" w:type="dxa"/>
          </w:tcPr>
          <w:p>
            <w:pPr/>
            <w:r>
              <w:t xml:space="preserve">device_id, clinician_id, date, adjustments, training_done, next_follow_up_due, adverse_event flag</w:t>
            </w:r>
          </w:p>
        </w:tc>
      </w:tr>
      <w:tr>
        <w:tc>
          <w:tcPr>
            <w:tcW w:w="4680" w:type="dxa"/>
          </w:tcPr>
          <w:p>
            <w:pPr/>
            <w:r>
              <w:t xml:space="preserve">outcome_measure</w:t>
            </w:r>
          </w:p>
        </w:tc>
        <w:tc>
          <w:tcPr>
            <w:tcW w:w="4680" w:type="dxa"/>
          </w:tcPr>
          <w:p>
            <w:pPr/>
            <w:r>
              <w:t xml:space="preserve">follow_up_id, instrument (for example Washington Group Short Set, WHODAS 2.0, Personal Wellbeing Index [V choice]), score, raw (JSONB)</w:t>
            </w:r>
          </w:p>
        </w:tc>
      </w:tr>
      <w:tr>
        <w:tc>
          <w:tcPr>
            <w:tcW w:w="4680" w:type="dxa"/>
          </w:tcPr>
          <w:p>
            <w:pPr/>
            <w:r>
              <w:t xml:space="preserve">service_ticket</w:t>
            </w:r>
          </w:p>
        </w:tc>
        <w:tc>
          <w:tcPr>
            <w:tcW w:w="4680" w:type="dxa"/>
          </w:tcPr>
          <w:p>
            <w:pPr/>
            <w:r>
              <w:t xml:space="preserve">id, device_id, channel, issue_code, severity, hub_id, status, opened_at, closed_at, loan_device_id, parts_used, cost</w:t>
            </w:r>
          </w:p>
        </w:tc>
      </w:tr>
      <w:tr>
        <w:tc>
          <w:tcPr>
            <w:tcW w:w="4680" w:type="dxa"/>
          </w:tcPr>
          <w:p>
            <w:pPr/>
            <w:r>
              <w:t xml:space="preserve">complaint and capa</w:t>
            </w:r>
          </w:p>
        </w:tc>
        <w:tc>
          <w:tcPr>
            <w:tcW w:w="4680" w:type="dxa"/>
          </w:tcPr>
          <w:p>
            <w:pPr/>
            <w:r>
              <w:t xml:space="preserve">id, source, device or batch, severity, investigation, corrective action, closed_at, field_safety_notice_id</w:t>
            </w:r>
          </w:p>
        </w:tc>
      </w:tr>
      <w:tr>
        <w:tc>
          <w:tcPr>
            <w:tcW w:w="4680" w:type="dxa"/>
          </w:tcPr>
          <w:p>
            <w:pPr/>
            <w:r>
              <w:t xml:space="preserve">care_plan</w:t>
            </w:r>
          </w:p>
        </w:tc>
        <w:tc>
          <w:tcPr>
            <w:tcW w:w="4680" w:type="dxa"/>
          </w:tcPr>
          <w:p>
            <w:pPr/>
            <w:r>
              <w:t xml:space="preserve">id, person_id or org_id, tier (Basic, Standard, Plus), price, start, status, payment_method</w:t>
            </w:r>
          </w:p>
        </w:tc>
      </w:tr>
      <w:tr>
        <w:tc>
          <w:tcPr>
            <w:tcW w:w="4680" w:type="dxa"/>
          </w:tcPr>
          <w:p>
            <w:pPr/>
            <w:r>
              <w:t xml:space="preserve">invoice and payment</w:t>
            </w:r>
          </w:p>
        </w:tc>
        <w:tc>
          <w:tcPr>
            <w:tcW w:w="4680" w:type="dxa"/>
          </w:tcPr>
          <w:p>
            <w:pPr/>
            <w:r>
              <w:t xml:space="preserve">amounts in KES minor units, status, mpesa_receipt, checkout_request_id, idempotency_key, reconciled_at</w:t>
            </w:r>
          </w:p>
        </w:tc>
      </w:tr>
      <w:tr>
        <w:tc>
          <w:tcPr>
            <w:tcW w:w="4680" w:type="dxa"/>
          </w:tcPr>
          <w:p>
            <w:pPr/>
            <w:r>
              <w:t xml:space="preserve">partner_contract, order</w:t>
            </w:r>
          </w:p>
        </w:tc>
        <w:tc>
          <w:tcPr>
            <w:tcW w:w="4680" w:type="dxa"/>
          </w:tcPr>
          <w:p>
            <w:pPr/>
            <w:r>
              <w:t xml:space="preserve">framework terms, milestones, acceptance sign-off</w:t>
            </w:r>
          </w:p>
        </w:tc>
      </w:tr>
      <w:tr>
        <w:tc>
          <w:tcPr>
            <w:tcW w:w="4680" w:type="dxa"/>
          </w:tcPr>
          <w:p>
            <w:pPr/>
            <w:r>
              <w:t xml:space="preserve">audit_log</w:t>
            </w:r>
          </w:p>
        </w:tc>
        <w:tc>
          <w:tcPr>
            <w:tcW w:w="4680" w:type="dxa"/>
          </w:tcPr>
          <w:p>
            <w:pPr/>
            <w:r>
              <w:t xml:space="preserve">actor, action, entity, entity_id, purpose, before and after (hashed where sensitive), IP and device, timestamp (append-only, hash-chained)</w:t>
            </w:r>
          </w:p>
        </w:tc>
      </w:tr>
      <w:tr>
        <w:tc>
          <w:tcPr>
            <w:tcW w:w="4680" w:type="dxa"/>
          </w:tcPr>
          <w:p>
            <w:pPr/>
            <w:r>
              <w:t xml:space="preserve">event_outbox</w:t>
            </w:r>
          </w:p>
        </w:tc>
        <w:tc>
          <w:tcPr>
            <w:tcW w:w="4680" w:type="dxa"/>
          </w:tcPr>
          <w:p>
            <w:pPr/>
            <w:r>
              <w:t xml:space="preserve">id, type, payload, created_at, processed_at</w:t>
            </w:r>
          </w:p>
        </w:tc>
      </w:tr>
    </w:tbl>
    <w:p>
      <w:pPr>
        <w:pStyle w:val="Heading3"/>
      </w:pPr>
      <w:r>
        <w:t xml:space="preserve">20.3 Data classification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Class</w:t>
            </w:r>
          </w:p>
        </w:tc>
        <w:tc>
          <w:tcPr>
            <w:tcW w:w="3120" w:type="dxa"/>
            <w:shd w:val="clear" w:color="auto" w:fill="F2F2F2"/>
          </w:tcPr>
          <w:p>
            <w:pPr/>
            <w:r>
              <w:t xml:space="preserve">Examples</w:t>
            </w:r>
          </w:p>
        </w:tc>
        <w:tc>
          <w:tcPr>
            <w:tcW w:w="3120" w:type="dxa"/>
            <w:shd w:val="clear" w:color="auto" w:fill="F2F2F2"/>
          </w:tcPr>
          <w:p>
            <w:pPr/>
            <w:r>
              <w:t xml:space="preserve">Controls</w:t>
            </w:r>
          </w:p>
        </w:tc>
      </w:tr>
      <w:tr>
        <w:tc>
          <w:tcPr>
            <w:tcW w:w="3120" w:type="dxa"/>
          </w:tcPr>
          <w:p>
            <w:pPr/>
            <w:r>
              <w:t xml:space="preserve">Highly sensitive</w:t>
            </w:r>
          </w:p>
        </w:tc>
        <w:tc>
          <w:tcPr>
            <w:tcW w:w="3120" w:type="dxa"/>
          </w:tcPr>
          <w:p>
            <w:pPr/>
            <w:r>
              <w:t xml:space="preserve">Disability and health data, photos, 3D scans, assessments, outcome scores, guardian and child links</w:t>
            </w:r>
          </w:p>
        </w:tc>
        <w:tc>
          <w:tcPr>
            <w:tcW w:w="3120" w:type="dxa"/>
          </w:tcPr>
          <w:p>
            <w:pPr/>
            <w:r>
              <w:t xml:space="preserve">Field-level encryption, strict role and assignment rules, audit on every read, residency in Kenya</w:t>
            </w:r>
          </w:p>
        </w:tc>
      </w:tr>
      <w:tr>
        <w:tc>
          <w:tcPr>
            <w:tcW w:w="3120" w:type="dxa"/>
          </w:tcPr>
          <w:p>
            <w:pPr/>
            <w:r>
              <w:t xml:space="preserve">Sensitive</w:t>
            </w:r>
          </w:p>
        </w:tc>
        <w:tc>
          <w:tcPr>
            <w:tcW w:w="3120" w:type="dxa"/>
          </w:tcPr>
          <w:p>
            <w:pPr/>
            <w:r>
              <w:t xml:space="preserve">Phone, location, payments</w:t>
            </w:r>
          </w:p>
        </w:tc>
        <w:tc>
          <w:tcPr>
            <w:tcW w:w="3120" w:type="dxa"/>
          </w:tcPr>
          <w:p>
            <w:pPr/>
            <w:r>
              <w:t xml:space="preserve">Encryption at rest, masked in the interface, access logs</w:t>
            </w:r>
          </w:p>
        </w:tc>
      </w:tr>
      <w:tr>
        <w:tc>
          <w:tcPr>
            <w:tcW w:w="3120" w:type="dxa"/>
          </w:tcPr>
          <w:p>
            <w:pPr/>
            <w:r>
              <w:t xml:space="preserve">Operational</w:t>
            </w:r>
          </w:p>
        </w:tc>
        <w:tc>
          <w:tcPr>
            <w:tcW w:w="3120" w:type="dxa"/>
          </w:tcPr>
          <w:p>
            <w:pPr/>
            <w:r>
              <w:t xml:space="preserve">Device, inventory, production</w:t>
            </w:r>
          </w:p>
        </w:tc>
        <w:tc>
          <w:tcPr>
            <w:tcW w:w="3120" w:type="dxa"/>
          </w:tcPr>
          <w:p>
            <w:pPr/>
            <w:r>
              <w:t xml:space="preserve">Standard controls</w:t>
            </w:r>
          </w:p>
        </w:tc>
      </w:tr>
      <w:tr>
        <w:tc>
          <w:tcPr>
            <w:tcW w:w="3120" w:type="dxa"/>
          </w:tcPr>
          <w:p>
            <w:pPr/>
            <w:r>
              <w:t xml:space="preserve">Public or anonymised</w:t>
            </w:r>
          </w:p>
        </w:tc>
        <w:tc>
          <w:tcPr>
            <w:tcW w:w="3120" w:type="dxa"/>
          </w:tcPr>
          <w:p>
            <w:pPr/>
            <w:r>
              <w:t xml:space="preserve">Aggregated indicators</w:t>
            </w:r>
          </w:p>
        </w:tc>
        <w:tc>
          <w:tcPr>
            <w:tcW w:w="3120" w:type="dxa"/>
          </w:tcPr>
          <w:p>
            <w:pPr/>
            <w:r>
              <w:t xml:space="preserve">Minimum cell size (for example no cell under 10 [A]) before sharing</w:t>
            </w:r>
          </w:p>
        </w:tc>
      </w:tr>
    </w:tbl>
    <w:p>
      <w:pPr>
        <w:pStyle w:val="Heading3"/>
      </w:pPr>
      <w:r>
        <w:t xml:space="preserve">20.4 Identifiers</w:t>
      </w:r>
    </w:p>
    <w:p>
      <w:pPr>
        <w:pStyle w:val="ListParagraph"/>
        <w:numPr>
          <w:ilvl w:val="0"/>
          <w:numId w:val="16"/>
        </w:numPr>
      </w:pPr>
      <w:r>
        <w:rPr>
          <w:b/>
        </w:rPr>
        <w:t xml:space="preserve">Device serial:</w:t>
      </w:r>
      <w:r>
        <w:t xml:space="preserve"> human-readable and check-digit protected, for example AA-WC-2026-000142.</w:t>
      </w:r>
    </w:p>
    <w:p>
      <w:pPr>
        <w:pStyle w:val="ListParagraph"/>
        <w:numPr>
          <w:ilvl w:val="0"/>
          <w:numId w:val="16"/>
        </w:numPr>
      </w:pPr>
      <w:r>
        <w:rPr>
          <w:b/>
        </w:rPr>
        <w:t xml:space="preserve">QR token:</w:t>
      </w:r>
      <w:r>
        <w:t xml:space="preserve"> 128-bit random, URL-safe, unguessable; revocable and re-issuable. The QR resolves to a public page with no personal data.</w:t>
      </w:r>
    </w:p>
    <w:p>
      <w:pPr>
        <w:pStyle w:val="ListParagraph"/>
        <w:numPr>
          <w:ilvl w:val="0"/>
          <w:numId w:val="16"/>
        </w:numPr>
      </w:pPr>
      <w:r>
        <w:rPr>
          <w:b/>
        </w:rPr>
        <w:t xml:space="preserve">Product identifier mapping:</w:t>
      </w:r>
      <w:r>
        <w:t xml:space="preserve"> keep a field for a standard product identifier so the passport can align with PPB traceability standards [V scheme].</w:t>
      </w:r>
    </w:p>
    <w:p>
      <w:pPr>
        <w:pStyle w:val="Heading3"/>
      </w:pPr>
      <w:r>
        <w:t xml:space="preserve">20.5 API conventions</w:t>
      </w:r>
    </w:p>
    <w:p>
      <w:pPr>
        <w:pStyle w:val="ListParagraph"/>
        <w:numPr>
          <w:ilvl w:val="0"/>
          <w:numId w:val="17"/>
        </w:numPr>
      </w:pPr>
      <w:r>
        <w:t xml:space="preserve">REST over HTTPS and JSON; an OpenAPI 3.1 specification is the source of truth; versioned under /api/v1.</w:t>
      </w:r>
    </w:p>
    <w:p>
      <w:pPr>
        <w:pStyle w:val="ListParagraph"/>
        <w:numPr>
          <w:ilvl w:val="0"/>
          <w:numId w:val="17"/>
        </w:numPr>
      </w:pPr>
      <w:r>
        <w:t xml:space="preserve">OIDC bearer tokens with scopes per module; organisation-scoped tenancy through an org_id claim.</w:t>
      </w:r>
    </w:p>
    <w:p>
      <w:pPr>
        <w:pStyle w:val="ListParagraph"/>
        <w:numPr>
          <w:ilvl w:val="0"/>
          <w:numId w:val="17"/>
        </w:numPr>
      </w:pPr>
      <w:r>
        <w:t xml:space="preserve">Cursor pagination; ETag with If-Match for optimistic concurrency (essential for offline sync); problem-details error format (RFC 7807); an Idempotency-Key header on any POST that creates money or physical items.</w:t>
      </w:r>
    </w:p>
    <w:p>
      <w:pPr>
        <w:pStyle w:val="ListParagraph"/>
        <w:numPr>
          <w:ilvl w:val="0"/>
          <w:numId w:val="17"/>
        </w:numPr>
      </w:pPr>
      <w:r>
        <w:t xml:space="preserve">Rate limiting per token and per IP; strict input validation; signed and replay-protected inbound webhooks.</w:t>
      </w:r>
    </w:p>
    <w:p>
      <w:pPr>
        <w:pStyle w:val="Heading3"/>
      </w:pPr>
      <w:r>
        <w:t xml:space="preserve">20.6 Representative 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Endpoint</w:t>
            </w:r>
          </w:p>
        </w:tc>
        <w:tc>
          <w:tcPr>
            <w:tcW w:w="3120" w:type="dxa"/>
            <w:shd w:val="clear" w:color="auto" w:fill="F2F2F2"/>
          </w:tcPr>
          <w:p>
            <w:pPr/>
            <w:r>
              <w:t xml:space="preserve">Notes</w:t>
            </w:r>
          </w:p>
        </w:tc>
      </w:tr>
      <w:tr>
        <w:tc>
          <w:tcPr>
            <w:tcW w:w="3120" w:type="dxa"/>
          </w:tcPr>
          <w:p>
            <w:pPr/>
            <w:r>
              <w:t xml:space="preserve">Auth</w:t>
            </w:r>
          </w:p>
        </w:tc>
        <w:tc>
          <w:tcPr>
            <w:tcW w:w="3120" w:type="dxa"/>
          </w:tcPr>
          <w:p>
            <w:pPr/>
            <w:r>
              <w:t xml:space="preserve">POST /auth/otp/request, POST /auth/otp/verify</w:t>
            </w:r>
          </w:p>
        </w:tc>
        <w:tc>
          <w:tcPr>
            <w:tcW w:w="3120" w:type="dxa"/>
          </w:tcPr>
          <w:p>
            <w:pPr/>
            <w:r>
              <w:t xml:space="preserve">Phone-first</w:t>
            </w:r>
          </w:p>
        </w:tc>
      </w:tr>
      <w:tr>
        <w:tc>
          <w:tcPr>
            <w:tcW w:w="3120" w:type="dxa"/>
          </w:tcPr>
          <w:p>
            <w:pPr/>
            <w:r>
              <w:t xml:space="preserve">People</w:t>
            </w:r>
          </w:p>
        </w:tc>
        <w:tc>
          <w:tcPr>
            <w:tcW w:w="3120" w:type="dxa"/>
          </w:tcPr>
          <w:p>
            <w:pPr/>
            <w:r>
              <w:t xml:space="preserve">POST /people, GET /people/{id}, PATCH /people/{id}</w:t>
            </w:r>
          </w:p>
        </w:tc>
        <w:tc>
          <w:tcPr>
            <w:tcW w:w="3120" w:type="dxa"/>
          </w:tcPr>
          <w:p>
            <w:pPr/>
            <w:r>
              <w:t xml:space="preserve">Row-level security by role and organisation</w:t>
            </w:r>
          </w:p>
        </w:tc>
      </w:tr>
      <w:tr>
        <w:tc>
          <w:tcPr>
            <w:tcW w:w="3120" w:type="dxa"/>
          </w:tcPr>
          <w:p>
            <w:pPr/>
            <w:r>
              <w:t xml:space="preserve">Consent</w:t>
            </w:r>
          </w:p>
        </w:tc>
        <w:tc>
          <w:tcPr>
            <w:tcW w:w="3120" w:type="dxa"/>
          </w:tcPr>
          <w:p>
            <w:pPr/>
            <w:r>
              <w:t xml:space="preserve">POST /people/{id}/consents, POST /consents/{id}/withdraw</w:t>
            </w:r>
          </w:p>
        </w:tc>
        <w:tc>
          <w:tcPr>
            <w:tcW w:w="3120" w:type="dxa"/>
          </w:tcPr>
          <w:p>
            <w:pPr/>
            <w:r>
              <w:t xml:space="preserve">Versioned text</w:t>
            </w:r>
          </w:p>
        </w:tc>
      </w:tr>
      <w:tr>
        <w:tc>
          <w:tcPr>
            <w:tcW w:w="3120" w:type="dxa"/>
          </w:tcPr>
          <w:p>
            <w:pPr/>
            <w:r>
              <w:t xml:space="preserve">Referrals</w:t>
            </w:r>
          </w:p>
        </w:tc>
        <w:tc>
          <w:tcPr>
            <w:tcW w:w="3120" w:type="dxa"/>
          </w:tcPr>
          <w:p>
            <w:pPr/>
            <w:r>
              <w:t xml:space="preserve">POST /referrals, GET /referrals?status=triage, POST /referrals/{id}/assign</w:t>
            </w:r>
          </w:p>
        </w:tc>
        <w:tc>
          <w:tcPr>
            <w:tcW w:w="3120" w:type="dxa"/>
          </w:tcPr>
          <w:p>
            <w:pPr/>
            <w:r>
              <w:t xml:space="preserve">Works offline through sync batches</w:t>
            </w:r>
          </w:p>
        </w:tc>
      </w:tr>
      <w:tr>
        <w:tc>
          <w:tcPr>
            <w:tcW w:w="3120" w:type="dxa"/>
          </w:tcPr>
          <w:p>
            <w:pPr/>
            <w:r>
              <w:t xml:space="preserve">Assessments</w:t>
            </w:r>
          </w:p>
        </w:tc>
        <w:tc>
          <w:tcPr>
            <w:tcW w:w="3120" w:type="dxa"/>
          </w:tcPr>
          <w:p>
            <w:pPr/>
            <w:r>
              <w:t xml:space="preserve">POST /referrals/{id}/assessment, POST /assessments/{id}/sign</w:t>
            </w:r>
          </w:p>
        </w:tc>
        <w:tc>
          <w:tcPr>
            <w:tcW w:w="3120" w:type="dxa"/>
          </w:tcPr>
          <w:p>
            <w:pPr/>
            <w:r>
              <w:t xml:space="preserve">Clinician only</w:t>
            </w:r>
          </w:p>
        </w:tc>
      </w:tr>
      <w:tr>
        <w:tc>
          <w:tcPr>
            <w:tcW w:w="3120" w:type="dxa"/>
          </w:tcPr>
          <w:p>
            <w:pPr/>
            <w:r>
              <w:t xml:space="preserve">Prescriptions</w:t>
            </w:r>
          </w:p>
        </w:tc>
        <w:tc>
          <w:tcPr>
            <w:tcW w:w="3120" w:type="dxa"/>
          </w:tcPr>
          <w:p>
            <w:pPr/>
            <w:r>
              <w:t xml:space="preserve">POST /assessments/{id}/prescriptions</w:t>
            </w:r>
          </w:p>
        </w:tc>
        <w:tc>
          <w:tcPr>
            <w:tcW w:w="3120" w:type="dxa"/>
          </w:tcPr>
          <w:p>
            <w:pPr/>
            <w:r>
              <w:t xml:space="preserve">Creates a work order on approval</w:t>
            </w:r>
          </w:p>
        </w:tc>
      </w:tr>
      <w:tr>
        <w:tc>
          <w:tcPr>
            <w:tcW w:w="3120" w:type="dxa"/>
          </w:tcPr>
          <w:p>
            <w:pPr/>
            <w:r>
              <w:t xml:space="preserve">Work orders</w:t>
            </w:r>
          </w:p>
        </w:tc>
        <w:tc>
          <w:tcPr>
            <w:tcW w:w="3120" w:type="dxa"/>
          </w:tcPr>
          <w:p>
            <w:pPr/>
            <w:r>
              <w:t xml:space="preserve">GET /work-orders, POST /work-orders/{id}/qa, POST /work-orders/{id}/release</w:t>
            </w:r>
          </w:p>
        </w:tc>
        <w:tc>
          <w:tcPr>
            <w:tcW w:w="3120" w:type="dxa"/>
          </w:tcPr>
          <w:p>
            <w:pPr/>
            <w:r>
              <w:t xml:space="preserve">Release blocked until QA passes</w:t>
            </w:r>
          </w:p>
        </w:tc>
      </w:tr>
      <w:tr>
        <w:tc>
          <w:tcPr>
            <w:tcW w:w="3120" w:type="dxa"/>
          </w:tcPr>
          <w:p>
            <w:pPr/>
            <w:r>
              <w:t xml:space="preserve">Devices</w:t>
            </w:r>
          </w:p>
        </w:tc>
        <w:tc>
          <w:tcPr>
            <w:tcW w:w="3120" w:type="dxa"/>
          </w:tcPr>
          <w:p>
            <w:pPr/>
            <w:r>
              <w:t xml:space="preserve">GET /devices/{id}, GET /d/{qr_token}, POST /devices/{id}/retire</w:t>
            </w:r>
          </w:p>
        </w:tc>
        <w:tc>
          <w:tcPr>
            <w:tcW w:w="3120" w:type="dxa"/>
          </w:tcPr>
          <w:p>
            <w:pPr/>
            <w:r>
              <w:t xml:space="preserve">Public view hides personal data</w:t>
            </w:r>
          </w:p>
        </w:tc>
      </w:tr>
      <w:tr>
        <w:tc>
          <w:tcPr>
            <w:tcW w:w="3120" w:type="dxa"/>
          </w:tcPr>
          <w:p>
            <w:pPr/>
            <w:r>
              <w:t xml:space="preserve">Fittings</w:t>
            </w:r>
          </w:p>
        </w:tc>
        <w:tc>
          <w:tcPr>
            <w:tcW w:w="3120" w:type="dxa"/>
          </w:tcPr>
          <w:p>
            <w:pPr/>
            <w:r>
              <w:t xml:space="preserve">POST /devices/{id}/fittings, POST /follow-ups/{id}/complete</w:t>
            </w:r>
          </w:p>
        </w:tc>
        <w:tc>
          <w:tcPr>
            <w:tcW w:w="3120" w:type="dxa"/>
          </w:tcPr>
          <w:p>
            <w:pPr/>
          </w:p>
        </w:tc>
      </w:tr>
      <w:tr>
        <w:tc>
          <w:tcPr>
            <w:tcW w:w="3120" w:type="dxa"/>
          </w:tcPr>
          <w:p>
            <w:pPr/>
            <w:r>
              <w:t xml:space="preserve">Tickets</w:t>
            </w:r>
          </w:p>
        </w:tc>
        <w:tc>
          <w:tcPr>
            <w:tcW w:w="3120" w:type="dxa"/>
          </w:tcPr>
          <w:p>
            <w:pPr/>
            <w:r>
              <w:t xml:space="preserve">POST /tickets (also from WhatsApp), POST /tickets/{id}/assign, POST /tickets/{id}/close</w:t>
            </w:r>
          </w:p>
        </w:tc>
        <w:tc>
          <w:tcPr>
            <w:tcW w:w="3120" w:type="dxa"/>
          </w:tcPr>
          <w:p>
            <w:pPr/>
            <w:r>
              <w:t xml:space="preserve">SLA timers</w:t>
            </w:r>
          </w:p>
        </w:tc>
      </w:tr>
      <w:tr>
        <w:tc>
          <w:tcPr>
            <w:tcW w:w="3120" w:type="dxa"/>
          </w:tcPr>
          <w:p>
            <w:pPr/>
            <w:r>
              <w:t xml:space="preserve">Quality</w:t>
            </w:r>
          </w:p>
        </w:tc>
        <w:tc>
          <w:tcPr>
            <w:tcW w:w="3120" w:type="dxa"/>
          </w:tcPr>
          <w:p>
            <w:pPr/>
            <w:r>
              <w:t xml:space="preserve">POST /complaints, POST /field-safety-notices</w:t>
            </w:r>
          </w:p>
        </w:tc>
        <w:tc>
          <w:tcPr>
            <w:tcW w:w="3120" w:type="dxa"/>
          </w:tcPr>
          <w:p>
            <w:pPr/>
            <w:r>
              <w:t xml:space="preserve">Batch-level recall</w:t>
            </w:r>
          </w:p>
        </w:tc>
      </w:tr>
      <w:tr>
        <w:tc>
          <w:tcPr>
            <w:tcW w:w="3120" w:type="dxa"/>
          </w:tcPr>
          <w:p>
            <w:pPr/>
            <w:r>
              <w:t xml:space="preserve">Payments</w:t>
            </w:r>
          </w:p>
        </w:tc>
        <w:tc>
          <w:tcPr>
            <w:tcW w:w="3120" w:type="dxa"/>
          </w:tcPr>
          <w:p>
            <w:pPr/>
            <w:r>
              <w:t xml:space="preserve">POST /care-plans, POST /payments/stk-push, POST /webhooks/mpesa/stk</w:t>
            </w:r>
          </w:p>
        </w:tc>
        <w:tc>
          <w:tcPr>
            <w:tcW w:w="3120" w:type="dxa"/>
          </w:tcPr>
          <w:p>
            <w:pPr/>
            <w:r>
              <w:t xml:space="preserve">Section 23.2</w:t>
            </w:r>
          </w:p>
        </w:tc>
      </w:tr>
      <w:tr>
        <w:tc>
          <w:tcPr>
            <w:tcW w:w="3120" w:type="dxa"/>
          </w:tcPr>
          <w:p>
            <w:pPr/>
            <w:r>
              <w:t xml:space="preserve">Partners</w:t>
            </w:r>
          </w:p>
        </w:tc>
        <w:tc>
          <w:tcPr>
            <w:tcW w:w="3120" w:type="dxa"/>
          </w:tcPr>
          <w:p>
            <w:pPr/>
            <w:r>
              <w:t xml:space="preserve">POST /orders, POST /deliveries/{id}/accept</w:t>
            </w:r>
          </w:p>
        </w:tc>
        <w:tc>
          <w:tcPr>
            <w:tcW w:w="3120" w:type="dxa"/>
          </w:tcPr>
          <w:p>
            <w:pPr/>
            <w:r>
              <w:t xml:space="preserve">Milestone billing</w:t>
            </w:r>
          </w:p>
        </w:tc>
      </w:tr>
      <w:tr>
        <w:tc>
          <w:tcPr>
            <w:tcW w:w="3120" w:type="dxa"/>
          </w:tcPr>
          <w:p>
            <w:pPr/>
            <w:r>
              <w:t xml:space="preserve">Analytics</w:t>
            </w:r>
          </w:p>
        </w:tc>
        <w:tc>
          <w:tcPr>
            <w:tcW w:w="3120" w:type="dxa"/>
          </w:tcPr>
          <w:p>
            <w:pPr/>
            <w:r>
              <w:t xml:space="preserve">GET /analytics/kpis?period=, POST /reports/impact</w:t>
            </w:r>
          </w:p>
        </w:tc>
        <w:tc>
          <w:tcPr>
            <w:tcW w:w="3120" w:type="dxa"/>
          </w:tcPr>
          <w:p>
            <w:pPr/>
            <w:r>
              <w:t xml:space="preserve">Aggregated and thresholded</w:t>
            </w:r>
          </w:p>
        </w:tc>
      </w:tr>
      <w:tr>
        <w:tc>
          <w:tcPr>
            <w:tcW w:w="3120" w:type="dxa"/>
          </w:tcPr>
          <w:p>
            <w:pPr/>
            <w:r>
              <w:t xml:space="preserve">Compliance</w:t>
            </w:r>
          </w:p>
        </w:tc>
        <w:tc>
          <w:tcPr>
            <w:tcW w:w="3120" w:type="dxa"/>
          </w:tcPr>
          <w:p>
            <w:pPr/>
            <w:r>
              <w:t xml:space="preserve">POST /dsar/export, POST /dsar/erase</w:t>
            </w:r>
          </w:p>
        </w:tc>
        <w:tc>
          <w:tcPr>
            <w:tcW w:w="3120" w:type="dxa"/>
          </w:tcPr>
          <w:p>
            <w:pPr/>
            <w:r>
              <w:t xml:space="preserve">Data subject rights</w:t>
            </w:r>
          </w:p>
        </w:tc>
      </w:tr>
      <w:tr>
        <w:tc>
          <w:tcPr>
            <w:tcW w:w="3120" w:type="dxa"/>
          </w:tcPr>
          <w:p>
            <w:pPr/>
            <w:r>
              <w:t xml:space="preserve">Inbound webhooks</w:t>
            </w:r>
          </w:p>
        </w:tc>
        <w:tc>
          <w:tcPr>
            <w:tcW w:w="3120" w:type="dxa"/>
          </w:tcPr>
          <w:p>
            <w:pPr/>
            <w:r>
              <w:t xml:space="preserve">/webhooks/whatsapp, /webhooks/sms, /webhooks/mpesa/*</w:t>
            </w:r>
          </w:p>
        </w:tc>
        <w:tc>
          <w:tcPr>
            <w:tcW w:w="3120" w:type="dxa"/>
          </w:tcPr>
          <w:p>
            <w:pPr/>
            <w:r>
              <w:t xml:space="preserve">Signature checks, replay protection</w:t>
            </w:r>
          </w:p>
        </w:tc>
      </w:tr>
    </w:tbl>
    <w:p>
      <w:pPr>
        <w:pStyle w:val="Heading3"/>
      </w:pPr>
      <w:r>
        <w:t xml:space="preserve">20.7 Examples</w:t>
      </w:r>
    </w:p>
    <w:p>
      <w:pPr/>
      <w:r>
        <w:rPr>
          <w:b/>
        </w:rPr>
        <w:t xml:space="preserve">Public device passport (QR scan).</w:t>
      </w:r>
      <w:r>
        <w:t xml:space="preserve"> </w:t>
      </w:r>
      <w:r>
        <w:rPr>
          <w:rStyle w:val="CodeChar"/>
        </w:rPr>
        <w:t xml:space="preserve">GET /d/9fK3...x</w:t>
      </w:r>
      <w:r>
        <w:t xml:space="preserve"> returns 200 with: serial "AA-WC-2026-000142"; model "Community Wheelchair v1.2"; status "delivered"; manufactured "2026-11-03"; warranty_until "2027-11-03"; a service block with a report-issue URL and a WhatsApp number; and safety_notice null (or the current field safety notice). No owner name, location or health information appears.</w:t>
      </w:r>
    </w:p>
    <w:p>
      <w:pPr/>
      <w:r>
        <w:rPr>
          <w:b/>
        </w:rPr>
        <w:t xml:space="preserve">Release gate.</w:t>
      </w:r>
      <w:r>
        <w:t xml:space="preserve"> </w:t>
      </w:r>
      <w:r>
        <w:rPr>
          <w:rStyle w:val="CodeChar"/>
        </w:rPr>
        <w:t xml:space="preserve">POST /work-orders/{id}/release</w:t>
      </w:r>
      <w:r>
        <w:t xml:space="preserve"> returns 409 with a problem-details body (type "qa-required", detail "No passing QA record for this work order") when QA is missing or failed.</w:t>
      </w:r>
    </w:p>
    <w:p>
      <w:pPr/>
      <w:r>
        <w:rPr>
          <w:b/>
        </w:rPr>
        <w:t xml:space="preserve">Error format.</w:t>
      </w:r>
      <w:r>
        <w:t xml:space="preserve"> Errors follow RFC 7807: type, title, status, detail, instance and a machine-readable code.</w:t>
      </w:r>
    </w:p>
    <w:p>
      <w:pPr>
        <w:pStyle w:val="Heading2"/>
      </w:pPr>
      <w:r>
        <w:t xml:space="preserve">21. Integrations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Integration</w:t>
            </w:r>
          </w:p>
        </w:tc>
        <w:tc>
          <w:tcPr>
            <w:tcW w:w="2340" w:type="dxa"/>
            <w:shd w:val="clear" w:color="auto" w:fill="F2F2F2"/>
          </w:tcPr>
          <w:p>
            <w:pPr/>
            <w:r>
              <w:t xml:space="preserve">Purpose</w:t>
            </w:r>
          </w:p>
        </w:tc>
        <w:tc>
          <w:tcPr>
            <w:tcW w:w="2340" w:type="dxa"/>
            <w:shd w:val="clear" w:color="auto" w:fill="F2F2F2"/>
          </w:tcPr>
          <w:p>
            <w:pPr/>
            <w:r>
              <w:t xml:space="preserve">What the research found</w:t>
            </w:r>
          </w:p>
        </w:tc>
        <w:tc>
          <w:tcPr>
            <w:tcW w:w="2340" w:type="dxa"/>
            <w:shd w:val="clear" w:color="auto" w:fill="F2F2F2"/>
          </w:tcPr>
          <w:p>
            <w:pPr/>
            <w:r>
              <w:t xml:space="preserve">Notes</w:t>
            </w:r>
          </w:p>
        </w:tc>
      </w:tr>
      <w:tr>
        <w:tc>
          <w:tcPr>
            <w:tcW w:w="2340" w:type="dxa"/>
          </w:tcPr>
          <w:p>
            <w:pPr/>
            <w:r>
              <w:t xml:space="preserve">M-Pesa Daraja</w:t>
            </w:r>
          </w:p>
        </w:tc>
        <w:tc>
          <w:tcPr>
            <w:tcW w:w="2340" w:type="dxa"/>
          </w:tcPr>
          <w:p>
            <w:pPr/>
            <w:r>
              <w:t xml:space="preserve">STK Push, STK query, C2B, B2C refunds and payouts</w:t>
            </w:r>
          </w:p>
        </w:tc>
        <w:tc>
          <w:tcPr>
            <w:tcW w:w="2340" w:type="dxa"/>
          </w:tcPr>
          <w:p>
            <w:pPr/>
            <w:r>
              <w:t xml:space="preserve">Production access needs a registered business with a paybill or till number, a go-live request, HTTPS callback URLs and credentials; reported go-live times run from about two to six weeks ✅ [V]. Callbacks can repeat; handlers must be idempotent and acknowledge quickly; keep raw payloads ✅.</w:t>
            </w:r>
          </w:p>
        </w:tc>
        <w:tc>
          <w:tcPr>
            <w:tcW w:w="2340" w:type="dxa"/>
          </w:tcPr>
          <w:p>
            <w:pPr/>
            <w:r>
              <w:t xml:space="preserve">Start onboarding in week 1; design a manual till-reconciliation fallback</w:t>
            </w:r>
          </w:p>
        </w:tc>
      </w:tr>
      <w:tr>
        <w:tc>
          <w:tcPr>
            <w:tcW w:w="2340" w:type="dxa"/>
          </w:tcPr>
          <w:p>
            <w:pPr/>
            <w:r>
              <w:t xml:space="preserve">WhatsApp Cloud API</w:t>
            </w:r>
          </w:p>
        </w:tc>
        <w:tc>
          <w:tcPr>
            <w:tcW w:w="2340" w:type="dxa"/>
          </w:tcPr>
          <w:p>
            <w:pPr/>
            <w:r>
              <w:t xml:space="preserve">Notifications, referrals, repair tickets, assistant</w:t>
            </w:r>
          </w:p>
        </w:tc>
        <w:tc>
          <w:tcPr>
            <w:tcW w:w="2340" w:type="dxa"/>
          </w:tcPr>
          <w:p>
            <w:pPr/>
            <w:r>
              <w:t xml:space="preserve">Per-message pricing since July 2025; from 1 October 2026 replies and utility messages inside the 24-hour window are also charged, reported at about USD 0.004 (KES 0.52) for Kenya, with marketing messages about USD 0.0225 (KES 3) ✅ [V rates]. Template approval and opt-in are required.</w:t>
            </w:r>
          </w:p>
        </w:tc>
        <w:tc>
          <w:tcPr>
            <w:tcW w:w="2340" w:type="dxa"/>
          </w:tcPr>
          <w:p>
            <w:pPr/>
            <w:r>
              <w:t xml:space="preserve">Section 21.1</w:t>
            </w:r>
          </w:p>
        </w:tc>
      </w:tr>
      <w:tr>
        <w:tc>
          <w:tcPr>
            <w:tcW w:w="2340" w:type="dxa"/>
          </w:tcPr>
          <w:p>
            <w:pPr/>
            <w:r>
              <w:t xml:space="preserve">SMS and USSD aggregator</w:t>
            </w:r>
          </w:p>
        </w:tc>
        <w:tc>
          <w:tcPr>
            <w:tcW w:w="2340" w:type="dxa"/>
          </w:tcPr>
          <w:p>
            <w:pPr/>
            <w:r>
              <w:t xml:space="preserve">Fallback reach; USSD menus for feature phones</w:t>
            </w:r>
          </w:p>
        </w:tc>
        <w:tc>
          <w:tcPr>
            <w:tcW w:w="2340" w:type="dxa"/>
          </w:tcPr>
          <w:p>
            <w:pPr/>
            <w:r>
              <w:t xml:space="preserve">Aggregators such as Africa's Talking offer both [V]; short-code lead times vary [V].</w:t>
            </w:r>
          </w:p>
        </w:tc>
        <w:tc>
          <w:tcPr>
            <w:tcW w:w="2340" w:type="dxa"/>
          </w:tcPr>
          <w:p>
            <w:pPr/>
            <w:r>
              <w:t xml:space="preserve">Run a pilot USSD menu in v1</w:t>
            </w:r>
          </w:p>
        </w:tc>
      </w:tr>
      <w:tr>
        <w:tc>
          <w:tcPr>
            <w:tcW w:w="2340" w:type="dxa"/>
          </w:tcPr>
          <w:p>
            <w:pPr/>
            <w:r>
              <w:t xml:space="preserve">Digital Health Agency</w:t>
            </w:r>
          </w:p>
        </w:tc>
        <w:tc>
          <w:tcPr>
            <w:tcW w:w="2340" w:type="dxa"/>
          </w:tcPr>
          <w:p>
            <w:pPr/>
            <w:r>
              <w:t xml:space="preserve">Solution certification; health information exchange</w:t>
            </w:r>
          </w:p>
        </w:tc>
        <w:tc>
          <w:tcPr>
            <w:tcW w:w="2340" w:type="dxa"/>
          </w:tcPr>
          <w:p>
            <w:pPr/>
            <w:r>
              <w:t xml:space="preserve">2025 Digital Health regulations require certification of digital health solutions and set data exchange procedures; stakeholders support FHIR ✅.</w:t>
            </w:r>
          </w:p>
        </w:tc>
        <w:tc>
          <w:tcPr>
            <w:tcW w:w="2340" w:type="dxa"/>
          </w:tcPr>
          <w:p>
            <w:pPr/>
            <w:r>
              <w:t xml:space="preserve">Ask whether certification applies to the platform</w:t>
            </w:r>
          </w:p>
        </w:tc>
      </w:tr>
      <w:tr>
        <w:tc>
          <w:tcPr>
            <w:tcW w:w="2340" w:type="dxa"/>
          </w:tcPr>
          <w:p>
            <w:pPr/>
            <w:r>
              <w:t xml:space="preserve">SHA</w:t>
            </w:r>
          </w:p>
        </w:tc>
        <w:tc>
          <w:tcPr>
            <w:tcW w:w="2340" w:type="dxa"/>
          </w:tcPr>
          <w:p>
            <w:pPr/>
            <w:r>
              <w:t xml:space="preserve">Pre-authorisation evidence</w:t>
            </w:r>
          </w:p>
        </w:tc>
        <w:tc>
          <w:tcPr>
            <w:tcW w:w="2340" w:type="dxa"/>
          </w:tcPr>
          <w:p>
            <w:pPr/>
            <w:r>
              <w:t xml:space="preserve">POMSF devices need manual pre-authorisation with clinical records and quotes ✅P.</w:t>
            </w:r>
          </w:p>
        </w:tc>
        <w:tc>
          <w:tcPr>
            <w:tcW w:w="2340" w:type="dxa"/>
          </w:tcPr>
          <w:p>
            <w:pPr/>
            <w:r>
              <w:t xml:space="preserve">Export a pre-authorisation pack; keep claims submission optional</w:t>
            </w:r>
          </w:p>
        </w:tc>
      </w:tr>
      <w:tr>
        <w:tc>
          <w:tcPr>
            <w:tcW w:w="2340" w:type="dxa"/>
          </w:tcPr>
          <w:p>
            <w:pPr/>
            <w:r>
              <w:t xml:space="preserve">KEMSA</w:t>
            </w:r>
          </w:p>
        </w:tc>
        <w:tc>
          <w:tcPr>
            <w:tcW w:w="2340" w:type="dxa"/>
          </w:tcPr>
          <w:p>
            <w:pPr/>
            <w:r>
              <w:t xml:space="preserve">Specifications, stock and delivery data</w:t>
            </w:r>
          </w:p>
        </w:tc>
        <w:tc>
          <w:tcPr>
            <w:tcW w:w="2340" w:type="dxa"/>
          </w:tcPr>
          <w:p>
            <w:pPr/>
            <w:r>
              <w:t xml:space="preserve">KEMSA integrated priority assistive products into its logistics information system and applies product verification ✅.</w:t>
            </w:r>
          </w:p>
        </w:tc>
        <w:tc>
          <w:tcPr>
            <w:tcW w:w="2340" w:type="dxa"/>
          </w:tcPr>
          <w:p>
            <w:pPr/>
            <w:r>
              <w:t xml:space="preserve">Begin with documents and CSV exchange</w:t>
            </w:r>
          </w:p>
        </w:tc>
      </w:tr>
      <w:tr>
        <w:tc>
          <w:tcPr>
            <w:tcW w:w="2340" w:type="dxa"/>
          </w:tcPr>
          <w:p>
            <w:pPr/>
            <w:r>
              <w:t xml:space="preserve">ODPC</w:t>
            </w:r>
          </w:p>
        </w:tc>
        <w:tc>
          <w:tcPr>
            <w:tcW w:w="2340" w:type="dxa"/>
          </w:tcPr>
          <w:p>
            <w:pPr/>
            <w:r>
              <w:t xml:space="preserve">Registration, transfer notices, breach reports</w:t>
            </w:r>
          </w:p>
        </w:tc>
        <w:tc>
          <w:tcPr>
            <w:tcW w:w="2340" w:type="dxa"/>
          </w:tcPr>
          <w:p>
            <w:pPr/>
            <w:r>
              <w:t xml:space="preserve">Online registration and guidance notes for health data, consent, children and DPIA ✅.</w:t>
            </w:r>
          </w:p>
        </w:tc>
        <w:tc>
          <w:tcPr>
            <w:tcW w:w="2340" w:type="dxa"/>
          </w:tcPr>
          <w:p>
            <w:pPr/>
            <w:r>
              <w:t xml:space="preserve">Keep a register of processing and transfers</w:t>
            </w:r>
          </w:p>
        </w:tc>
      </w:tr>
      <w:tr>
        <w:tc>
          <w:tcPr>
            <w:tcW w:w="2340" w:type="dxa"/>
          </w:tcPr>
          <w:p>
            <w:pPr/>
            <w:r>
              <w:t xml:space="preserve">Maps and geocoding</w:t>
            </w:r>
          </w:p>
        </w:tc>
        <w:tc>
          <w:tcPr>
            <w:tcW w:w="2340" w:type="dxa"/>
          </w:tcPr>
          <w:p>
            <w:pPr/>
            <w:r>
              <w:t xml:space="preserve">Hub assignment, delivery routing</w:t>
            </w:r>
          </w:p>
        </w:tc>
        <w:tc>
          <w:tcPr>
            <w:tcW w:w="2340" w:type="dxa"/>
          </w:tcPr>
          <w:p>
            <w:pPr/>
            <w:r>
              <w:t xml:space="preserve">Offline-friendly map tiles for the field</w:t>
            </w:r>
          </w:p>
        </w:tc>
        <w:tc>
          <w:tcPr>
            <w:tcW w:w="2340" w:type="dxa"/>
          </w:tcPr>
          <w:p>
            <w:pPr/>
            <w:r>
              <w:t xml:space="preserve">Prefer open map data</w:t>
            </w:r>
          </w:p>
        </w:tc>
      </w:tr>
      <w:tr>
        <w:tc>
          <w:tcPr>
            <w:tcW w:w="2340" w:type="dxa"/>
          </w:tcPr>
          <w:p>
            <w:pPr/>
            <w:r>
              <w:t xml:space="preserve">Accounting</w:t>
            </w:r>
          </w:p>
        </w:tc>
        <w:tc>
          <w:tcPr>
            <w:tcW w:w="2340" w:type="dxa"/>
          </w:tcPr>
          <w:p>
            <w:pPr/>
            <w:r>
              <w:t xml:space="preserve">Invoices and payments to QuickBooks, Zoho or Odoo</w:t>
            </w:r>
          </w:p>
        </w:tc>
        <w:tc>
          <w:tcPr>
            <w:tcW w:w="2340" w:type="dxa"/>
          </w:tcPr>
          <w:p>
            <w:pPr/>
            <w:r>
              <w:t xml:space="preserve">CSV or API</w:t>
            </w:r>
          </w:p>
        </w:tc>
        <w:tc>
          <w:tcPr>
            <w:tcW w:w="2340" w:type="dxa"/>
          </w:tcPr>
          <w:p>
            <w:pPr/>
            <w:r>
              <w:t xml:space="preserve">Month-end close support</w:t>
            </w:r>
          </w:p>
        </w:tc>
      </w:tr>
      <w:tr>
        <w:tc>
          <w:tcPr>
            <w:tcW w:w="2340" w:type="dxa"/>
          </w:tcPr>
          <w:p>
            <w:pPr/>
            <w:r>
              <w:t xml:space="preserve">Identity</w:t>
            </w:r>
          </w:p>
        </w:tc>
        <w:tc>
          <w:tcPr>
            <w:tcW w:w="2340" w:type="dxa"/>
          </w:tcPr>
          <w:p>
            <w:pPr/>
            <w:r>
              <w:t xml:space="preserve">Optional ID checks for partners and staff</w:t>
            </w:r>
          </w:p>
        </w:tc>
        <w:tc>
          <w:tcPr>
            <w:tcW w:w="2340" w:type="dxa"/>
          </w:tcPr>
          <w:p>
            <w:pPr/>
          </w:p>
        </w:tc>
        <w:tc>
          <w:tcPr>
            <w:tcW w:w="2340" w:type="dxa"/>
          </w:tcPr>
          <w:p>
            <w:pPr/>
            <w:r>
              <w:t xml:space="preserve">Avoid storing ID numbers unless required</w:t>
            </w:r>
          </w:p>
        </w:tc>
      </w:tr>
    </w:tbl>
    <w:p>
      <w:pPr>
        <w:pStyle w:val="Heading3"/>
      </w:pPr>
      <w:r>
        <w:t xml:space="preserve">21.1 Messaging economics (worked example) [A]</w:t>
      </w:r>
    </w:p>
    <w:p>
      <w:pPr/>
      <w:r>
        <w:t xml:space="preserve">If 3,000 devices each generate about 12 service or utility messages a year (confirmations, reminders, repair updates), that is 36,000 messages, roughly KES 18,700 a year at KES 0.52 per message. A marketing broadcast to 10,000 contacts at about KES 3 each would cost about KES 30,000 per campaign. Messaging is therefore affordable if transactional messages are templated and marketing is rare, and if low-cost channels (USSD, SMS, PWA) carry bulk reminders.</w:t>
      </w:r>
    </w:p>
    <w:p>
      <w:pPr>
        <w:pStyle w:val="Heading2"/>
      </w:pPr>
      <w:r>
        <w:t xml:space="preserve">22. Security, privacy and compliance</w:t>
      </w:r>
    </w:p>
    <w:p>
      <w:pPr>
        <w:pStyle w:val="Heading3"/>
      </w:pPr>
      <w:r>
        <w:t xml:space="preserve">22.1 Roles and permissions</w:t>
      </w:r>
    </w:p>
    <w:p>
      <w:pPr/>
      <w:r>
        <w:t xml:space="preserve">A tick means allowed; "own" means only their own records; "assigned" means only records assigned to them; "org" means their organisation's records.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Capability</w:t>
            </w:r>
          </w:p>
        </w:tc>
        <w:tc>
          <w:tcPr>
            <w:tcW w:w="1040" w:type="dxa"/>
            <w:shd w:val="clear" w:color="auto" w:fill="F2F2F2"/>
          </w:tcPr>
          <w:p>
            <w:pPr/>
            <w:r>
              <w:t xml:space="preserve">Beneficiary</w:t>
            </w:r>
          </w:p>
        </w:tc>
        <w:tc>
          <w:tcPr>
            <w:tcW w:w="1040" w:type="dxa"/>
            <w:shd w:val="clear" w:color="auto" w:fill="F2F2F2"/>
          </w:tcPr>
          <w:p>
            <w:pPr/>
            <w:r>
              <w:t xml:space="preserve">Referrer</w:t>
            </w:r>
          </w:p>
        </w:tc>
        <w:tc>
          <w:tcPr>
            <w:tcW w:w="1040" w:type="dxa"/>
            <w:shd w:val="clear" w:color="auto" w:fill="F2F2F2"/>
          </w:tcPr>
          <w:p>
            <w:pPr/>
            <w:r>
              <w:t xml:space="preserve">Clinician</w:t>
            </w:r>
          </w:p>
        </w:tc>
        <w:tc>
          <w:tcPr>
            <w:tcW w:w="1040" w:type="dxa"/>
            <w:shd w:val="clear" w:color="auto" w:fill="F2F2F2"/>
          </w:tcPr>
          <w:p>
            <w:pPr/>
            <w:r>
              <w:t xml:space="preserve">Technician</w:t>
            </w:r>
          </w:p>
        </w:tc>
        <w:tc>
          <w:tcPr>
            <w:tcW w:w="1040" w:type="dxa"/>
            <w:shd w:val="clear" w:color="auto" w:fill="F2F2F2"/>
          </w:tcPr>
          <w:p>
            <w:pPr/>
            <w:r>
              <w:t xml:space="preserve">Hub agent</w:t>
            </w:r>
          </w:p>
        </w:tc>
        <w:tc>
          <w:tcPr>
            <w:tcW w:w="1040" w:type="dxa"/>
            <w:shd w:val="clear" w:color="auto" w:fill="F2F2F2"/>
          </w:tcPr>
          <w:p>
            <w:pPr/>
            <w:r>
              <w:t xml:space="preserve">Partner</w:t>
            </w:r>
          </w:p>
        </w:tc>
        <w:tc>
          <w:tcPr>
            <w:tcW w:w="1040" w:type="dxa"/>
            <w:shd w:val="clear" w:color="auto" w:fill="F2F2F2"/>
          </w:tcPr>
          <w:p>
            <w:pPr/>
            <w:r>
              <w:t xml:space="preserve">Finance</w:t>
            </w:r>
          </w:p>
        </w:tc>
        <w:tc>
          <w:tcPr>
            <w:tcW w:w="1040" w:type="dxa"/>
            <w:shd w:val="clear" w:color="auto" w:fill="F2F2F2"/>
          </w:tcPr>
          <w:p>
            <w:pPr/>
            <w:r>
              <w:t xml:space="preserve">Admin / DPO</w:t>
            </w:r>
          </w:p>
        </w:tc>
      </w:tr>
      <w:tr>
        <w:tc>
          <w:tcPr>
            <w:tcW w:w="1040" w:type="dxa"/>
          </w:tcPr>
          <w:p>
            <w:pPr/>
            <w:r>
              <w:t xml:space="preserve">View own record</w:t>
            </w:r>
          </w:p>
        </w:tc>
        <w:tc>
          <w:tcPr>
            <w:tcW w:w="1040" w:type="dxa"/>
          </w:tcPr>
          <w:p>
            <w:pPr/>
            <w:r>
              <w:t xml:space="preserve">own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Create referral</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View assessments</w:t>
            </w:r>
          </w:p>
        </w:tc>
        <w:tc>
          <w:tcPr>
            <w:tcW w:w="1040" w:type="dxa"/>
          </w:tcPr>
          <w:p>
            <w:pPr/>
            <w:r>
              <w:t xml:space="preserve">-</w:t>
            </w:r>
          </w:p>
        </w:tc>
        <w:tc>
          <w:tcPr>
            <w:tcW w:w="1040" w:type="dxa"/>
          </w:tcPr>
          <w:p>
            <w:pPr/>
            <w:r>
              <w:t xml:space="preserve">-</w:t>
            </w:r>
          </w:p>
        </w:tc>
        <w:tc>
          <w:tcPr>
            <w:tcW w:w="1040" w:type="dxa"/>
          </w:tcPr>
          <w:p>
            <w:pPr/>
            <w:r>
              <w:t xml:space="preserve">assigned</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audit only</w:t>
            </w:r>
          </w:p>
        </w:tc>
      </w:tr>
      <w:tr>
        <w:tc>
          <w:tcPr>
            <w:tcW w:w="1040" w:type="dxa"/>
          </w:tcPr>
          <w:p>
            <w:pPr/>
            <w:r>
              <w:t xml:space="preserve">Sign prescription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Work orders and QA</w:t>
            </w:r>
          </w:p>
        </w:tc>
        <w:tc>
          <w:tcPr>
            <w:tcW w:w="1040" w:type="dxa"/>
          </w:tcPr>
          <w:p>
            <w:pPr/>
            <w:r>
              <w:t xml:space="preserve">-</w:t>
            </w:r>
          </w:p>
        </w:tc>
        <w:tc>
          <w:tcPr>
            <w:tcW w:w="1040" w:type="dxa"/>
          </w:tcPr>
          <w:p>
            <w:pPr/>
            <w:r>
              <w:t xml:space="preserve">-</w:t>
            </w:r>
          </w:p>
        </w:tc>
        <w:tc>
          <w:tcPr>
            <w:tcW w:w="1040" w:type="dxa"/>
          </w:tcPr>
          <w:p>
            <w:pPr/>
            <w:r>
              <w:t xml:space="preserve">view</w:t>
            </w:r>
          </w:p>
        </w:tc>
        <w:tc>
          <w:tcPr>
            <w:tcW w:w="1040" w:type="dxa"/>
          </w:tcPr>
          <w:p>
            <w:pPr/>
            <w:r>
              <w:t xml:space="preserve">✔</w:t>
            </w:r>
          </w:p>
        </w:tc>
        <w:tc>
          <w:tcPr>
            <w:tcW w:w="1040" w:type="dxa"/>
          </w:tcPr>
          <w:p>
            <w:pPr/>
            <w:r>
              <w:t xml:space="preserve">-</w:t>
            </w:r>
          </w:p>
        </w:tc>
        <w:tc>
          <w:tcPr>
            <w:tcW w:w="1040" w:type="dxa"/>
          </w:tcPr>
          <w:p>
            <w:pPr/>
            <w:r>
              <w:t xml:space="preserve">view</w:t>
            </w:r>
          </w:p>
        </w:tc>
        <w:tc>
          <w:tcPr>
            <w:tcW w:w="1040" w:type="dxa"/>
          </w:tcPr>
          <w:p>
            <w:pPr/>
            <w:r>
              <w:t xml:space="preserve">-</w:t>
            </w:r>
          </w:p>
        </w:tc>
        <w:tc>
          <w:tcPr>
            <w:tcW w:w="1040" w:type="dxa"/>
          </w:tcPr>
          <w:p>
            <w:pPr/>
            <w:r>
              <w:t xml:space="preserve">✔</w:t>
            </w:r>
          </w:p>
        </w:tc>
      </w:tr>
      <w:tr>
        <w:tc>
          <w:tcPr>
            <w:tcW w:w="1040" w:type="dxa"/>
          </w:tcPr>
          <w:p>
            <w:pPr/>
            <w:r>
              <w:t xml:space="preserve">Device passport (full)</w:t>
            </w:r>
          </w:p>
        </w:tc>
        <w:tc>
          <w:tcPr>
            <w:tcW w:w="1040" w:type="dxa"/>
          </w:tcPr>
          <w:p>
            <w:pPr/>
            <w:r>
              <w:t xml:space="preserve">own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org devices</w:t>
            </w:r>
          </w:p>
        </w:tc>
        <w:tc>
          <w:tcPr>
            <w:tcW w:w="1040" w:type="dxa"/>
          </w:tcPr>
          <w:p>
            <w:pPr/>
            <w:r>
              <w:t xml:space="preserve">-</w:t>
            </w:r>
          </w:p>
        </w:tc>
        <w:tc>
          <w:tcPr>
            <w:tcW w:w="1040" w:type="dxa"/>
          </w:tcPr>
          <w:p>
            <w:pPr/>
            <w:r>
              <w:t xml:space="preserve">✔</w:t>
            </w:r>
          </w:p>
        </w:tc>
      </w:tr>
      <w:tr>
        <w:tc>
          <w:tcPr>
            <w:tcW w:w="1040" w:type="dxa"/>
          </w:tcPr>
          <w:p>
            <w:pPr/>
            <w:r>
              <w:t xml:space="preserve">Tickets</w:t>
            </w:r>
          </w:p>
        </w:tc>
        <w:tc>
          <w:tcPr>
            <w:tcW w:w="1040" w:type="dxa"/>
          </w:tcPr>
          <w:p>
            <w:pPr/>
            <w:r>
              <w:t xml:space="preserve">own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org</w:t>
            </w:r>
          </w:p>
        </w:tc>
        <w:tc>
          <w:tcPr>
            <w:tcW w:w="1040" w:type="dxa"/>
          </w:tcPr>
          <w:p>
            <w:pPr/>
            <w:r>
              <w:t xml:space="preserve">-</w:t>
            </w:r>
          </w:p>
        </w:tc>
        <w:tc>
          <w:tcPr>
            <w:tcW w:w="1040" w:type="dxa"/>
          </w:tcPr>
          <w:p>
            <w:pPr/>
            <w:r>
              <w:t xml:space="preserve">✔</w:t>
            </w:r>
          </w:p>
        </w:tc>
      </w:tr>
      <w:tr>
        <w:tc>
          <w:tcPr>
            <w:tcW w:w="1040" w:type="dxa"/>
          </w:tcPr>
          <w:p>
            <w:pPr/>
            <w:r>
              <w:t xml:space="preserve">Complaints and field safety notices</w:t>
            </w:r>
          </w:p>
        </w:tc>
        <w:tc>
          <w:tcPr>
            <w:tcW w:w="1040" w:type="dxa"/>
          </w:tcPr>
          <w:p>
            <w:pPr/>
            <w:r>
              <w:t xml:space="preserve">report</w:t>
            </w:r>
          </w:p>
        </w:tc>
        <w:tc>
          <w:tcPr>
            <w:tcW w:w="1040" w:type="dxa"/>
          </w:tcPr>
          <w:p>
            <w:pPr/>
            <w:r>
              <w:t xml:space="preserve">-</w:t>
            </w:r>
          </w:p>
        </w:tc>
        <w:tc>
          <w:tcPr>
            <w:tcW w:w="1040" w:type="dxa"/>
          </w:tcPr>
          <w:p>
            <w:pPr/>
            <w:r>
              <w:t xml:space="preserve">report</w:t>
            </w:r>
          </w:p>
        </w:tc>
        <w:tc>
          <w:tcPr>
            <w:tcW w:w="1040" w:type="dxa"/>
          </w:tcPr>
          <w:p>
            <w:pPr/>
            <w:r>
              <w:t xml:space="preserve">report</w:t>
            </w:r>
          </w:p>
        </w:tc>
        <w:tc>
          <w:tcPr>
            <w:tcW w:w="1040" w:type="dxa"/>
          </w:tcPr>
          <w:p>
            <w:pPr/>
            <w:r>
              <w:t xml:space="preserve">report</w:t>
            </w:r>
          </w:p>
        </w:tc>
        <w:tc>
          <w:tcPr>
            <w:tcW w:w="1040" w:type="dxa"/>
          </w:tcPr>
          <w:p>
            <w:pPr/>
            <w:r>
              <w:t xml:space="preserve">report</w:t>
            </w:r>
          </w:p>
        </w:tc>
        <w:tc>
          <w:tcPr>
            <w:tcW w:w="1040" w:type="dxa"/>
          </w:tcPr>
          <w:p>
            <w:pPr/>
            <w:r>
              <w:t xml:space="preserve">-</w:t>
            </w:r>
          </w:p>
        </w:tc>
        <w:tc>
          <w:tcPr>
            <w:tcW w:w="1040" w:type="dxa"/>
          </w:tcPr>
          <w:p>
            <w:pPr/>
            <w:r>
              <w:t xml:space="preserve">✔</w:t>
            </w:r>
          </w:p>
        </w:tc>
      </w:tr>
      <w:tr>
        <w:tc>
          <w:tcPr>
            <w:tcW w:w="1040" w:type="dxa"/>
          </w:tcPr>
          <w:p>
            <w:pPr/>
            <w:r>
              <w:t xml:space="preserve">Payments and invoices</w:t>
            </w:r>
          </w:p>
        </w:tc>
        <w:tc>
          <w:tcPr>
            <w:tcW w:w="1040" w:type="dxa"/>
          </w:tcPr>
          <w:p>
            <w:pPr/>
            <w:r>
              <w:t xml:space="preserve">own</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org</w:t>
            </w:r>
          </w:p>
        </w:tc>
        <w:tc>
          <w:tcPr>
            <w:tcW w:w="1040" w:type="dxa"/>
          </w:tcPr>
          <w:p>
            <w:pPr/>
            <w:r>
              <w:t xml:space="preserve">✔</w:t>
            </w:r>
          </w:p>
        </w:tc>
        <w:tc>
          <w:tcPr>
            <w:tcW w:w="1040" w:type="dxa"/>
          </w:tcPr>
          <w:p>
            <w:pPr/>
            <w:r>
              <w:t xml:space="preserve">audit</w:t>
            </w:r>
          </w:p>
        </w:tc>
      </w:tr>
      <w:tr>
        <w:tc>
          <w:tcPr>
            <w:tcW w:w="1040" w:type="dxa"/>
          </w:tcPr>
          <w:p>
            <w:pPr/>
            <w:r>
              <w:t xml:space="preserve">Aggregated analytics</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Export or erase (data subject requests)</w:t>
            </w:r>
          </w:p>
        </w:tc>
        <w:tc>
          <w:tcPr>
            <w:tcW w:w="1040" w:type="dxa"/>
          </w:tcPr>
          <w:p>
            <w:pPr/>
            <w:r>
              <w:t xml:space="preserve">request</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r>
      <w:tr>
        <w:tc>
          <w:tcPr>
            <w:tcW w:w="1040" w:type="dxa"/>
          </w:tcPr>
          <w:p>
            <w:pPr/>
            <w:r>
              <w:t xml:space="preserve">Audit log</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w:t>
            </w:r>
          </w:p>
        </w:tc>
        <w:tc>
          <w:tcPr>
            <w:tcW w:w="1040" w:type="dxa"/>
          </w:tcPr>
          <w:p>
            <w:pPr/>
            <w:r>
              <w:t xml:space="preserve">✔ (read-only)</w:t>
            </w:r>
          </w:p>
        </w:tc>
      </w:tr>
    </w:tbl>
    <w:p>
      <w:pPr/>
      <w:r>
        <w:t xml:space="preserve">Apply attribute-based rules on top (organisation, county, assignment) and PostgreSQL row-level security for tenancy. Any administrator bypass is itself logged and alerts the DPO.</w:t>
      </w:r>
    </w:p>
    <w:p>
      <w:pPr>
        <w:pStyle w:val="Heading3"/>
      </w:pPr>
      <w:r>
        <w:t xml:space="preserve">22.2 Kenyan legal and regulatory requirements</w:t>
      </w:r>
    </w:p>
    <w:p>
      <w:pPr/>
      <w:r>
        <w:t xml:space="preserve">Verify with counsel. Items tagged ✅P were read in the primary text; others come from secondary 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What the sources say</w:t>
            </w:r>
          </w:p>
        </w:tc>
        <w:tc>
          <w:tcPr>
            <w:tcW w:w="3120" w:type="dxa"/>
            <w:shd w:val="clear" w:color="auto" w:fill="F2F2F2"/>
          </w:tcPr>
          <w:p>
            <w:pPr/>
            <w:r>
              <w:t xml:space="preserve">Platform implication</w:t>
            </w:r>
          </w:p>
        </w:tc>
      </w:tr>
      <w:tr>
        <w:tc>
          <w:tcPr>
            <w:tcW w:w="3120" w:type="dxa"/>
          </w:tcPr>
          <w:p>
            <w:pPr/>
            <w:r>
              <w:t xml:space="preserve">Sensitive data</w:t>
            </w:r>
          </w:p>
        </w:tc>
        <w:tc>
          <w:tcPr>
            <w:tcW w:w="3120" w:type="dxa"/>
          </w:tcPr>
          <w:p>
            <w:pPr/>
            <w:r>
              <w:t xml:space="preserve">Under the Data Protection Act 2019, "sensitive personal data" includes health status, genetic and biometric data, family details including children's names, and sex ✅P.</w:t>
            </w:r>
          </w:p>
        </w:tc>
        <w:tc>
          <w:tcPr>
            <w:tcW w:w="3120" w:type="dxa"/>
          </w:tcPr>
          <w:p>
            <w:pPr/>
            <w:r>
              <w:t xml:space="preserve">Classify all disability, assessment, photo and scan data as highly sensitive (Section 20.3).</w:t>
            </w:r>
          </w:p>
        </w:tc>
      </w:tr>
      <w:tr>
        <w:tc>
          <w:tcPr>
            <w:tcW w:w="3120" w:type="dxa"/>
          </w:tcPr>
          <w:p>
            <w:pPr/>
            <w:r>
              <w:t xml:space="preserve">Registration and DPO</w:t>
            </w:r>
          </w:p>
        </w:tc>
        <w:tc>
          <w:tcPr>
            <w:tcW w:w="3120" w:type="dxa"/>
          </w:tcPr>
          <w:p>
            <w:pPr/>
            <w:r>
              <w:t xml:space="preserve">Controllers and processors register with the ODPC; appoint a Data Protection Officer; keep records of processing ✅ [V whether registration is mandatory for this activity].</w:t>
            </w:r>
          </w:p>
        </w:tc>
        <w:tc>
          <w:tcPr>
            <w:tcW w:w="3120" w:type="dxa"/>
          </w:tcPr>
          <w:p>
            <w:pPr/>
            <w:r>
              <w:t xml:space="preserve">Start registration in week 1 of the build; the DPO has an admin role (Section 22.1).</w:t>
            </w:r>
          </w:p>
        </w:tc>
      </w:tr>
      <w:tr>
        <w:tc>
          <w:tcPr>
            <w:tcW w:w="3120" w:type="dxa"/>
          </w:tcPr>
          <w:p>
            <w:pPr/>
            <w:r>
              <w:t xml:space="preserve">DPIA</w:t>
            </w:r>
          </w:p>
        </w:tc>
        <w:tc>
          <w:tcPr>
            <w:tcW w:w="3120" w:type="dxa"/>
          </w:tcPr>
          <w:p>
            <w:pPr/>
            <w:r>
              <w:t xml:space="preserve">High-risk processing needs a data protection impact assessment (section 31 and Part VIII of the Regulations) ✅P. This platform (health data, children, scans, AI, cross-border possibilities) is high risk [A].</w:t>
            </w:r>
          </w:p>
        </w:tc>
        <w:tc>
          <w:tcPr>
            <w:tcW w:w="3120" w:type="dxa"/>
          </w:tcPr>
          <w:p>
            <w:pPr/>
            <w:r>
              <w:t xml:space="preserve">Complete a DPIA before real data enters production (Section 22.5).</w:t>
            </w:r>
          </w:p>
        </w:tc>
      </w:tr>
      <w:tr>
        <w:tc>
          <w:tcPr>
            <w:tcW w:w="3120" w:type="dxa"/>
          </w:tcPr>
          <w:p>
            <w:pPr/>
            <w:r>
              <w:t xml:space="preserve">Children</w:t>
            </w:r>
          </w:p>
        </w:tc>
        <w:tc>
          <w:tcPr>
            <w:tcW w:w="3120" w:type="dxa"/>
          </w:tcPr>
          <w:p>
            <w:pPr/>
            <w:r>
              <w:t xml:space="preserve">Processing a child's data needs guardian consent and safeguards ✅; ODPC publishes a guidance note on children's data ✅.</w:t>
            </w:r>
          </w:p>
        </w:tc>
        <w:tc>
          <w:tcPr>
            <w:tcW w:w="3120" w:type="dxa"/>
          </w:tcPr>
          <w:p>
            <w:pPr/>
            <w:r>
              <w:t xml:space="preserve">Guardian consent flow and guardian-child link; age bands; no marketing to children.</w:t>
            </w:r>
          </w:p>
        </w:tc>
      </w:tr>
      <w:tr>
        <w:tc>
          <w:tcPr>
            <w:tcW w:w="3120" w:type="dxa"/>
          </w:tcPr>
          <w:p>
            <w:pPr/>
            <w:r>
              <w:t xml:space="preserve">Data subject rights</w:t>
            </w:r>
          </w:p>
        </w:tc>
        <w:tc>
          <w:tcPr>
            <w:tcW w:w="3120" w:type="dxa"/>
          </w:tcPr>
          <w:p>
            <w:pPr/>
            <w:r>
              <w:t xml:space="preserve">Access, correction, objection, erasure and portability under section 26 ✅P.</w:t>
            </w:r>
          </w:p>
        </w:tc>
        <w:tc>
          <w:tcPr>
            <w:tcW w:w="3120" w:type="dxa"/>
          </w:tcPr>
          <w:p>
            <w:pPr/>
            <w:r>
              <w:t xml:space="preserve">Data subject request endpoints with a defined service level (Section 23.4).</w:t>
            </w:r>
          </w:p>
        </w:tc>
      </w:tr>
      <w:tr>
        <w:tc>
          <w:tcPr>
            <w:tcW w:w="3120" w:type="dxa"/>
          </w:tcPr>
          <w:p>
            <w:pPr/>
            <w:r>
              <w:t xml:space="preserve">Processor agreements</w:t>
            </w:r>
          </w:p>
        </w:tc>
        <w:tc>
          <w:tcPr>
            <w:tcW w:w="3120" w:type="dxa"/>
          </w:tcPr>
          <w:p>
            <w:pPr/>
            <w:r>
              <w:t xml:space="preserve">Written agreements between controllers and processors (section 42; regulation 48) ✅P.</w:t>
            </w:r>
          </w:p>
        </w:tc>
        <w:tc>
          <w:tcPr>
            <w:tcW w:w="3120" w:type="dxa"/>
          </w:tcPr>
          <w:p>
            <w:pPr/>
            <w:r>
              <w:t xml:space="preserve">Agreements with hosting, messaging, SMS and payment providers and with each clinical partner.</w:t>
            </w:r>
          </w:p>
        </w:tc>
      </w:tr>
      <w:tr>
        <w:tc>
          <w:tcPr>
            <w:tcW w:w="3120" w:type="dxa"/>
          </w:tcPr>
          <w:p>
            <w:pPr/>
            <w:r>
              <w:t xml:space="preserve">Cross-border transfer</w:t>
            </w:r>
          </w:p>
        </w:tc>
        <w:tc>
          <w:tcPr>
            <w:tcW w:w="3120" w:type="dxa"/>
          </w:tcPr>
          <w:p>
            <w:pPr/>
            <w:r>
              <w:t xml:space="preserve">Bases: appropriate safeguards, adequacy decision, necessity, or consent. Sensitive data needs explicit consent and confirmation of safeguards (section 49(1)); transfers must be documented (date and time, recipient, justification, description of data) and shown to the Commissioner on request; a foreign cloud server is a transfer; onward transfers need prior written authorisation; transfers for the recipient's own purposes such as analytics, profiling or product improvement are prohibited ✅P.</w:t>
            </w:r>
          </w:p>
        </w:tc>
        <w:tc>
          <w:tcPr>
            <w:tcW w:w="3120" w:type="dxa"/>
          </w:tcPr>
          <w:p>
            <w:pPr/>
            <w:r>
              <w:t xml:space="preserve">Keep identifiable data in Kenya. If any foreign processing is used, add a transfer register, explicit consent purpose and contract clauses.</w:t>
            </w:r>
          </w:p>
        </w:tc>
      </w:tr>
      <w:tr>
        <w:tc>
          <w:tcPr>
            <w:tcW w:w="3120" w:type="dxa"/>
          </w:tcPr>
          <w:p>
            <w:pPr/>
            <w:r>
              <w:t xml:space="preserve">Localisation</w:t>
            </w:r>
          </w:p>
        </w:tc>
        <w:tc>
          <w:tcPr>
            <w:tcW w:w="3120" w:type="dxa"/>
          </w:tcPr>
          <w:p>
            <w:pPr/>
            <w:r>
              <w:t xml:space="preserve">Processing for the provision of primary or secondary health care in the country must be on a Kenyan server and data centre, or keep at least one serving copy in Kenya (section 50; regulation 26(f)) ✅P.</w:t>
            </w:r>
          </w:p>
        </w:tc>
        <w:tc>
          <w:tcPr>
            <w:tcW w:w="3120" w:type="dxa"/>
          </w:tcPr>
          <w:p>
            <w:pPr/>
            <w:r>
              <w:t xml:space="preserve">Hosting decision in Section 19.4.</w:t>
            </w:r>
          </w:p>
        </w:tc>
      </w:tr>
      <w:tr>
        <w:tc>
          <w:tcPr>
            <w:tcW w:w="3120" w:type="dxa"/>
          </w:tcPr>
          <w:p>
            <w:pPr/>
            <w:r>
              <w:t xml:space="preserve">Cloud use</w:t>
            </w:r>
          </w:p>
        </w:tc>
        <w:tc>
          <w:tcPr>
            <w:tcW w:w="3120" w:type="dxa"/>
          </w:tcPr>
          <w:p>
            <w:pPr/>
            <w:r>
              <w:t xml:space="preserve">Share responsibility with the provider: logging, encryption in transit and at rest, MFA, anonymisation, backups; DPIA for cloud deployments with cross-border transfers ✅P.</w:t>
            </w:r>
          </w:p>
        </w:tc>
        <w:tc>
          <w:tcPr>
            <w:tcW w:w="3120" w:type="dxa"/>
          </w:tcPr>
          <w:p>
            <w:pPr/>
            <w:r>
              <w:t xml:space="preserve">Controls in Section 22.3.</w:t>
            </w:r>
          </w:p>
        </w:tc>
      </w:tr>
      <w:tr>
        <w:tc>
          <w:tcPr>
            <w:tcW w:w="3120" w:type="dxa"/>
          </w:tcPr>
          <w:p>
            <w:pPr/>
            <w:r>
              <w:t xml:space="preserve">Breach notification</w:t>
            </w:r>
          </w:p>
        </w:tc>
        <w:tc>
          <w:tcPr>
            <w:tcW w:w="3120" w:type="dxa"/>
          </w:tcPr>
          <w:p>
            <w:pPr/>
            <w:r>
              <w:t xml:space="preserve">Notify the ODPC within 72 hours of becoming aware of a breach, and affected people where required [V; check section 43].</w:t>
            </w:r>
          </w:p>
        </w:tc>
        <w:tc>
          <w:tcPr>
            <w:tcW w:w="3120" w:type="dxa"/>
          </w:tcPr>
          <w:p>
            <w:pPr/>
            <w:r>
              <w:t xml:space="preserve">Breach runbook and templates (Section 25.5).</w:t>
            </w:r>
          </w:p>
        </w:tc>
      </w:tr>
      <w:tr>
        <w:tc>
          <w:tcPr>
            <w:tcW w:w="3120" w:type="dxa"/>
          </w:tcPr>
          <w:p>
            <w:pPr/>
            <w:r>
              <w:t xml:space="preserve">Digital Health Act 2023 and 2025 regulations</w:t>
            </w:r>
          </w:p>
        </w:tc>
        <w:tc>
          <w:tcPr>
            <w:tcW w:w="3120" w:type="dxa"/>
          </w:tcPr>
          <w:p>
            <w:pPr/>
            <w:r>
              <w:t xml:space="preserve">Certification of digital health solutions by the Digital Health Agency; registration of health data controllers and processors with notification to the Agency (reported within seven days); national and county health data banks; health information management and data exchange rules ✅ [V details].</w:t>
            </w:r>
          </w:p>
        </w:tc>
        <w:tc>
          <w:tcPr>
            <w:tcW w:w="3120" w:type="dxa"/>
          </w:tcPr>
          <w:p>
            <w:pPr/>
            <w:r>
              <w:t xml:space="preserve">Ask the Agency early. Design export in FHIR. Do not hard-wire a national exchange before the requirements are confirmed.</w:t>
            </w:r>
          </w:p>
        </w:tc>
      </w:tr>
      <w:tr>
        <w:tc>
          <w:tcPr>
            <w:tcW w:w="3120" w:type="dxa"/>
          </w:tcPr>
          <w:p>
            <w:pPr/>
            <w:r>
              <w:t xml:space="preserve">Medical device software</w:t>
            </w:r>
          </w:p>
        </w:tc>
        <w:tc>
          <w:tcPr>
            <w:tcW w:w="3120" w:type="dxa"/>
          </w:tcPr>
          <w:p>
            <w:pPr/>
            <w:r>
              <w:t xml:space="preserve">PPB draft guidance on Medical Device Software (April 2026) ✅.</w:t>
            </w:r>
          </w:p>
        </w:tc>
        <w:tc>
          <w:tcPr>
            <w:tcW w:w="3120" w:type="dxa"/>
          </w:tcPr>
          <w:p>
            <w:pPr/>
            <w:r>
              <w:t xml:space="preserve">No automated clinical decisions in MVP; classify each AI feature (Section 24).</w:t>
            </w:r>
          </w:p>
        </w:tc>
      </w:tr>
      <w:tr>
        <w:tc>
          <w:tcPr>
            <w:tcW w:w="3120" w:type="dxa"/>
          </w:tcPr>
          <w:p>
            <w:pPr/>
            <w:r>
              <w:t xml:space="preserve">Accessibility</w:t>
            </w:r>
          </w:p>
        </w:tc>
        <w:tc>
          <w:tcPr>
            <w:tcW w:w="3120" w:type="dxa"/>
          </w:tcPr>
          <w:p>
            <w:pPr/>
            <w:r>
              <w:t xml:space="preserve">ICT providers must make platforms accessible to persons with disabilities (Persons with Disabilities Act 2025, s.26) ✅P.</w:t>
            </w:r>
          </w:p>
        </w:tc>
        <w:tc>
          <w:tcPr>
            <w:tcW w:w="3120" w:type="dxa"/>
          </w:tcPr>
          <w:p>
            <w:pPr/>
            <w:r>
              <w:t xml:space="preserve">WCAG 2.2 AA audit before launch (Section 25.1).</w:t>
            </w:r>
          </w:p>
        </w:tc>
      </w:tr>
      <w:tr>
        <w:tc>
          <w:tcPr>
            <w:tcW w:w="3120" w:type="dxa"/>
          </w:tcPr>
          <w:p>
            <w:pPr/>
            <w:r>
              <w:t xml:space="preserve">Cyber and cloud policy</w:t>
            </w:r>
          </w:p>
        </w:tc>
        <w:tc>
          <w:tcPr>
            <w:tcW w:w="3120" w:type="dxa"/>
          </w:tcPr>
          <w:p>
            <w:pPr/>
            <w:r>
              <w:t xml:space="preserve">Computer Misuse and Cybercrime (Amendment) Act 2024, Kenya Cloud Policy and the National Cybersecurity Strategy 2022-2027 are referenced in ODPC and PPB materials ✅.</w:t>
            </w:r>
          </w:p>
        </w:tc>
        <w:tc>
          <w:tcPr>
            <w:tcW w:w="3120" w:type="dxa"/>
          </w:tcPr>
          <w:p>
            <w:pPr/>
            <w:r>
              <w:t xml:space="preserve">Align security controls and incident response with these.</w:t>
            </w:r>
          </w:p>
        </w:tc>
      </w:tr>
      <w:tr>
        <w:tc>
          <w:tcPr>
            <w:tcW w:w="3120" w:type="dxa"/>
          </w:tcPr>
          <w:p>
            <w:pPr/>
            <w:r>
              <w:t xml:space="preserve">Electronic signatures and proof of delivery</w:t>
            </w:r>
          </w:p>
        </w:tc>
        <w:tc>
          <w:tcPr>
            <w:tcW w:w="3120" w:type="dxa"/>
          </w:tcPr>
          <w:p>
            <w:pPr/>
            <w:r>
              <w:t xml:space="preserve">Electronic signatures and records are recognised under Kenyan law [V].</w:t>
            </w:r>
          </w:p>
        </w:tc>
        <w:tc>
          <w:tcPr>
            <w:tcW w:w="3120" w:type="dxa"/>
          </w:tcPr>
          <w:p>
            <w:pPr/>
            <w:r>
              <w:t xml:space="preserve">Use OTP, photo or signature for acceptance; keep evidence immutable.</w:t>
            </w:r>
          </w:p>
        </w:tc>
      </w:tr>
      <w:tr>
        <w:tc>
          <w:tcPr>
            <w:tcW w:w="3120" w:type="dxa"/>
          </w:tcPr>
          <w:p>
            <w:pPr/>
            <w:r>
              <w:t xml:space="preserve">Retention</w:t>
            </w:r>
          </w:p>
        </w:tc>
        <w:tc>
          <w:tcPr>
            <w:tcW w:w="3120" w:type="dxa"/>
          </w:tcPr>
          <w:p>
            <w:pPr/>
            <w:r>
              <w:t xml:space="preserve">Retention periods for clinical records, payments (tax law) and warranty evidence must be defined [V].</w:t>
            </w:r>
          </w:p>
        </w:tc>
        <w:tc>
          <w:tcPr>
            <w:tcW w:w="3120" w:type="dxa"/>
          </w:tcPr>
          <w:p>
            <w:pPr/>
            <w:r>
              <w:t xml:space="preserve">Retention schedule per data type; erase or anonymise after expiry.</w:t>
            </w:r>
          </w:p>
        </w:tc>
      </w:tr>
    </w:tbl>
    <w:p>
      <w:pPr>
        <w:pStyle w:val="Heading3"/>
      </w:pPr>
      <w:r>
        <w:t xml:space="preserve">22.3 Technical security controls</w:t>
      </w:r>
    </w:p>
    <w:p>
      <w:pPr>
        <w:pStyle w:val="ListParagraph"/>
        <w:numPr>
          <w:ilvl w:val="0"/>
          <w:numId w:val="18"/>
        </w:numPr>
      </w:pPr>
      <w:r>
        <w:t xml:space="preserve">TLS 1.2 or higher with HSTS; encrypted database volumes; </w:t>
      </w:r>
      <w:r>
        <w:rPr>
          <w:b/>
        </w:rPr>
        <w:t xml:space="preserve">field-level encryption</w:t>
      </w:r>
      <w:r>
        <w:t xml:space="preserve"> for health and scan data using envelope encryption with a key management service or vault; secrets never in code.</w:t>
      </w:r>
    </w:p>
    <w:p>
      <w:pPr>
        <w:pStyle w:val="ListParagraph"/>
        <w:numPr>
          <w:ilvl w:val="0"/>
          <w:numId w:val="18"/>
        </w:numPr>
      </w:pPr>
      <w:r>
        <w:t xml:space="preserve">MFA for staff; short-lived tokens; device binding for clinician tablets; remote wipe; automatic screen lock.</w:t>
      </w:r>
    </w:p>
    <w:p>
      <w:pPr>
        <w:pStyle w:val="ListParagraph"/>
        <w:numPr>
          <w:ilvl w:val="0"/>
          <w:numId w:val="18"/>
        </w:numPr>
      </w:pPr>
      <w:r>
        <w:t xml:space="preserve">Least-privilege service accounts; network segmentation; web application firewall; rate limiting; bot protection on public forms.</w:t>
      </w:r>
    </w:p>
    <w:p>
      <w:pPr>
        <w:pStyle w:val="ListParagraph"/>
        <w:numPr>
          <w:ilvl w:val="0"/>
          <w:numId w:val="18"/>
        </w:numPr>
      </w:pPr>
      <w:r>
        <w:t xml:space="preserve">Signed webhooks with replay protection; strict input validation; content security policy; dependency and container scanning in CI; static and dynamic testing; a penetration test at least yearly and before go-live.</w:t>
      </w:r>
    </w:p>
    <w:p>
      <w:pPr>
        <w:pStyle w:val="ListParagraph"/>
        <w:numPr>
          <w:ilvl w:val="0"/>
          <w:numId w:val="18"/>
        </w:numPr>
      </w:pPr>
      <w:r>
        <w:rPr>
          <w:b/>
        </w:rPr>
        <w:t xml:space="preserve">Audit:</w:t>
      </w:r>
      <w:r>
        <w:t xml:space="preserve"> log every read of sensitive records with purpose; hash-chained tamper-evident audit table; alerts on bulk exports and unusual access hours.</w:t>
      </w:r>
    </w:p>
    <w:p>
      <w:pPr>
        <w:pStyle w:val="ListParagraph"/>
        <w:numPr>
          <w:ilvl w:val="0"/>
          <w:numId w:val="18"/>
        </w:numPr>
      </w:pPr>
      <w:r>
        <w:rPr>
          <w:b/>
        </w:rPr>
        <w:t xml:space="preserve">Retention and erasure:</w:t>
      </w:r>
      <w:r>
        <w:t xml:space="preserve"> retention schedule per data type; cryptographic erasure when deletion is required; legal-hold exceptions documented.</w:t>
      </w:r>
    </w:p>
    <w:p>
      <w:pPr>
        <w:pStyle w:val="ListParagraph"/>
        <w:numPr>
          <w:ilvl w:val="0"/>
          <w:numId w:val="18"/>
        </w:numPr>
      </w:pPr>
      <w:r>
        <w:rPr>
          <w:b/>
        </w:rPr>
        <w:t xml:space="preserve">Backups:</w:t>
      </w:r>
      <w:r>
        <w:t xml:space="preserve"> encrypted, tested, held in a second Kenyan location.</w:t>
      </w:r>
    </w:p>
    <w:p>
      <w:pPr>
        <w:pStyle w:val="ListParagraph"/>
        <w:numPr>
          <w:ilvl w:val="0"/>
          <w:numId w:val="18"/>
        </w:numPr>
      </w:pPr>
      <w:r>
        <w:rPr>
          <w:b/>
        </w:rPr>
        <w:t xml:space="preserve">Third parties:</w:t>
      </w:r>
      <w:r>
        <w:t xml:space="preserve"> processor agreements, security questionnaires and a sub-processor register.</w:t>
      </w:r>
    </w:p>
    <w:p>
      <w:pPr>
        <w:pStyle w:val="Heading3"/>
      </w:pPr>
      <w:r>
        <w:t xml:space="preserve">22.4 Ethics and safeguarding</w:t>
      </w:r>
    </w:p>
    <w:p>
      <w:pPr/>
      <w:r>
        <w:t xml:space="preserve">Informed consent in plain language (Swahili and English, with an audio option); no-penalty withdrawal; photo and scan use limited to the stated purpose; research use is opt-in only; an independent complaints channel; adverse-event reporting; a safeguarding policy for children and vulnerable adults; and a user advisory board of people with disabilities. Payers and funders receive aggregated, thresholded data unless the person has separately consented.</w:t>
      </w:r>
    </w:p>
    <w:p>
      <w:pPr>
        <w:pStyle w:val="Heading3"/>
      </w:pPr>
      <w:r>
        <w:t xml:space="preserve">22.5 DPIA outline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Severity</w:t>
            </w:r>
          </w:p>
        </w:tc>
        <w:tc>
          <w:tcPr>
            <w:tcW w:w="2340" w:type="dxa"/>
            <w:shd w:val="clear" w:color="auto" w:fill="F2F2F2"/>
          </w:tcPr>
          <w:p>
            <w:pPr/>
            <w:r>
              <w:t xml:space="preserve">Mitigation</w:t>
            </w:r>
          </w:p>
        </w:tc>
      </w:tr>
      <w:tr>
        <w:tc>
          <w:tcPr>
            <w:tcW w:w="2340" w:type="dxa"/>
          </w:tcPr>
          <w:p>
            <w:pPr/>
            <w:r>
              <w:t xml:space="preserve">Re-identification of disabled people in shared reports</w:t>
            </w:r>
          </w:p>
        </w:tc>
        <w:tc>
          <w:tcPr>
            <w:tcW w:w="2340" w:type="dxa"/>
          </w:tcPr>
          <w:p>
            <w:pPr/>
            <w:r>
              <w:t xml:space="preserve">Medium</w:t>
            </w:r>
          </w:p>
        </w:tc>
        <w:tc>
          <w:tcPr>
            <w:tcW w:w="2340" w:type="dxa"/>
          </w:tcPr>
          <w:p>
            <w:pPr/>
            <w:r>
              <w:t xml:space="preserve">High</w:t>
            </w:r>
          </w:p>
        </w:tc>
        <w:tc>
          <w:tcPr>
            <w:tcW w:w="2340" w:type="dxa"/>
          </w:tcPr>
          <w:p>
            <w:pPr/>
            <w:r>
              <w:t xml:space="preserve">Minimum cell sizes, pseudonymous identifiers, no free text in exports</w:t>
            </w:r>
          </w:p>
        </w:tc>
      </w:tr>
      <w:tr>
        <w:tc>
          <w:tcPr>
            <w:tcW w:w="2340" w:type="dxa"/>
          </w:tcPr>
          <w:p>
            <w:pPr/>
            <w:r>
              <w:t xml:space="preserve">Unauthorised access by staff or partners</w:t>
            </w:r>
          </w:p>
        </w:tc>
        <w:tc>
          <w:tcPr>
            <w:tcW w:w="2340" w:type="dxa"/>
          </w:tcPr>
          <w:p>
            <w:pPr/>
            <w:r>
              <w:t xml:space="preserve">Medium</w:t>
            </w:r>
          </w:p>
        </w:tc>
        <w:tc>
          <w:tcPr>
            <w:tcW w:w="2340" w:type="dxa"/>
          </w:tcPr>
          <w:p>
            <w:pPr/>
            <w:r>
              <w:t xml:space="preserve">High</w:t>
            </w:r>
          </w:p>
        </w:tc>
        <w:tc>
          <w:tcPr>
            <w:tcW w:w="2340" w:type="dxa"/>
          </w:tcPr>
          <w:p>
            <w:pPr/>
            <w:r>
              <w:t xml:space="preserve">Assignment-based access, purpose logging, alerts, regular access review</w:t>
            </w:r>
          </w:p>
        </w:tc>
      </w:tr>
      <w:tr>
        <w:tc>
          <w:tcPr>
            <w:tcW w:w="2340" w:type="dxa"/>
          </w:tcPr>
          <w:p>
            <w:pPr/>
            <w:r>
              <w:t xml:space="preserve">Loss or theft of a clinician tablet</w:t>
            </w:r>
          </w:p>
        </w:tc>
        <w:tc>
          <w:tcPr>
            <w:tcW w:w="2340" w:type="dxa"/>
          </w:tcPr>
          <w:p>
            <w:pPr/>
            <w:r>
              <w:t xml:space="preserve">High</w:t>
            </w:r>
          </w:p>
        </w:tc>
        <w:tc>
          <w:tcPr>
            <w:tcW w:w="2340" w:type="dxa"/>
          </w:tcPr>
          <w:p>
            <w:pPr/>
            <w:r>
              <w:t xml:space="preserve">Medium</w:t>
            </w:r>
          </w:p>
        </w:tc>
        <w:tc>
          <w:tcPr>
            <w:tcW w:w="2340" w:type="dxa"/>
          </w:tcPr>
          <w:p>
            <w:pPr/>
            <w:r>
              <w:t xml:space="preserve">Device encryption, remote wipe, minimal offline dataset</w:t>
            </w:r>
          </w:p>
        </w:tc>
      </w:tr>
      <w:tr>
        <w:tc>
          <w:tcPr>
            <w:tcW w:w="2340" w:type="dxa"/>
          </w:tcPr>
          <w:p>
            <w:pPr/>
            <w:r>
              <w:t xml:space="preserve">Cross-border exposure through a foreign vendor</w:t>
            </w:r>
          </w:p>
        </w:tc>
        <w:tc>
          <w:tcPr>
            <w:tcW w:w="2340" w:type="dxa"/>
          </w:tcPr>
          <w:p>
            <w:pPr/>
            <w:r>
              <w:t xml:space="preserve">Medium</w:t>
            </w:r>
          </w:p>
        </w:tc>
        <w:tc>
          <w:tcPr>
            <w:tcW w:w="2340" w:type="dxa"/>
          </w:tcPr>
          <w:p>
            <w:pPr/>
            <w:r>
              <w:t xml:space="preserve">High</w:t>
            </w:r>
          </w:p>
        </w:tc>
        <w:tc>
          <w:tcPr>
            <w:tcW w:w="2340" w:type="dxa"/>
          </w:tcPr>
          <w:p>
            <w:pPr/>
            <w:r>
              <w:t xml:space="preserve">Kenyan hosting; vendor review; transfer register</w:t>
            </w:r>
          </w:p>
        </w:tc>
      </w:tr>
      <w:tr>
        <w:tc>
          <w:tcPr>
            <w:tcW w:w="2340" w:type="dxa"/>
          </w:tcPr>
          <w:p>
            <w:pPr/>
            <w:r>
              <w:t xml:space="preserve">Children's data misuse</w:t>
            </w:r>
          </w:p>
        </w:tc>
        <w:tc>
          <w:tcPr>
            <w:tcW w:w="2340" w:type="dxa"/>
          </w:tcPr>
          <w:p>
            <w:pPr/>
            <w:r>
              <w:t xml:space="preserve">Low-Medium</w:t>
            </w:r>
          </w:p>
        </w:tc>
        <w:tc>
          <w:tcPr>
            <w:tcW w:w="2340" w:type="dxa"/>
          </w:tcPr>
          <w:p>
            <w:pPr/>
            <w:r>
              <w:t xml:space="preserve">High</w:t>
            </w:r>
          </w:p>
        </w:tc>
        <w:tc>
          <w:tcPr>
            <w:tcW w:w="2340" w:type="dxa"/>
          </w:tcPr>
          <w:p>
            <w:pPr/>
            <w:r>
              <w:t xml:space="preserve">Guardian consent, no marketing, strict retention</w:t>
            </w:r>
          </w:p>
        </w:tc>
      </w:tr>
      <w:tr>
        <w:tc>
          <w:tcPr>
            <w:tcW w:w="2340" w:type="dxa"/>
          </w:tcPr>
          <w:p>
            <w:pPr/>
            <w:r>
              <w:t xml:space="preserve">Messaging to the wrong person</w:t>
            </w:r>
          </w:p>
        </w:tc>
        <w:tc>
          <w:tcPr>
            <w:tcW w:w="2340" w:type="dxa"/>
          </w:tcPr>
          <w:p>
            <w:pPr/>
            <w:r>
              <w:t xml:space="preserve">Medium</w:t>
            </w:r>
          </w:p>
        </w:tc>
        <w:tc>
          <w:tcPr>
            <w:tcW w:w="2340" w:type="dxa"/>
          </w:tcPr>
          <w:p>
            <w:pPr/>
            <w:r>
              <w:t xml:space="preserve">Medium</w:t>
            </w:r>
          </w:p>
        </w:tc>
        <w:tc>
          <w:tcPr>
            <w:tcW w:w="2340" w:type="dxa"/>
          </w:tcPr>
          <w:p>
            <w:pPr/>
            <w:r>
              <w:t xml:space="preserve">Number verification, minimal content in messages, opt-in</w:t>
            </w:r>
          </w:p>
        </w:tc>
      </w:tr>
      <w:tr>
        <w:tc>
          <w:tcPr>
            <w:tcW w:w="2340" w:type="dxa"/>
          </w:tcPr>
          <w:p>
            <w:pPr/>
            <w:r>
              <w:t xml:space="preserve">AI features misusing data</w:t>
            </w:r>
          </w:p>
        </w:tc>
        <w:tc>
          <w:tcPr>
            <w:tcW w:w="2340" w:type="dxa"/>
          </w:tcPr>
          <w:p>
            <w:pPr/>
            <w:r>
              <w:t xml:space="preserve">Low-Medium</w:t>
            </w:r>
          </w:p>
        </w:tc>
        <w:tc>
          <w:tcPr>
            <w:tcW w:w="2340" w:type="dxa"/>
          </w:tcPr>
          <w:p>
            <w:pPr/>
            <w:r>
              <w:t xml:space="preserve">High</w:t>
            </w:r>
          </w:p>
        </w:tc>
        <w:tc>
          <w:tcPr>
            <w:tcW w:w="2340" w:type="dxa"/>
          </w:tcPr>
          <w:p>
            <w:pPr/>
            <w:r>
              <w:t xml:space="preserve">Opt-in consent, pseudonymisation, human review, kill switch</w:t>
            </w:r>
          </w:p>
        </w:tc>
      </w:tr>
      <w:tr>
        <w:tc>
          <w:tcPr>
            <w:tcW w:w="2340" w:type="dxa"/>
          </w:tcPr>
          <w:p>
            <w:pPr/>
            <w:r>
              <w:t xml:space="preserve">Data subject unable to exercise rights</w:t>
            </w:r>
          </w:p>
        </w:tc>
        <w:tc>
          <w:tcPr>
            <w:tcW w:w="2340" w:type="dxa"/>
          </w:tcPr>
          <w:p>
            <w:pPr/>
            <w:r>
              <w:t xml:space="preserve">Medium</w:t>
            </w:r>
          </w:p>
        </w:tc>
        <w:tc>
          <w:tcPr>
            <w:tcW w:w="2340" w:type="dxa"/>
          </w:tcPr>
          <w:p>
            <w:pPr/>
            <w:r>
              <w:t xml:space="preserve">Medium</w:t>
            </w:r>
          </w:p>
        </w:tc>
        <w:tc>
          <w:tcPr>
            <w:tcW w:w="2340" w:type="dxa"/>
          </w:tcPr>
          <w:p>
            <w:pPr/>
            <w:r>
              <w:t xml:space="preserve">Assisted-mode requests via referrers, voice, USSD</w:t>
            </w:r>
          </w:p>
        </w:tc>
      </w:tr>
    </w:tbl>
    <w:p>
      <w:pPr>
        <w:pStyle w:val="Heading3"/>
      </w:pPr>
      <w:r>
        <w:t xml:space="preserve">22.6 Who is the controller?</w:t>
      </w:r>
    </w:p>
    <w:p>
      <w:pPr/>
      <w:r>
        <w:t xml:space="preserve">Roles vary by activity and must be written down in agreements: for clinical assessment and fitting at a partner clinic the clinic may be the controller and AfriAssistive its processor; for manufacturing, repair, care plans and impact reporting AfriAssistive is typically a controller; for shared programmes with a county or NGO the parties may be joint controllers [A]. Resolve this with counsel before the pilot because it determines who registers, who responds to data subject requests and who carries liability.</w:t>
      </w:r>
    </w:p>
    <w:p>
      <w:pPr>
        <w:pStyle w:val="Heading2"/>
      </w:pPr>
      <w:r>
        <w:t xml:space="preserve">23. Key workflows</w:t>
      </w:r>
    </w:p>
    <w:p>
      <w:pPr>
        <w:pStyle w:val="Heading3"/>
      </w:pPr>
      <w:r>
        <w:t xml:space="preserve">23.1 Referral to device delivery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Step</w:t>
            </w:r>
          </w:p>
        </w:tc>
        <w:tc>
          <w:tcPr>
            <w:tcW w:w="2340" w:type="dxa"/>
            <w:shd w:val="clear" w:color="auto" w:fill="F2F2F2"/>
          </w:tcPr>
          <w:p>
            <w:pPr/>
            <w:r>
              <w:t xml:space="preserve">From to</w:t>
            </w:r>
          </w:p>
        </w:tc>
        <w:tc>
          <w:tcPr>
            <w:tcW w:w="2340" w:type="dxa"/>
            <w:shd w:val="clear" w:color="auto" w:fill="F2F2F2"/>
          </w:tcPr>
          <w:p>
            <w:pPr/>
            <w:r>
              <w:t xml:space="preserve">Action</w:t>
            </w:r>
          </w:p>
        </w:tc>
        <w:tc>
          <w:tcPr>
            <w:tcW w:w="2340" w:type="dxa"/>
            <w:shd w:val="clear" w:color="auto" w:fill="F2F2F2"/>
          </w:tcPr>
          <w:p>
            <w:pPr/>
            <w:r>
              <w:t xml:space="preserve">WHO step</w:t>
            </w:r>
          </w:p>
        </w:tc>
      </w:tr>
      <w:tr>
        <w:tc>
          <w:tcPr>
            <w:tcW w:w="2340" w:type="dxa"/>
          </w:tcPr>
          <w:p>
            <w:pPr/>
            <w:r>
              <w:t xml:space="preserve">1</w:t>
            </w:r>
          </w:p>
        </w:tc>
        <w:tc>
          <w:tcPr>
            <w:tcW w:w="2340" w:type="dxa"/>
          </w:tcPr>
          <w:p>
            <w:pPr/>
            <w:r>
              <w:t xml:space="preserve">Referrer or beneficiary to platform</w:t>
            </w:r>
          </w:p>
        </w:tc>
        <w:tc>
          <w:tcPr>
            <w:tcW w:w="2340" w:type="dxa"/>
          </w:tcPr>
          <w:p>
            <w:pPr/>
            <w:r>
              <w:t xml:space="preserve">Submit referral and consent (WhatsApp, PWA or offline)</w:t>
            </w:r>
          </w:p>
        </w:tc>
        <w:tc>
          <w:tcPr>
            <w:tcW w:w="2340" w:type="dxa"/>
          </w:tcPr>
          <w:p>
            <w:pPr/>
            <w:r>
              <w:t xml:space="preserve">Referral</w:t>
            </w:r>
          </w:p>
        </w:tc>
      </w:tr>
      <w:tr>
        <w:tc>
          <w:tcPr>
            <w:tcW w:w="2340" w:type="dxa"/>
          </w:tcPr>
          <w:p>
            <w:pPr/>
            <w:r>
              <w:t xml:space="preserve">2</w:t>
            </w:r>
          </w:p>
        </w:tc>
        <w:tc>
          <w:tcPr>
            <w:tcW w:w="2340" w:type="dxa"/>
          </w:tcPr>
          <w:p>
            <w:pPr/>
            <w:r>
              <w:t xml:space="preserve">Platform</w:t>
            </w:r>
          </w:p>
        </w:tc>
        <w:tc>
          <w:tcPr>
            <w:tcW w:w="2340" w:type="dxa"/>
          </w:tcPr>
          <w:p>
            <w:pPr/>
            <w:r>
              <w:t xml:space="preserve">De-duplicate, triage score (rules), assign clinician</w:t>
            </w:r>
          </w:p>
        </w:tc>
        <w:tc>
          <w:tcPr>
            <w:tcW w:w="2340" w:type="dxa"/>
          </w:tcPr>
          <w:p>
            <w:pPr/>
            <w:r>
              <w:t xml:space="preserve">Referral</w:t>
            </w:r>
          </w:p>
        </w:tc>
      </w:tr>
      <w:tr>
        <w:tc>
          <w:tcPr>
            <w:tcW w:w="2340" w:type="dxa"/>
          </w:tcPr>
          <w:p>
            <w:pPr/>
            <w:r>
              <w:t xml:space="preserve">3</w:t>
            </w:r>
          </w:p>
        </w:tc>
        <w:tc>
          <w:tcPr>
            <w:tcW w:w="2340" w:type="dxa"/>
          </w:tcPr>
          <w:p>
            <w:pPr/>
            <w:r>
              <w:t xml:space="preserve">Platform to clinician</w:t>
            </w:r>
          </w:p>
        </w:tc>
        <w:tc>
          <w:tcPr>
            <w:tcW w:w="2340" w:type="dxa"/>
          </w:tcPr>
          <w:p>
            <w:pPr/>
            <w:r>
              <w:t xml:space="preserve">Task appears (offline-capable)</w:t>
            </w:r>
          </w:p>
        </w:tc>
        <w:tc>
          <w:tcPr>
            <w:tcW w:w="2340" w:type="dxa"/>
          </w:tcPr>
          <w:p>
            <w:pPr/>
            <w:r>
              <w:t xml:space="preserve">Assessment</w:t>
            </w:r>
          </w:p>
        </w:tc>
      </w:tr>
      <w:tr>
        <w:tc>
          <w:tcPr>
            <w:tcW w:w="2340" w:type="dxa"/>
          </w:tcPr>
          <w:p>
            <w:pPr/>
            <w:r>
              <w:t xml:space="preserve">4</w:t>
            </w:r>
          </w:p>
        </w:tc>
        <w:tc>
          <w:tcPr>
            <w:tcW w:w="2340" w:type="dxa"/>
          </w:tcPr>
          <w:p>
            <w:pPr/>
            <w:r>
              <w:t xml:space="preserve">Clinician to platform</w:t>
            </w:r>
          </w:p>
        </w:tc>
        <w:tc>
          <w:tcPr>
            <w:tcW w:w="2340" w:type="dxa"/>
          </w:tcPr>
          <w:p>
            <w:pPr/>
            <w:r>
              <w:t xml:space="preserve">Assessment and signed prescription</w:t>
            </w:r>
          </w:p>
        </w:tc>
        <w:tc>
          <w:tcPr>
            <w:tcW w:w="2340" w:type="dxa"/>
          </w:tcPr>
          <w:p>
            <w:pPr/>
            <w:r>
              <w:t xml:space="preserve">Assessment, prescription</w:t>
            </w:r>
          </w:p>
        </w:tc>
      </w:tr>
      <w:tr>
        <w:tc>
          <w:tcPr>
            <w:tcW w:w="2340" w:type="dxa"/>
          </w:tcPr>
          <w:p>
            <w:pPr/>
            <w:r>
              <w:t xml:space="preserve">5</w:t>
            </w:r>
          </w:p>
        </w:tc>
        <w:tc>
          <w:tcPr>
            <w:tcW w:w="2340" w:type="dxa"/>
          </w:tcPr>
          <w:p>
            <w:pPr/>
            <w:r>
              <w:t xml:space="preserve">Platform</w:t>
            </w:r>
          </w:p>
        </w:tc>
        <w:tc>
          <w:tcPr>
            <w:tcW w:w="2340" w:type="dxa"/>
          </w:tcPr>
          <w:p>
            <w:pPr/>
            <w:r>
              <w:t xml:space="preserve">Match payer pathway; create work order</w:t>
            </w:r>
          </w:p>
        </w:tc>
        <w:tc>
          <w:tcPr>
            <w:tcW w:w="2340" w:type="dxa"/>
          </w:tcPr>
          <w:p>
            <w:pPr/>
            <w:r>
              <w:t xml:space="preserve">Funding and ordering</w:t>
            </w:r>
          </w:p>
        </w:tc>
      </w:tr>
      <w:tr>
        <w:tc>
          <w:tcPr>
            <w:tcW w:w="2340" w:type="dxa"/>
          </w:tcPr>
          <w:p>
            <w:pPr/>
            <w:r>
              <w:t xml:space="preserve">6</w:t>
            </w:r>
          </w:p>
        </w:tc>
        <w:tc>
          <w:tcPr>
            <w:tcW w:w="2340" w:type="dxa"/>
          </w:tcPr>
          <w:p>
            <w:pPr/>
            <w:r>
              <w:t xml:space="preserve">Workshop to platform</w:t>
            </w:r>
          </w:p>
        </w:tc>
        <w:tc>
          <w:tcPr>
            <w:tcW w:w="2340" w:type="dxa"/>
          </w:tcPr>
          <w:p>
            <w:pPr/>
            <w:r>
              <w:t xml:space="preserve">Build, QA checklist, release device with QR serial</w:t>
            </w:r>
          </w:p>
        </w:tc>
        <w:tc>
          <w:tcPr>
            <w:tcW w:w="2340" w:type="dxa"/>
          </w:tcPr>
          <w:p>
            <w:pPr/>
            <w:r>
              <w:t xml:space="preserve">Product preparation</w:t>
            </w:r>
          </w:p>
        </w:tc>
      </w:tr>
      <w:tr>
        <w:tc>
          <w:tcPr>
            <w:tcW w:w="2340" w:type="dxa"/>
          </w:tcPr>
          <w:p>
            <w:pPr/>
            <w:r>
              <w:t xml:space="preserve">7</w:t>
            </w:r>
          </w:p>
        </w:tc>
        <w:tc>
          <w:tcPr>
            <w:tcW w:w="2340" w:type="dxa"/>
          </w:tcPr>
          <w:p>
            <w:pPr/>
            <w:r>
              <w:t xml:space="preserve">Platform to hub or delivery</w:t>
            </w:r>
          </w:p>
        </w:tc>
        <w:tc>
          <w:tcPr>
            <w:tcW w:w="2340" w:type="dxa"/>
          </w:tcPr>
          <w:p>
            <w:pPr/>
            <w:r>
              <w:t xml:space="preserve">Delivery task</w:t>
            </w:r>
          </w:p>
        </w:tc>
        <w:tc>
          <w:tcPr>
            <w:tcW w:w="2340" w:type="dxa"/>
          </w:tcPr>
          <w:p>
            <w:pPr/>
            <w:r>
              <w:t xml:space="preserve">Fitting</w:t>
            </w:r>
          </w:p>
        </w:tc>
      </w:tr>
      <w:tr>
        <w:tc>
          <w:tcPr>
            <w:tcW w:w="2340" w:type="dxa"/>
          </w:tcPr>
          <w:p>
            <w:pPr/>
            <w:r>
              <w:t xml:space="preserve">8</w:t>
            </w:r>
          </w:p>
        </w:tc>
        <w:tc>
          <w:tcPr>
            <w:tcW w:w="2340" w:type="dxa"/>
          </w:tcPr>
          <w:p>
            <w:pPr/>
            <w:r>
              <w:t xml:space="preserve">Hub or delivery to platform</w:t>
            </w:r>
          </w:p>
        </w:tc>
        <w:tc>
          <w:tcPr>
            <w:tcW w:w="2340" w:type="dxa"/>
          </w:tcPr>
          <w:p>
            <w:pPr/>
            <w:r>
              <w:t xml:space="preserve">Delivery proof (OTP, photo or signature)</w:t>
            </w:r>
          </w:p>
        </w:tc>
        <w:tc>
          <w:tcPr>
            <w:tcW w:w="2340" w:type="dxa"/>
          </w:tcPr>
          <w:p>
            <w:pPr/>
            <w:r>
              <w:t xml:space="preserve">Fitting</w:t>
            </w:r>
          </w:p>
        </w:tc>
      </w:tr>
      <w:tr>
        <w:tc>
          <w:tcPr>
            <w:tcW w:w="2340" w:type="dxa"/>
          </w:tcPr>
          <w:p>
            <w:pPr/>
            <w:r>
              <w:t xml:space="preserve">9</w:t>
            </w:r>
          </w:p>
        </w:tc>
        <w:tc>
          <w:tcPr>
            <w:tcW w:w="2340" w:type="dxa"/>
          </w:tcPr>
          <w:p>
            <w:pPr/>
            <w:r>
              <w:t xml:space="preserve">Platform to beneficiary</w:t>
            </w:r>
          </w:p>
        </w:tc>
        <w:tc>
          <w:tcPr>
            <w:tcW w:w="2340" w:type="dxa"/>
          </w:tcPr>
          <w:p>
            <w:pPr/>
            <w:r>
              <w:t xml:space="preserve">Fitting and follow-up schedule; care-plan offer</w:t>
            </w:r>
          </w:p>
        </w:tc>
        <w:tc>
          <w:tcPr>
            <w:tcW w:w="2340" w:type="dxa"/>
          </w:tcPr>
          <w:p>
            <w:pPr/>
            <w:r>
              <w:t xml:space="preserve">User training</w:t>
            </w:r>
          </w:p>
        </w:tc>
      </w:tr>
      <w:tr>
        <w:tc>
          <w:tcPr>
            <w:tcW w:w="2340" w:type="dxa"/>
          </w:tcPr>
          <w:p>
            <w:pPr/>
            <w:r>
              <w:t xml:space="preserve">10</w:t>
            </w:r>
          </w:p>
        </w:tc>
        <w:tc>
          <w:tcPr>
            <w:tcW w:w="2340" w:type="dxa"/>
          </w:tcPr>
          <w:p>
            <w:pPr/>
            <w:r>
              <w:t xml:space="preserve">Clinician to platform</w:t>
            </w:r>
          </w:p>
        </w:tc>
        <w:tc>
          <w:tcPr>
            <w:tcW w:w="2340" w:type="dxa"/>
          </w:tcPr>
          <w:p>
            <w:pPr/>
            <w:r>
              <w:t xml:space="preserve">Fitting record; follow-ups at 2 weeks, 3 months and 12 months</w:t>
            </w:r>
          </w:p>
        </w:tc>
        <w:tc>
          <w:tcPr>
            <w:tcW w:w="2340" w:type="dxa"/>
          </w:tcPr>
          <w:p>
            <w:pPr/>
            <w:r>
              <w:t xml:space="preserve">Follow-up</w:t>
            </w:r>
          </w:p>
        </w:tc>
      </w:tr>
    </w:tbl>
    <w:p>
      <w:pPr>
        <w:pStyle w:val="Heading3"/>
      </w:pPr>
      <w:r>
        <w:t xml:space="preserve">23.2 Care-plan or instalment payment via M-Pesa (STK Push)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From to</w:t>
            </w:r>
          </w:p>
        </w:tc>
        <w:tc>
          <w:tcPr>
            <w:tcW w:w="3120" w:type="dxa"/>
            <w:shd w:val="clear" w:color="auto" w:fill="F2F2F2"/>
          </w:tcPr>
          <w:p>
            <w:pPr/>
            <w:r>
              <w:t xml:space="preserve">Action</w:t>
            </w:r>
          </w:p>
        </w:tc>
      </w:tr>
      <w:tr>
        <w:tc>
          <w:tcPr>
            <w:tcW w:w="3120" w:type="dxa"/>
          </w:tcPr>
          <w:p>
            <w:pPr/>
            <w:r>
              <w:t xml:space="preserve">1</w:t>
            </w:r>
          </w:p>
        </w:tc>
        <w:tc>
          <w:tcPr>
            <w:tcW w:w="3120" w:type="dxa"/>
          </w:tcPr>
          <w:p>
            <w:pPr/>
            <w:r>
              <w:t xml:space="preserve">Platform</w:t>
            </w:r>
          </w:p>
        </w:tc>
        <w:tc>
          <w:tcPr>
            <w:tcW w:w="3120" w:type="dxa"/>
          </w:tcPr>
          <w:p>
            <w:pPr/>
            <w:r>
              <w:t xml:space="preserve">Create invoice and idempotency key</w:t>
            </w:r>
          </w:p>
        </w:tc>
      </w:tr>
      <w:tr>
        <w:tc>
          <w:tcPr>
            <w:tcW w:w="3120" w:type="dxa"/>
          </w:tcPr>
          <w:p>
            <w:pPr/>
            <w:r>
              <w:t xml:space="preserve">2</w:t>
            </w:r>
          </w:p>
        </w:tc>
        <w:tc>
          <w:tcPr>
            <w:tcW w:w="3120" w:type="dxa"/>
          </w:tcPr>
          <w:p>
            <w:pPr/>
            <w:r>
              <w:t xml:space="preserve">Platform to Daraja</w:t>
            </w:r>
          </w:p>
        </w:tc>
        <w:tc>
          <w:tcPr>
            <w:tcW w:w="3120" w:type="dxa"/>
          </w:tcPr>
          <w:p>
            <w:pPr/>
            <w:r>
              <w:t xml:space="preserve">STK Push request (amount, phone, account reference)</w:t>
            </w:r>
          </w:p>
        </w:tc>
      </w:tr>
      <w:tr>
        <w:tc>
          <w:tcPr>
            <w:tcW w:w="3120" w:type="dxa"/>
          </w:tcPr>
          <w:p>
            <w:pPr/>
            <w:r>
              <w:t xml:space="preserve">3</w:t>
            </w:r>
          </w:p>
        </w:tc>
        <w:tc>
          <w:tcPr>
            <w:tcW w:w="3120" w:type="dxa"/>
          </w:tcPr>
          <w:p>
            <w:pPr/>
            <w:r>
              <w:t xml:space="preserve">Daraja to user phone</w:t>
            </w:r>
          </w:p>
        </w:tc>
        <w:tc>
          <w:tcPr>
            <w:tcW w:w="3120" w:type="dxa"/>
          </w:tcPr>
          <w:p>
            <w:pPr/>
            <w:r>
              <w:t xml:space="preserve">PIN prompt</w:t>
            </w:r>
          </w:p>
        </w:tc>
      </w:tr>
      <w:tr>
        <w:tc>
          <w:tcPr>
            <w:tcW w:w="3120" w:type="dxa"/>
          </w:tcPr>
          <w:p>
            <w:pPr/>
            <w:r>
              <w:t xml:space="preserve">4</w:t>
            </w:r>
          </w:p>
        </w:tc>
        <w:tc>
          <w:tcPr>
            <w:tcW w:w="3120" w:type="dxa"/>
          </w:tcPr>
          <w:p>
            <w:pPr/>
            <w:r>
              <w:t xml:space="preserve">User to Daraja</w:t>
            </w:r>
          </w:p>
        </w:tc>
        <w:tc>
          <w:tcPr>
            <w:tcW w:w="3120" w:type="dxa"/>
          </w:tcPr>
          <w:p>
            <w:pPr/>
            <w:r>
              <w:t xml:space="preserve">Enters PIN</w:t>
            </w:r>
          </w:p>
        </w:tc>
      </w:tr>
      <w:tr>
        <w:tc>
          <w:tcPr>
            <w:tcW w:w="3120" w:type="dxa"/>
          </w:tcPr>
          <w:p>
            <w:pPr/>
            <w:r>
              <w:t xml:space="preserve">5</w:t>
            </w:r>
          </w:p>
        </w:tc>
        <w:tc>
          <w:tcPr>
            <w:tcW w:w="3120" w:type="dxa"/>
          </w:tcPr>
          <w:p>
            <w:pPr/>
            <w:r>
              <w:t xml:space="preserve">Daraja to platform</w:t>
            </w:r>
          </w:p>
        </w:tc>
        <w:tc>
          <w:tcPr>
            <w:tcW w:w="3120" w:type="dxa"/>
          </w:tcPr>
          <w:p>
            <w:pPr/>
            <w:r>
              <w:t xml:space="preserve">Callback with result code, receipt number and CheckoutRequestID</w:t>
            </w:r>
          </w:p>
        </w:tc>
      </w:tr>
      <w:tr>
        <w:tc>
          <w:tcPr>
            <w:tcW w:w="3120" w:type="dxa"/>
          </w:tcPr>
          <w:p>
            <w:pPr/>
            <w:r>
              <w:t xml:space="preserve">6</w:t>
            </w:r>
          </w:p>
        </w:tc>
        <w:tc>
          <w:tcPr>
            <w:tcW w:w="3120" w:type="dxa"/>
          </w:tcPr>
          <w:p>
            <w:pPr/>
            <w:r>
              <w:t xml:space="preserve">Platform</w:t>
            </w:r>
          </w:p>
        </w:tc>
        <w:tc>
          <w:tcPr>
            <w:tcW w:w="3120" w:type="dxa"/>
          </w:tcPr>
          <w:p>
            <w:pPr/>
            <w:r>
              <w:t xml:space="preserve">Verify callback, match CheckoutRequestID, de-duplicate, store raw payload</w:t>
            </w:r>
          </w:p>
        </w:tc>
      </w:tr>
      <w:tr>
        <w:tc>
          <w:tcPr>
            <w:tcW w:w="3120" w:type="dxa"/>
          </w:tcPr>
          <w:p>
            <w:pPr/>
            <w:r>
              <w:t xml:space="preserve">7</w:t>
            </w:r>
          </w:p>
        </w:tc>
        <w:tc>
          <w:tcPr>
            <w:tcW w:w="3120" w:type="dxa"/>
          </w:tcPr>
          <w:p>
            <w:pPr/>
            <w:r>
              <w:t xml:space="preserve">Platform</w:t>
            </w:r>
          </w:p>
        </w:tc>
        <w:tc>
          <w:tcPr>
            <w:tcW w:w="3120" w:type="dxa"/>
          </w:tcPr>
          <w:p>
            <w:pPr/>
            <w:r>
              <w:t xml:space="preserve">Mark payment, activate care plan, queue receipt</w:t>
            </w:r>
          </w:p>
        </w:tc>
      </w:tr>
      <w:tr>
        <w:tc>
          <w:tcPr>
            <w:tcW w:w="3120" w:type="dxa"/>
          </w:tcPr>
          <w:p>
            <w:pPr/>
            <w:r>
              <w:t xml:space="preserve">8</w:t>
            </w:r>
          </w:p>
        </w:tc>
        <w:tc>
          <w:tcPr>
            <w:tcW w:w="3120" w:type="dxa"/>
          </w:tcPr>
          <w:p>
            <w:pPr/>
            <w:r>
              <w:t xml:space="preserve">Platform to user</w:t>
            </w:r>
          </w:p>
        </w:tc>
        <w:tc>
          <w:tcPr>
            <w:tcW w:w="3120" w:type="dxa"/>
          </w:tcPr>
          <w:p>
            <w:pPr/>
            <w:r>
              <w:t xml:space="preserve">WhatsApp or SMS receipt</w:t>
            </w:r>
          </w:p>
        </w:tc>
      </w:tr>
      <w:tr>
        <w:tc>
          <w:tcPr>
            <w:tcW w:w="3120" w:type="dxa"/>
          </w:tcPr>
          <w:p>
            <w:pPr/>
            <w:r>
              <w:t xml:space="preserve">9</w:t>
            </w:r>
          </w:p>
        </w:tc>
        <w:tc>
          <w:tcPr>
            <w:tcW w:w="3120" w:type="dxa"/>
          </w:tcPr>
          <w:p>
            <w:pPr/>
            <w:r>
              <w:t xml:space="preserve">Platform and Daraja</w:t>
            </w:r>
          </w:p>
        </w:tc>
        <w:tc>
          <w:tcPr>
            <w:tcW w:w="3120" w:type="dxa"/>
          </w:tcPr>
          <w:p>
            <w:pPr/>
            <w:r>
              <w:t xml:space="preserve">Query status for payments with no callback after a timeout; nightly reconciliation against statements</w:t>
            </w:r>
          </w:p>
        </w:tc>
      </w:tr>
    </w:tbl>
    <w:p>
      <w:pPr/>
      <w:r>
        <w:rPr>
          <w:b/>
        </w:rPr>
        <w:t xml:space="preserve">Payment states:</w:t>
      </w:r>
      <w:r>
        <w:t xml:space="preserve"> initiated, pending, succeeded, failed, cancelled, timed out, reconciled, disputed. Legal transitions only; a late success callback after timeout moves the payment to succeeded and triggers a notification.</w:t>
      </w:r>
    </w:p>
    <w:p>
      <w:pPr/>
      <w:r>
        <w:rPr>
          <w:b/>
        </w:rPr>
        <w:t xml:space="preserve">Rules.</w:t>
      </w:r>
      <w:r>
        <w:t xml:space="preserve"> Never trust the client for payment status; accept only server callbacks matched by CheckoutRequestID; acknowledge callbacks immediately and process asynchronously; handle duplicate and late callbacks; reconcile daily; store no card or wallet secrets. Callback source and authentication requirements, and current rate limits, must be confirmed in Safaricom's documentation [V]. Instalment plans follow the credit-licensing advice in Section 5.</w:t>
      </w:r>
    </w:p>
    <w:p>
      <w:pPr>
        <w:pStyle w:val="Heading3"/>
      </w:pPr>
      <w:r>
        <w:t xml:space="preserve">23.3 Repair ticket</w:t>
      </w:r>
    </w:p>
    <w:p>
      <w:pPr>
        <w:pStyle w:val="ListParagraph"/>
        <w:numPr>
          <w:ilvl w:val="0"/>
          <w:numId w:val="19"/>
        </w:numPr>
      </w:pPr>
      <w:r>
        <w:t xml:space="preserve">The user scans the QR code or messages WhatsApp; a ticket is created with the device ID and photos.</w:t>
      </w:r>
    </w:p>
    <w:p>
      <w:pPr>
        <w:pStyle w:val="ListParagraph"/>
        <w:numPr>
          <w:ilvl w:val="0"/>
          <w:numId w:val="19"/>
        </w:numPr>
      </w:pPr>
      <w:r>
        <w:t xml:space="preserve">The system assigns the nearest hub (geo query), starts the SLA timer and checks care-plan entitlement.</w:t>
      </w:r>
    </w:p>
    <w:p>
      <w:pPr>
        <w:pStyle w:val="ListParagraph"/>
        <w:numPr>
          <w:ilvl w:val="0"/>
          <w:numId w:val="19"/>
        </w:numPr>
      </w:pPr>
      <w:r>
        <w:t xml:space="preserve">The hub agent diagnoses with a checklist, reserves spares, then repairs or issues a loan device.</w:t>
      </w:r>
    </w:p>
    <w:p>
      <w:pPr>
        <w:pStyle w:val="ListParagraph"/>
        <w:numPr>
          <w:ilvl w:val="0"/>
          <w:numId w:val="19"/>
        </w:numPr>
      </w:pPr>
      <w:r>
        <w:t xml:space="preserve">Closure records cost, parts and turnaround; the user rates the service; the failure code feeds quality analytics and design changes.</w:t>
      </w:r>
    </w:p>
    <w:p>
      <w:pPr>
        <w:pStyle w:val="ListParagraph"/>
        <w:numPr>
          <w:ilvl w:val="0"/>
          <w:numId w:val="19"/>
        </w:numPr>
      </w:pPr>
      <w:r>
        <w:t xml:space="preserve">Safety-relevant failures trigger a complaint record and a review (Section 23.5).</w:t>
      </w:r>
    </w:p>
    <w:p>
      <w:pPr>
        <w:pStyle w:val="Heading3"/>
      </w:pPr>
      <w:r>
        <w:t xml:space="preserve">23.4 Consent withdrawal and data subject requests</w:t>
      </w:r>
    </w:p>
    <w:p>
      <w:pPr>
        <w:pStyle w:val="ListParagraph"/>
        <w:numPr>
          <w:ilvl w:val="0"/>
          <w:numId w:val="20"/>
        </w:numPr>
      </w:pPr>
      <w:r>
        <w:t xml:space="preserve">A person or guardian withdraws a consent purpose, directly or through a referrer.</w:t>
      </w:r>
    </w:p>
    <w:p>
      <w:pPr>
        <w:pStyle w:val="ListParagraph"/>
        <w:numPr>
          <w:ilvl w:val="0"/>
          <w:numId w:val="20"/>
        </w:numPr>
      </w:pPr>
      <w:r>
        <w:t xml:space="preserve">The platform stops the affected processing at once (for example marketing or research use) and records the evidence.</w:t>
      </w:r>
    </w:p>
    <w:p>
      <w:pPr>
        <w:pStyle w:val="ListParagraph"/>
        <w:numPr>
          <w:ilvl w:val="0"/>
          <w:numId w:val="20"/>
        </w:numPr>
      </w:pPr>
      <w:r>
        <w:t xml:space="preserve">For access or export requests the DPO verifies identity and the platform produces a machine-readable and human-readable export within the defined service level [A: for example 30 days].</w:t>
      </w:r>
    </w:p>
    <w:p>
      <w:pPr>
        <w:pStyle w:val="ListParagraph"/>
        <w:numPr>
          <w:ilvl w:val="0"/>
          <w:numId w:val="20"/>
        </w:numPr>
      </w:pPr>
      <w:r>
        <w:t xml:space="preserve">For erasure, the platform applies cryptographic erasure to data that is not subject to a legal retention duty; data that must be retained (for example device traceability, warranty and tax records) is minimised and pseudonymised, and the person is told what was kept and why.</w:t>
      </w:r>
    </w:p>
    <w:p>
      <w:pPr>
        <w:pStyle w:val="ListParagraph"/>
        <w:numPr>
          <w:ilvl w:val="0"/>
          <w:numId w:val="20"/>
        </w:numPr>
      </w:pPr>
      <w:r>
        <w:t xml:space="preserve">Withdrawal never affects the person's access to repairs or care.</w:t>
      </w:r>
    </w:p>
    <w:p>
      <w:pPr>
        <w:pStyle w:val="Heading3"/>
      </w:pPr>
      <w:r>
        <w:t xml:space="preserve">23.5 Complaint, field safety action and recall</w:t>
      </w:r>
    </w:p>
    <w:p>
      <w:pPr>
        <w:pStyle w:val="ListParagraph"/>
        <w:numPr>
          <w:ilvl w:val="0"/>
          <w:numId w:val="21"/>
        </w:numPr>
      </w:pPr>
      <w:r>
        <w:t xml:space="preserve">Any user or staff member files a complaint; the system links it to the device, batch and model.</w:t>
      </w:r>
    </w:p>
    <w:p>
      <w:pPr>
        <w:pStyle w:val="ListParagraph"/>
        <w:numPr>
          <w:ilvl w:val="0"/>
          <w:numId w:val="21"/>
        </w:numPr>
      </w:pPr>
      <w:r>
        <w:t xml:space="preserve">Quality staff triage severity; serious injuries or near misses escalate within a defined time [A] and are notified to the regulator where required [V].</w:t>
      </w:r>
    </w:p>
    <w:p>
      <w:pPr>
        <w:pStyle w:val="ListParagraph"/>
        <w:numPr>
          <w:ilvl w:val="0"/>
          <w:numId w:val="21"/>
        </w:numPr>
      </w:pPr>
      <w:r>
        <w:t xml:space="preserve">Investigation and corrective action are recorded (root cause, design or process change).</w:t>
      </w:r>
    </w:p>
    <w:p>
      <w:pPr>
        <w:pStyle w:val="ListParagraph"/>
        <w:numPr>
          <w:ilvl w:val="0"/>
          <w:numId w:val="21"/>
        </w:numPr>
      </w:pPr>
      <w:r>
        <w:t xml:space="preserve">If a batch is affected, the platform lists all devices and owners in that batch, issues a field safety notice (shown on the public QR page and sent through the user's chosen channel), tracks inspection or replacement, and closes only when every affected device is accounted for.</w:t>
      </w:r>
    </w:p>
    <w:p>
      <w:pPr>
        <w:pStyle w:val="ListParagraph"/>
        <w:numPr>
          <w:ilvl w:val="0"/>
          <w:numId w:val="21"/>
        </w:numPr>
      </w:pPr>
      <w:r>
        <w:t xml:space="preserve">Design changes create a new model version; the old version is retired.</w:t>
      </w:r>
    </w:p>
    <w:p>
      <w:pPr>
        <w:pStyle w:val="Heading3"/>
      </w:pPr>
      <w:r>
        <w:t xml:space="preserve">23.6 Loan devices, growth and trade-up</w:t>
      </w:r>
    </w:p>
    <w:p>
      <w:pPr/>
      <w:r>
        <w:t xml:space="preserve">Loan devices are registered like any device with a loan status. For children, the follow-up schedule triggers a growth check; the trade-up flow records the returned device, refurbishes it and re-registers it with a new passport entry.</w:t>
      </w:r>
    </w:p>
    <w:p>
      <w:pPr>
        <w:pStyle w:val="Heading3"/>
      </w:pPr>
      <w:r>
        <w:t xml:space="preserve">23.7 Payer evidence pack</w:t>
      </w:r>
    </w:p>
    <w:p>
      <w:pPr/>
      <w:r>
        <w:t xml:space="preserve">For payers that require pre-authorisation, the platform assembles the assessment summary, signed prescription, quote, photos (with consent) and clinician details into a pack that can be exported. Submission to SHA systems is optional and deferred until requirements are confirmed.</w:t>
      </w:r>
    </w:p>
    <w:p>
      <w:pPr>
        <w:pStyle w:val="Heading2"/>
      </w:pPr>
      <w:r>
        <w:t xml:space="preserve">24. AI and hybrid services (phase 2-3)</w:t>
      </w:r>
    </w:p>
    <w:p>
      <w:pPr/>
      <w:r>
        <w:t xml:space="preserve">Principle: build the non-AI workflow first, collect data, then add AI where it measurably helps. All outputs are recommendations reviewed by a qualified person.</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ID</w:t>
            </w:r>
          </w:p>
        </w:tc>
        <w:tc>
          <w:tcPr>
            <w:tcW w:w="1337" w:type="dxa"/>
            <w:shd w:val="clear" w:color="auto" w:fill="F2F2F2"/>
          </w:tcPr>
          <w:p>
            <w:pPr/>
            <w:r>
              <w:t xml:space="preserve">Use case</w:t>
            </w:r>
          </w:p>
        </w:tc>
        <w:tc>
          <w:tcPr>
            <w:tcW w:w="1337" w:type="dxa"/>
            <w:shd w:val="clear" w:color="auto" w:fill="F2F2F2"/>
          </w:tcPr>
          <w:p>
            <w:pPr/>
            <w:r>
              <w:t xml:space="preserve">Inputs</w:t>
            </w:r>
          </w:p>
        </w:tc>
        <w:tc>
          <w:tcPr>
            <w:tcW w:w="1337" w:type="dxa"/>
            <w:shd w:val="clear" w:color="auto" w:fill="F2F2F2"/>
          </w:tcPr>
          <w:p>
            <w:pPr/>
            <w:r>
              <w:t xml:space="preserve">Approach</w:t>
            </w:r>
          </w:p>
        </w:tc>
        <w:tc>
          <w:tcPr>
            <w:tcW w:w="1337" w:type="dxa"/>
            <w:shd w:val="clear" w:color="auto" w:fill="F2F2F2"/>
          </w:tcPr>
          <w:p>
            <w:pPr/>
            <w:r>
              <w:t xml:space="preserve">Evaluation</w:t>
            </w:r>
          </w:p>
        </w:tc>
        <w:tc>
          <w:tcPr>
            <w:tcW w:w="1337" w:type="dxa"/>
            <w:shd w:val="clear" w:color="auto" w:fill="F2F2F2"/>
          </w:tcPr>
          <w:p>
            <w:pPr/>
            <w:r>
              <w:t xml:space="preserve">Guardrails</w:t>
            </w:r>
          </w:p>
        </w:tc>
        <w:tc>
          <w:tcPr>
            <w:tcW w:w="1337" w:type="dxa"/>
            <w:shd w:val="clear" w:color="auto" w:fill="F2F2F2"/>
          </w:tcPr>
          <w:p>
            <w:pPr/>
            <w:r>
              <w:t xml:space="preserve">Phase</w:t>
            </w:r>
          </w:p>
        </w:tc>
      </w:tr>
      <w:tr>
        <w:tc>
          <w:tcPr>
            <w:tcW w:w="1337" w:type="dxa"/>
          </w:tcPr>
          <w:p>
            <w:pPr/>
            <w:r>
              <w:t xml:space="preserve">A1</w:t>
            </w:r>
          </w:p>
        </w:tc>
        <w:tc>
          <w:tcPr>
            <w:tcW w:w="1337" w:type="dxa"/>
          </w:tcPr>
          <w:p>
            <w:pPr/>
            <w:r>
              <w:t xml:space="preserve">Scan-to-design assist (socket, insole, orthosis)</w:t>
            </w:r>
          </w:p>
        </w:tc>
        <w:tc>
          <w:tcPr>
            <w:tcW w:w="1337" w:type="dxa"/>
          </w:tcPr>
          <w:p>
            <w:pPr/>
            <w:r>
              <w:t xml:space="preserve">Phone or depth scan, measurements</w:t>
            </w:r>
          </w:p>
        </w:tc>
        <w:tc>
          <w:tcPr>
            <w:tcW w:w="1337" w:type="dxa"/>
          </w:tcPr>
          <w:p>
            <w:pPr/>
            <w:r>
              <w:t xml:space="preserve">Photogrammetry, mesh cleanup, template-based parametric CAD; machine learning only for landmark detection</w:t>
            </w:r>
          </w:p>
        </w:tc>
        <w:tc>
          <w:tcPr>
            <w:tcW w:w="1337" w:type="dxa"/>
          </w:tcPr>
          <w:p>
            <w:pPr/>
            <w:r>
              <w:t xml:space="preserve">Fit error against clinician casting (mm); remake rate</w:t>
            </w:r>
          </w:p>
        </w:tc>
        <w:tc>
          <w:tcPr>
            <w:tcW w:w="1337" w:type="dxa"/>
          </w:tcPr>
          <w:p>
            <w:pPr/>
            <w:r>
              <w:t xml:space="preserve">Clinician approves every design; manual fallback; clinical validation study before scale; structural tests per ISO 10328</w:t>
            </w:r>
          </w:p>
        </w:tc>
        <w:tc>
          <w:tcPr>
            <w:tcW w:w="1337" w:type="dxa"/>
          </w:tcPr>
          <w:p>
            <w:pPr/>
            <w:r>
              <w:t xml:space="preserve">v2-v3</w:t>
            </w:r>
          </w:p>
        </w:tc>
      </w:tr>
      <w:tr>
        <w:tc>
          <w:tcPr>
            <w:tcW w:w="1337" w:type="dxa"/>
          </w:tcPr>
          <w:p>
            <w:pPr/>
            <w:r>
              <w:t xml:space="preserve">A2</w:t>
            </w:r>
          </w:p>
        </w:tc>
        <w:tc>
          <w:tcPr>
            <w:tcW w:w="1337" w:type="dxa"/>
          </w:tcPr>
          <w:p>
            <w:pPr/>
            <w:r>
              <w:t xml:space="preserve">Predictive maintenance</w:t>
            </w:r>
          </w:p>
        </w:tc>
        <w:tc>
          <w:tcPr>
            <w:tcW w:w="1337" w:type="dxa"/>
          </w:tcPr>
          <w:p>
            <w:pPr/>
            <w:r>
              <w:t xml:space="preserve">Repair history, usage hours, terrain and region, optional IoT (tilt, load, wheel rotations)</w:t>
            </w:r>
          </w:p>
        </w:tc>
        <w:tc>
          <w:tcPr>
            <w:tcW w:w="1337" w:type="dxa"/>
          </w:tcPr>
          <w:p>
            <w:pPr/>
            <w:r>
              <w:t xml:space="preserve">Survival analysis or gradient boosting on ticket data first</w:t>
            </w:r>
          </w:p>
        </w:tc>
        <w:tc>
          <w:tcPr>
            <w:tcW w:w="1337" w:type="dxa"/>
          </w:tcPr>
          <w:p>
            <w:pPr/>
            <w:r>
              <w:t xml:space="preserve">Precision and recall for failure within 90 days; spares stock-out rate</w:t>
            </w:r>
          </w:p>
        </w:tc>
        <w:tc>
          <w:tcPr>
            <w:tcW w:w="1337" w:type="dxa"/>
          </w:tcPr>
          <w:p>
            <w:pPr/>
            <w:r>
              <w:t xml:space="preserve">Opt-in telemetry; minimal data; offline-tolerant</w:t>
            </w:r>
          </w:p>
        </w:tc>
        <w:tc>
          <w:tcPr>
            <w:tcW w:w="1337" w:type="dxa"/>
          </w:tcPr>
          <w:p>
            <w:pPr/>
            <w:r>
              <w:t xml:space="preserve">v2</w:t>
            </w:r>
          </w:p>
        </w:tc>
      </w:tr>
      <w:tr>
        <w:tc>
          <w:tcPr>
            <w:tcW w:w="1337" w:type="dxa"/>
          </w:tcPr>
          <w:p>
            <w:pPr/>
            <w:r>
              <w:t xml:space="preserve">A3</w:t>
            </w:r>
          </w:p>
        </w:tc>
        <w:tc>
          <w:tcPr>
            <w:tcW w:w="1337" w:type="dxa"/>
          </w:tcPr>
          <w:p>
            <w:pPr/>
            <w:r>
              <w:t xml:space="preserve">Demand and spares forecasting</w:t>
            </w:r>
          </w:p>
        </w:tc>
        <w:tc>
          <w:tcPr>
            <w:tcW w:w="1337" w:type="dxa"/>
          </w:tcPr>
          <w:p>
            <w:pPr/>
            <w:r>
              <w:t xml:space="preserve">Orders, referrals, seasonality, partner pipelines</w:t>
            </w:r>
          </w:p>
        </w:tc>
        <w:tc>
          <w:tcPr>
            <w:tcW w:w="1337" w:type="dxa"/>
          </w:tcPr>
          <w:p>
            <w:pPr/>
            <w:r>
              <w:t xml:space="preserve">Time-series baselines</w:t>
            </w:r>
          </w:p>
        </w:tc>
        <w:tc>
          <w:tcPr>
            <w:tcW w:w="1337" w:type="dxa"/>
          </w:tcPr>
          <w:p>
            <w:pPr/>
            <w:r>
              <w:t xml:space="preserve">Error by item; stock-outs</w:t>
            </w:r>
          </w:p>
        </w:tc>
        <w:tc>
          <w:tcPr>
            <w:tcW w:w="1337" w:type="dxa"/>
          </w:tcPr>
          <w:p>
            <w:pPr/>
            <w:r>
              <w:t xml:space="preserve">Human review of reorder suggestions</w:t>
            </w:r>
          </w:p>
        </w:tc>
        <w:tc>
          <w:tcPr>
            <w:tcW w:w="1337" w:type="dxa"/>
          </w:tcPr>
          <w:p>
            <w:pPr/>
            <w:r>
              <w:t xml:space="preserve">v2</w:t>
            </w:r>
          </w:p>
        </w:tc>
      </w:tr>
      <w:tr>
        <w:tc>
          <w:tcPr>
            <w:tcW w:w="1337" w:type="dxa"/>
          </w:tcPr>
          <w:p>
            <w:pPr/>
            <w:r>
              <w:t xml:space="preserve">A4</w:t>
            </w:r>
          </w:p>
        </w:tc>
        <w:tc>
          <w:tcPr>
            <w:tcW w:w="1337" w:type="dxa"/>
          </w:tcPr>
          <w:p>
            <w:pPr/>
            <w:r>
              <w:t xml:space="preserve">Swahili and English assistant (WhatsApp)</w:t>
            </w:r>
          </w:p>
        </w:tc>
        <w:tc>
          <w:tcPr>
            <w:tcW w:w="1337" w:type="dxa"/>
          </w:tcPr>
          <w:p>
            <w:pPr/>
            <w:r>
              <w:t xml:space="preserve">User messages, approved knowledge base</w:t>
            </w:r>
          </w:p>
        </w:tc>
        <w:tc>
          <w:tcPr>
            <w:tcW w:w="1337" w:type="dxa"/>
          </w:tcPr>
          <w:p>
            <w:pPr/>
            <w:r>
              <w:t xml:space="preserve">Retrieval over vetted content; intent routing to forms</w:t>
            </w:r>
          </w:p>
        </w:tc>
        <w:tc>
          <w:tcPr>
            <w:tcW w:w="1337" w:type="dxa"/>
          </w:tcPr>
          <w:p>
            <w:pPr/>
            <w:r>
              <w:t xml:space="preserve">Task completion; escalation rate; safety audits</w:t>
            </w:r>
          </w:p>
        </w:tc>
        <w:tc>
          <w:tcPr>
            <w:tcW w:w="1337" w:type="dxa"/>
          </w:tcPr>
          <w:p>
            <w:pPr/>
            <w:r>
              <w:t xml:space="preserve">No medical advice; always offer a human; conversation review; consent for processing; no personal data to foreign model providers without a documented legal basis</w:t>
            </w:r>
          </w:p>
        </w:tc>
        <w:tc>
          <w:tcPr>
            <w:tcW w:w="1337" w:type="dxa"/>
          </w:tcPr>
          <w:p>
            <w:pPr/>
            <w:r>
              <w:t xml:space="preserve">v2</w:t>
            </w:r>
          </w:p>
        </w:tc>
      </w:tr>
      <w:tr>
        <w:tc>
          <w:tcPr>
            <w:tcW w:w="1337" w:type="dxa"/>
          </w:tcPr>
          <w:p>
            <w:pPr/>
            <w:r>
              <w:t xml:space="preserve">A5</w:t>
            </w:r>
          </w:p>
        </w:tc>
        <w:tc>
          <w:tcPr>
            <w:tcW w:w="1337" w:type="dxa"/>
          </w:tcPr>
          <w:p>
            <w:pPr/>
            <w:r>
              <w:t xml:space="preserve">Referral triage support</w:t>
            </w:r>
          </w:p>
        </w:tc>
        <w:tc>
          <w:tcPr>
            <w:tcW w:w="1337" w:type="dxa"/>
          </w:tcPr>
          <w:p>
            <w:pPr/>
            <w:r>
              <w:t xml:space="preserve">Referral form fields</w:t>
            </w:r>
          </w:p>
        </w:tc>
        <w:tc>
          <w:tcPr>
            <w:tcW w:w="1337" w:type="dxa"/>
          </w:tcPr>
          <w:p>
            <w:pPr/>
            <w:r>
              <w:t xml:space="preserve">Rules first; light ranking later</w:t>
            </w:r>
          </w:p>
        </w:tc>
        <w:tc>
          <w:tcPr>
            <w:tcW w:w="1337" w:type="dxa"/>
          </w:tcPr>
          <w:p>
            <w:pPr/>
            <w:r>
              <w:t xml:space="preserve">Agreement with clinician priority</w:t>
            </w:r>
          </w:p>
        </w:tc>
        <w:tc>
          <w:tcPr>
            <w:tcW w:w="1337" w:type="dxa"/>
          </w:tcPr>
          <w:p>
            <w:pPr/>
            <w:r>
              <w:t xml:space="preserve">Never auto-reject; fairness checks by sex, age and county</w:t>
            </w:r>
          </w:p>
        </w:tc>
        <w:tc>
          <w:tcPr>
            <w:tcW w:w="1337" w:type="dxa"/>
          </w:tcPr>
          <w:p>
            <w:pPr/>
            <w:r>
              <w:t xml:space="preserve">v2</w:t>
            </w:r>
          </w:p>
        </w:tc>
      </w:tr>
      <w:tr>
        <w:tc>
          <w:tcPr>
            <w:tcW w:w="1337" w:type="dxa"/>
          </w:tcPr>
          <w:p>
            <w:pPr/>
            <w:r>
              <w:t xml:space="preserve">A6</w:t>
            </w:r>
          </w:p>
        </w:tc>
        <w:tc>
          <w:tcPr>
            <w:tcW w:w="1337" w:type="dxa"/>
          </w:tcPr>
          <w:p>
            <w:pPr/>
            <w:r>
              <w:t xml:space="preserve">Accessibility helpers (speech, text-to-speech)</w:t>
            </w:r>
          </w:p>
        </w:tc>
        <w:tc>
          <w:tcPr>
            <w:tcW w:w="1337" w:type="dxa"/>
          </w:tcPr>
          <w:p>
            <w:pPr/>
            <w:r>
              <w:t xml:space="preserve">Text or voice</w:t>
            </w:r>
          </w:p>
        </w:tc>
        <w:tc>
          <w:tcPr>
            <w:tcW w:w="1337" w:type="dxa"/>
          </w:tcPr>
          <w:p>
            <w:pPr/>
            <w:r>
              <w:t xml:space="preserve">On-device or API models where good Swahili models exist [V]</w:t>
            </w:r>
          </w:p>
        </w:tc>
        <w:tc>
          <w:tcPr>
            <w:tcW w:w="1337" w:type="dxa"/>
          </w:tcPr>
          <w:p>
            <w:pPr/>
            <w:r>
              <w:t xml:space="preserve">Testing with blind, low-vision and deaf users</w:t>
            </w:r>
          </w:p>
        </w:tc>
        <w:tc>
          <w:tcPr>
            <w:tcW w:w="1337" w:type="dxa"/>
          </w:tcPr>
          <w:p>
            <w:pPr/>
            <w:r>
              <w:t xml:space="preserve">Offline fallback; co-design with users</w:t>
            </w:r>
          </w:p>
        </w:tc>
        <w:tc>
          <w:tcPr>
            <w:tcW w:w="1337" w:type="dxa"/>
          </w:tcPr>
          <w:p>
            <w:pPr/>
            <w:r>
              <w:t xml:space="preserve">v3</w:t>
            </w:r>
          </w:p>
        </w:tc>
      </w:tr>
    </w:tbl>
    <w:p>
      <w:pPr/>
      <w:r>
        <w:rPr>
          <w:b/>
        </w:rPr>
        <w:t xml:space="preserve">ML governance.</w:t>
      </w:r>
      <w:r>
        <w:t xml:space="preserve"> Model cards and dataset documentation; bias review; versioned models; shadow mode before live use; a kill switch behind feature flags; quarterly review. African-language and disability datasets are scarce, so involve the Kenya AI for Disability programme and AT4D's inclusive AI work for datasets and evaluation ✅.</w:t>
      </w:r>
    </w:p>
    <w:p>
      <w:pPr/>
      <w:r>
        <w:rPr>
          <w:b/>
        </w:rPr>
        <w:t xml:space="preserve">Regulatory classification worksheet.</w:t>
      </w:r>
      <w:r>
        <w:t xml:space="preserve"> Before any AI feature is released, answer: does it influence a clinical decision; what is its intended use statement; could it fall under PPB's software guidance (software as a medical device or software in a device) ✅; what evidence supports performance; who is accountable. Features that only support logistics (forecasting, scheduling) are lower risk than features that shape prescriptions or designs.</w:t>
      </w:r>
    </w:p>
    <w:p>
      <w:pPr/>
      <w:r>
        <w:rPr>
          <w:b/>
        </w:rPr>
        <w:t xml:space="preserve">Data and vendor rules for AI.</w:t>
      </w:r>
      <w:r>
        <w:t xml:space="preserve"> Train and run models on pseudonymised data inside Kenya where possible; if a foreign model API is used, treat prompts as cross-border transfers: strip identifiers, obtain a legal basis and document the transfer (Section 22.2); never allow providers to use data for their own purposes ✅P.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AfriAssistive Venture and Platform Master Documentation</dc:title>
  <dc:description>Claude Docs node/c21bec47-05ed@5 docx-w6</dc:description>
  <cp:revision>5</cp:revision>
</cp:coreProperties>
</file>