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55d034c2490573afe6b923dbf0dca33d8a5de00"/>
    <w:p>
      <w:pPr>
        <w:pStyle w:val="Heading1"/>
      </w:pPr>
      <w:r>
        <w:t xml:space="preserve">TouchGift — Feature Audit, Market Read &amp; Innovation Roadmap</w:t>
      </w:r>
    </w:p>
    <w:p>
      <w:pPr>
        <w:pStyle w:val="FirstParagraph"/>
      </w:pPr>
      <w:r>
        <w:t xml:space="preserve">22 October 2026 · Prepared for Kagz</w:t>
      </w:r>
    </w:p>
    <w:bookmarkStart w:id="21" w:name="executive-summary"/>
    <w:p>
      <w:pPr>
        <w:pStyle w:val="Heading2"/>
      </w:pPr>
      <w:r>
        <w:t xml:space="preserve">Executive summary</w:t>
      </w:r>
    </w:p>
    <w:p>
      <w:pPr>
        <w:pStyle w:val="FirstParagraph"/>
      </w:pPr>
      <w:r>
        <w:t xml:space="preserve">TouchGift already ships a wide gifting feature set. The next gains come from trust, finance-ready corporate tooling, and one shared gifting core that serves both the consumer site and the corporate platform.</w:t>
      </w:r>
    </w:p>
    <w:p>
      <w:pPr>
        <w:pStyle w:val="BodyText"/>
      </w:pPr>
      <w:r>
        <w:t xml:space="preserve">I audited the homepage, /corporate and six feature pages as a signed-out visitor sees them. The pool and subscription pages returned only an empty shell, so the pool analysis leans on the Gift Lab page and the WhatsApp bot templates. Market figures are vendor-reported or come from search results, so treat them as directional.</w:t>
      </w:r>
    </w:p>
    <w:p>
      <w:pPr>
        <w:pStyle w:val="BodyText"/>
      </w:pPr>
      <w:r>
        <w:rPr>
          <w:bCs/>
          <w:b/>
        </w:rPr>
        <w:t xml:space="preserve">The ten moves that matter most</w:t>
      </w:r>
    </w:p>
    <w:p>
      <w:pPr>
        <w:numPr>
          <w:ilvl w:val="0"/>
          <w:numId w:val="1001"/>
        </w:numPr>
        <w:pStyle w:val="Compact"/>
      </w:pPr>
      <w:r>
        <w:t xml:space="preserve">Fix the trust and search leaks first: a likely placeholder WhatsApp number in the header, counters that read as zeros, and corporate pages whose canonical tag points at the homepage.</w:t>
      </w:r>
    </w:p>
    <w:p>
      <w:pPr>
        <w:numPr>
          <w:ilvl w:val="0"/>
          <w:numId w:val="1001"/>
        </w:numPr>
        <w:pStyle w:val="Compact"/>
      </w:pPr>
      <w:r>
        <w:t xml:space="preserve">Make pool gifting money-safe: a visible ledger, automatic refunds, and clear rules for shortfall and surplus.</w:t>
      </w:r>
    </w:p>
    <w:p>
      <w:pPr>
        <w:numPr>
          <w:ilvl w:val="0"/>
          <w:numId w:val="1001"/>
        </w:numPr>
        <w:pStyle w:val="Compact"/>
      </w:pPr>
      <w:r>
        <w:t xml:space="preserve">Give corporates a finance pack: eTIMS invoices, PO numbers, approvals and credit terms.</w:t>
      </w:r>
    </w:p>
    <w:p>
      <w:pPr>
        <w:numPr>
          <w:ilvl w:val="0"/>
          <w:numId w:val="1001"/>
        </w:numPr>
        <w:pStyle w:val="Compact"/>
      </w:pPr>
      <w:r>
        <w:t xml:space="preserve">Replace</w:t>
      </w:r>
      <w:r>
        <w:t xml:space="preserve"> </w:t>
      </w:r>
      <w:r>
        <w:t xml:space="preserve">“</w:t>
      </w:r>
      <w:r>
        <w:t xml:space="preserve">talk to us first</w:t>
      </w:r>
      <w:r>
        <w:t xml:space="preserve">”</w:t>
      </w:r>
      <w:r>
        <w:t xml:space="preserve"> </w:t>
      </w:r>
      <w:r>
        <w:t xml:space="preserve">with quote-to-cash: instant pricing, live logo mockups, deposit by M-Pesa.</w:t>
      </w:r>
    </w:p>
    <w:p>
      <w:pPr>
        <w:numPr>
          <w:ilvl w:val="0"/>
          <w:numId w:val="1001"/>
        </w:numPr>
        <w:pStyle w:val="Compact"/>
      </w:pPr>
      <w:r>
        <w:t xml:space="preserve">Let recipients confirm delivery over WhatsApp, so HR never handles home addresses.</w:t>
      </w:r>
    </w:p>
    <w:p>
      <w:pPr>
        <w:numPr>
          <w:ilvl w:val="0"/>
          <w:numId w:val="1001"/>
        </w:numPr>
        <w:pStyle w:val="Compact"/>
      </w:pPr>
      <w:r>
        <w:t xml:space="preserve">Upgrade milestones to sync with HR data and forecast spend.</w:t>
      </w:r>
    </w:p>
    <w:p>
      <w:pPr>
        <w:numPr>
          <w:ilvl w:val="0"/>
          <w:numId w:val="1001"/>
        </w:numPr>
        <w:pStyle w:val="Compact"/>
      </w:pPr>
      <w:r>
        <w:t xml:space="preserve">Add a recipient-led gift link: the sender pays, the recipient picks.</w:t>
      </w:r>
    </w:p>
    <w:p>
      <w:pPr>
        <w:numPr>
          <w:ilvl w:val="0"/>
          <w:numId w:val="1001"/>
        </w:numPr>
        <w:pStyle w:val="Compact"/>
      </w:pPr>
      <w:r>
        <w:t xml:space="preserve">Open a diaspora mode: card-first checkout, delivery in Kenya. Remittances to Kenya hit a record US$5.04 billion in 2025 (</w:t>
      </w:r>
      <w:hyperlink r:id="rId20">
        <w:r>
          <w:rPr>
            <w:rStyle w:val="Hyperlink"/>
          </w:rPr>
          <w:t xml:space="preserve">CBK data via ITWeb</w:t>
        </w:r>
      </w:hyperlink>
      <w:r>
        <w:t xml:space="preserve">).</w:t>
      </w:r>
    </w:p>
    <w:p>
      <w:pPr>
        <w:numPr>
          <w:ilvl w:val="0"/>
          <w:numId w:val="1001"/>
        </w:numPr>
        <w:pStyle w:val="Compact"/>
      </w:pPr>
      <w:r>
        <w:t xml:space="preserve">Add a digital unboxing layer: a QR code on the card opens a video, voice note or photo page.</w:t>
      </w:r>
    </w:p>
    <w:p>
      <w:pPr>
        <w:numPr>
          <w:ilvl w:val="0"/>
          <w:numId w:val="1001"/>
        </w:numPr>
        <w:pStyle w:val="Compact"/>
      </w:pPr>
      <w:r>
        <w:t xml:space="preserve">Build corporate recognition points and white-label allowances for recurring revenue.</w:t>
      </w:r>
    </w:p>
    <w:p>
      <w:pPr>
        <w:pStyle w:val="FirstParagraph"/>
      </w:pPr>
      <w:r>
        <w:t xml:space="preserve">Moves 2, 5, 7 and 9 live on both the consumer and corporate sides. The shared-features section shows how to build each once and expose it twice.</w:t>
      </w:r>
    </w:p>
    <w:bookmarkEnd w:id="21"/>
    <w:bookmarkStart w:id="24" w:name="what-touchgift-has-today"/>
    <w:p>
      <w:pPr>
        <w:pStyle w:val="Heading2"/>
      </w:pPr>
      <w:r>
        <w:t xml:space="preserve">What TouchGift has today</w:t>
      </w:r>
    </w:p>
    <w:p>
      <w:pPr>
        <w:pStyle w:val="FirstParagraph"/>
      </w:pPr>
      <w:r>
        <w:t xml:space="preserve">The consumer site sells a curated catalogue with unusually social gifting tools; the corporate side packages six B2B workflows under one entry page. Both are strong on concept and thinner on proof, pricing detail and finance features.</w:t>
      </w:r>
    </w:p>
    <w:bookmarkStart w:id="22" w:name="main-platform"/>
    <w:p>
      <w:pPr>
        <w:pStyle w:val="Heading3"/>
      </w:pPr>
      <w:r>
        <w:t xml:space="preserve">Main platform</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002"/>
        <w:gridCol w:w="5321"/>
        <w:gridCol w:w="3568"/>
      </w:tblGrid>
      <w:tr>
        <w:trPr>
          <w:tblHeader w:val="true"/>
          <w:cantSplit/>
          <w:tblHeader/>
        </w:trPr>
        <w:tc>
          <w:tcPr>
            <w:tcW w:w="1002" w:type="dxa"/>
            <w:shd w:val="clear" w:color="auto" w:fill="1F3A5F"/>
          </w:tcPr>
          <w:p>
            <w:pPr>
              <w:pStyle w:val="Compact"/>
              <w:spacing w:after="40" w:before="40"/>
              <w:jc w:val="left"/>
            </w:pPr>
            <w:r>
              <w:rPr>
                <w:b/>
                <w:color w:val="FFFFFF"/>
                <w:sz w:val="18"/>
              </w:rPr>
              <w:t xml:space="preserve">Area</w:t>
            </w:r>
          </w:p>
        </w:tc>
        <w:tc>
          <w:tcPr>
            <w:tcW w:w="5321" w:type="dxa"/>
            <w:shd w:val="clear" w:color="auto" w:fill="1F3A5F"/>
          </w:tcPr>
          <w:p>
            <w:pPr>
              <w:pStyle w:val="Compact"/>
              <w:spacing w:after="40" w:before="40"/>
              <w:jc w:val="left"/>
            </w:pPr>
            <w:r>
              <w:rPr>
                <w:b/>
                <w:color w:val="FFFFFF"/>
                <w:sz w:val="18"/>
              </w:rPr>
              <w:t xml:space="preserve">What exists</w:t>
            </w:r>
          </w:p>
        </w:tc>
        <w:tc>
          <w:tcPr>
            <w:tcW w:w="3568" w:type="dxa"/>
            <w:shd w:val="clear" w:color="auto" w:fill="1F3A5F"/>
          </w:tcPr>
          <w:p>
            <w:pPr>
              <w:pStyle w:val="Compact"/>
              <w:spacing w:after="40" w:before="40"/>
              <w:jc w:val="left"/>
            </w:pPr>
            <w:r>
              <w:rPr>
                <w:b/>
                <w:color w:val="FFFFFF"/>
                <w:sz w:val="18"/>
              </w:rPr>
              <w:t xml:space="preserve">HCI read</w:t>
            </w:r>
          </w:p>
        </w:tc>
      </w:tr>
      <w:tr>
        <w:trPr>
          <w:cantSplit/>
        </w:trPr>
        <w:tc>
          <w:tcPr>
            <w:tcW w:w="1002" w:type="dxa"/>
          </w:tcPr>
          <w:p>
            <w:pPr>
              <w:pStyle w:val="Compact"/>
              <w:spacing w:after="40" w:before="40"/>
              <w:jc w:val="left"/>
            </w:pPr>
            <w:r>
              <w:rPr>
                <w:sz w:val="18"/>
              </w:rPr>
              <w:t xml:space="preserve">Delivery promise</w:t>
            </w:r>
          </w:p>
        </w:tc>
        <w:tc>
          <w:tcPr>
            <w:tcW w:w="5321" w:type="dxa"/>
          </w:tcPr>
          <w:p>
            <w:pPr>
              <w:pStyle w:val="Compact"/>
              <w:spacing w:after="40" w:before="40"/>
              <w:jc w:val="left"/>
            </w:pPr>
            <w:r>
              <w:rPr>
                <w:sz w:val="18"/>
              </w:rPr>
              <w:t xml:space="preserve">Same-day in Nairobi if ordered by 6 PM, next-day nationwide, scheduled delivery, rider calls before arrival,</w:t>
            </w:r>
            <w:r>
              <w:rPr>
                <w:sz w:val="18"/>
              </w:rPr>
              <w:t xml:space="preserve"> </w:t>
            </w:r>
            <w:r>
              <w:rPr>
                <w:sz w:val="18"/>
              </w:rPr>
              <w:t xml:space="preserve">“</w:t>
            </w:r>
            <w:r>
              <w:rPr>
                <w:sz w:val="18"/>
              </w:rPr>
              <w:t xml:space="preserve">on-time or it’s free</w:t>
            </w:r>
            <w:r>
              <w:rPr>
                <w:sz w:val="18"/>
              </w:rPr>
              <w:t xml:space="preserve">”</w:t>
            </w:r>
          </w:p>
        </w:tc>
        <w:tc>
          <w:tcPr>
            <w:tcW w:w="3568" w:type="dxa"/>
          </w:tcPr>
          <w:p>
            <w:pPr>
              <w:pStyle w:val="Compact"/>
              <w:spacing w:after="40" w:before="40"/>
              <w:jc w:val="left"/>
            </w:pPr>
            <w:r>
              <w:rPr>
                <w:sz w:val="18"/>
              </w:rPr>
              <w:t xml:space="preserve">Clear promise, but the delivery fee is not shown on the homepage</w:t>
            </w:r>
          </w:p>
        </w:tc>
      </w:tr>
      <w:tr>
        <w:trPr>
          <w:cantSplit/>
        </w:trPr>
        <w:tc>
          <w:tcPr>
            <w:tcW w:w="1002" w:type="dxa"/>
            <w:shd w:val="clear" w:color="auto" w:fill="F4F6F9"/>
          </w:tcPr>
          <w:p>
            <w:pPr>
              <w:pStyle w:val="Compact"/>
              <w:spacing w:after="40" w:before="40"/>
              <w:jc w:val="left"/>
            </w:pPr>
            <w:r>
              <w:rPr>
                <w:sz w:val="18"/>
              </w:rPr>
              <w:t xml:space="preserve">Discovery</w:t>
            </w:r>
          </w:p>
        </w:tc>
        <w:tc>
          <w:tcPr>
            <w:tcW w:w="5321" w:type="dxa"/>
            <w:shd w:val="clear" w:color="auto" w:fill="F4F6F9"/>
          </w:tcPr>
          <w:p>
            <w:pPr>
              <w:pStyle w:val="Compact"/>
              <w:spacing w:after="40" w:before="40"/>
              <w:jc w:val="left"/>
            </w:pPr>
            <w:r>
              <w:rPr>
                <w:sz w:val="18"/>
              </w:rPr>
              <w:t xml:space="preserve">Mood picker (six moods plus custom), budget chips such as Under KSh 2,000, rails for Trending, Last Minute and Perfumes, 16 category tiles</w:t>
            </w:r>
          </w:p>
        </w:tc>
        <w:tc>
          <w:tcPr>
            <w:tcW w:w="3568" w:type="dxa"/>
            <w:shd w:val="clear" w:color="auto" w:fill="F4F6F9"/>
          </w:tcPr>
          <w:p>
            <w:pPr>
              <w:pStyle w:val="Compact"/>
              <w:spacing w:after="40" w:before="40"/>
              <w:jc w:val="left"/>
            </w:pPr>
            <w:r>
              <w:rPr>
                <w:sz w:val="18"/>
              </w:rPr>
              <w:t xml:space="preserve">Mood framing is an emotional hook; rails limit choice overload; 9 of 16 tiles are drinks</w:t>
            </w:r>
          </w:p>
        </w:tc>
      </w:tr>
      <w:tr>
        <w:trPr>
          <w:cantSplit/>
        </w:trPr>
        <w:tc>
          <w:tcPr>
            <w:tcW w:w="1002" w:type="dxa"/>
          </w:tcPr>
          <w:p>
            <w:pPr>
              <w:pStyle w:val="Compact"/>
              <w:spacing w:after="40" w:before="40"/>
              <w:jc w:val="left"/>
            </w:pPr>
            <w:r>
              <w:rPr>
                <w:sz w:val="18"/>
              </w:rPr>
              <w:t xml:space="preserve">AI Gift Finder</w:t>
            </w:r>
          </w:p>
        </w:tc>
        <w:tc>
          <w:tcPr>
            <w:tcW w:w="5321" w:type="dxa"/>
          </w:tcPr>
          <w:p>
            <w:pPr>
              <w:pStyle w:val="Compact"/>
              <w:spacing w:after="40" w:before="40"/>
              <w:jc w:val="left"/>
            </w:pPr>
            <w:r>
              <w:rPr>
                <w:sz w:val="18"/>
              </w:rPr>
              <w:t xml:space="preserve">30-second quiz on recipient and budget</w:t>
            </w:r>
          </w:p>
        </w:tc>
        <w:tc>
          <w:tcPr>
            <w:tcW w:w="3568" w:type="dxa"/>
          </w:tcPr>
          <w:p>
            <w:pPr>
              <w:pStyle w:val="Compact"/>
              <w:spacing w:after="40" w:before="40"/>
              <w:jc w:val="left"/>
            </w:pPr>
            <w:r>
              <w:rPr>
                <w:sz w:val="18"/>
              </w:rPr>
              <w:t xml:space="preserve">Good use of progressive disclosure; depth unknown</w:t>
            </w:r>
          </w:p>
        </w:tc>
      </w:tr>
      <w:tr>
        <w:trPr>
          <w:cantSplit/>
        </w:trPr>
        <w:tc>
          <w:tcPr>
            <w:tcW w:w="1002" w:type="dxa"/>
            <w:shd w:val="clear" w:color="auto" w:fill="F4F6F9"/>
          </w:tcPr>
          <w:p>
            <w:pPr>
              <w:pStyle w:val="Compact"/>
              <w:spacing w:after="40" w:before="40"/>
              <w:jc w:val="left"/>
            </w:pPr>
            <w:r>
              <w:rPr>
                <w:sz w:val="18"/>
              </w:rPr>
              <w:t xml:space="preserve">Gift Lab</w:t>
            </w:r>
          </w:p>
        </w:tc>
        <w:tc>
          <w:tcPr>
            <w:tcW w:w="5321" w:type="dxa"/>
            <w:shd w:val="clear" w:color="auto" w:fill="F4F6F9"/>
          </w:tcPr>
          <w:p>
            <w:pPr>
              <w:pStyle w:val="Compact"/>
              <w:spacing w:after="40" w:before="40"/>
              <w:jc w:val="left"/>
            </w:pPr>
            <w:r>
              <w:rPr>
                <w:sz w:val="18"/>
              </w:rPr>
              <w:t xml:space="preserve">Build a Hamper (choose a box, hand-pick from 100+ products), Pool a Gift</w:t>
            </w:r>
          </w:p>
        </w:tc>
        <w:tc>
          <w:tcPr>
            <w:tcW w:w="3568" w:type="dxa"/>
            <w:shd w:val="clear" w:color="auto" w:fill="F4F6F9"/>
          </w:tcPr>
          <w:p>
            <w:pPr>
              <w:pStyle w:val="Compact"/>
              <w:spacing w:after="40" w:before="40"/>
              <w:jc w:val="left"/>
            </w:pPr>
            <w:r>
              <w:rPr>
                <w:sz w:val="18"/>
              </w:rPr>
              <w:t xml:space="preserve">Hamper builder creates ownership of the result (IKEA effect)</w:t>
            </w:r>
          </w:p>
        </w:tc>
      </w:tr>
      <w:tr>
        <w:trPr>
          <w:cantSplit/>
        </w:trPr>
        <w:tc>
          <w:tcPr>
            <w:tcW w:w="1002" w:type="dxa"/>
          </w:tcPr>
          <w:p>
            <w:pPr>
              <w:pStyle w:val="Compact"/>
              <w:spacing w:after="40" w:before="40"/>
              <w:jc w:val="left"/>
            </w:pPr>
            <w:r>
              <w:rPr>
                <w:sz w:val="18"/>
              </w:rPr>
              <w:t xml:space="preserve">Pool a Gift</w:t>
            </w:r>
          </w:p>
        </w:tc>
        <w:tc>
          <w:tcPr>
            <w:tcW w:w="5321" w:type="dxa"/>
          </w:tcPr>
          <w:p>
            <w:pPr>
              <w:pStyle w:val="Compact"/>
              <w:spacing w:after="40" w:before="40"/>
              <w:jc w:val="left"/>
            </w:pPr>
            <w:r>
              <w:rPr>
                <w:sz w:val="18"/>
              </w:rPr>
              <w:t xml:space="preserve">Share a link, everyone pays their part by M-Pesa, order places automatically</w:t>
            </w:r>
          </w:p>
        </w:tc>
        <w:tc>
          <w:tcPr>
            <w:tcW w:w="3568" w:type="dxa"/>
          </w:tcPr>
          <w:p>
            <w:pPr>
              <w:pStyle w:val="Compact"/>
              <w:spacing w:after="40" w:before="40"/>
              <w:jc w:val="left"/>
            </w:pPr>
            <w:r>
              <w:rPr>
                <w:sz w:val="18"/>
              </w:rPr>
              <w:t xml:space="preserve">Fits chama culture; the steps behind the link were not visible to me</w:t>
            </w:r>
          </w:p>
        </w:tc>
      </w:tr>
      <w:tr>
        <w:trPr>
          <w:cantSplit/>
        </w:trPr>
        <w:tc>
          <w:tcPr>
            <w:tcW w:w="1002" w:type="dxa"/>
            <w:shd w:val="clear" w:color="auto" w:fill="F4F6F9"/>
          </w:tcPr>
          <w:p>
            <w:pPr>
              <w:pStyle w:val="Compact"/>
              <w:spacing w:after="40" w:before="40"/>
              <w:jc w:val="left"/>
            </w:pPr>
            <w:r>
              <w:rPr>
                <w:sz w:val="18"/>
              </w:rPr>
              <w:t xml:space="preserve">Delivery extras</w:t>
            </w:r>
          </w:p>
        </w:tc>
        <w:tc>
          <w:tcPr>
            <w:tcW w:w="5321" w:type="dxa"/>
            <w:shd w:val="clear" w:color="auto" w:fill="F4F6F9"/>
          </w:tcPr>
          <w:p>
            <w:pPr>
              <w:pStyle w:val="Compact"/>
              <w:spacing w:after="40" w:before="40"/>
              <w:jc w:val="left"/>
            </w:pPr>
            <w:r>
              <w:rPr>
                <w:sz w:val="18"/>
              </w:rPr>
              <w:t xml:space="preserve">Anonymous sending, photo proof before dispatch, discreet address coordination, free wrapping</w:t>
            </w:r>
          </w:p>
        </w:tc>
        <w:tc>
          <w:tcPr>
            <w:tcW w:w="3568" w:type="dxa"/>
            <w:shd w:val="clear" w:color="auto" w:fill="F4F6F9"/>
          </w:tcPr>
          <w:p>
            <w:pPr>
              <w:pStyle w:val="Compact"/>
              <w:spacing w:after="40" w:before="40"/>
              <w:jc w:val="left"/>
            </w:pPr>
            <w:r>
              <w:rPr>
                <w:sz w:val="18"/>
              </w:rPr>
              <w:t xml:space="preserve">Strong trust and surprise features</w:t>
            </w:r>
          </w:p>
        </w:tc>
      </w:tr>
      <w:tr>
        <w:trPr>
          <w:cantSplit/>
        </w:trPr>
        <w:tc>
          <w:tcPr>
            <w:tcW w:w="1002" w:type="dxa"/>
          </w:tcPr>
          <w:p>
            <w:pPr>
              <w:pStyle w:val="Compact"/>
              <w:spacing w:after="40" w:before="40"/>
              <w:jc w:val="left"/>
            </w:pPr>
            <w:r>
              <w:rPr>
                <w:sz w:val="18"/>
              </w:rPr>
              <w:t xml:space="preserve">Retention</w:t>
            </w:r>
          </w:p>
        </w:tc>
        <w:tc>
          <w:tcPr>
            <w:tcW w:w="5321" w:type="dxa"/>
          </w:tcPr>
          <w:p>
            <w:pPr>
              <w:pStyle w:val="Compact"/>
              <w:spacing w:after="40" w:before="40"/>
              <w:jc w:val="left"/>
            </w:pPr>
            <w:r>
              <w:rPr>
                <w:sz w:val="18"/>
              </w:rPr>
              <w:t xml:space="preserve">Auto-send subscriptions for birthdays and anniversaries, reminders, wishlists, digital gift cards, referral code worth 1,000 points to both sides</w:t>
            </w:r>
          </w:p>
        </w:tc>
        <w:tc>
          <w:tcPr>
            <w:tcW w:w="3568" w:type="dxa"/>
          </w:tcPr>
          <w:p>
            <w:pPr>
              <w:pStyle w:val="Compact"/>
              <w:spacing w:after="40" w:before="40"/>
              <w:jc w:val="left"/>
            </w:pPr>
            <w:r>
              <w:rPr>
                <w:sz w:val="18"/>
              </w:rPr>
              <w:t xml:space="preserve">Good prompts for repeat use; reward ladder is thin</w:t>
            </w:r>
          </w:p>
        </w:tc>
      </w:tr>
      <w:tr>
        <w:trPr>
          <w:cantSplit/>
        </w:trPr>
        <w:tc>
          <w:tcPr>
            <w:tcW w:w="1002" w:type="dxa"/>
            <w:shd w:val="clear" w:color="auto" w:fill="F4F6F9"/>
          </w:tcPr>
          <w:p>
            <w:pPr>
              <w:pStyle w:val="Compact"/>
              <w:spacing w:after="40" w:before="40"/>
              <w:jc w:val="left"/>
            </w:pPr>
            <w:r>
              <w:rPr>
                <w:sz w:val="18"/>
              </w:rPr>
              <w:t xml:space="preserve">Payments and trust</w:t>
            </w:r>
          </w:p>
        </w:tc>
        <w:tc>
          <w:tcPr>
            <w:tcW w:w="5321" w:type="dxa"/>
            <w:shd w:val="clear" w:color="auto" w:fill="F4F6F9"/>
          </w:tcPr>
          <w:p>
            <w:pPr>
              <w:pStyle w:val="Compact"/>
              <w:spacing w:after="40" w:before="40"/>
              <w:jc w:val="left"/>
            </w:pPr>
            <w:r>
              <w:rPr>
                <w:sz w:val="18"/>
              </w:rPr>
              <w:t xml:space="preserve">PesaPal, M-PESA, Visa, Mastercard, policy pages, registered business, concierge at Park Towers, WhatsApp, opening hours</w:t>
            </w:r>
          </w:p>
        </w:tc>
        <w:tc>
          <w:tcPr>
            <w:tcW w:w="3568" w:type="dxa"/>
            <w:shd w:val="clear" w:color="auto" w:fill="F4F6F9"/>
          </w:tcPr>
          <w:p>
            <w:pPr>
              <w:pStyle w:val="Compact"/>
              <w:spacing w:after="40" w:before="40"/>
              <w:jc w:val="left"/>
            </w:pPr>
            <w:r>
              <w:rPr>
                <w:sz w:val="18"/>
              </w:rPr>
              <w:t xml:space="preserve">Payment mix fits Kenya; proof numbers need fixing (see gaps)</w:t>
            </w:r>
          </w:p>
        </w:tc>
      </w:tr>
      <w:tr>
        <w:trPr>
          <w:cantSplit/>
        </w:trPr>
        <w:tc>
          <w:tcPr>
            <w:tcW w:w="1002" w:type="dxa"/>
          </w:tcPr>
          <w:p>
            <w:pPr>
              <w:pStyle w:val="Compact"/>
              <w:spacing w:after="40" w:before="40"/>
              <w:jc w:val="left"/>
            </w:pPr>
            <w:r>
              <w:rPr>
                <w:sz w:val="18"/>
              </w:rPr>
              <w:t xml:space="preserve">Interface</w:t>
            </w:r>
          </w:p>
        </w:tc>
        <w:tc>
          <w:tcPr>
            <w:tcW w:w="5321" w:type="dxa"/>
          </w:tcPr>
          <w:p>
            <w:pPr>
              <w:pStyle w:val="Compact"/>
              <w:spacing w:after="40" w:before="40"/>
              <w:jc w:val="left"/>
            </w:pPr>
            <w:r>
              <w:rPr>
                <w:sz w:val="18"/>
              </w:rPr>
              <w:t xml:space="preserve">Light and dark theme, bottom navigation on mobile (Home, Gift Lab, Orders, Reminders, Account), auto-scrolling carousels</w:t>
            </w:r>
          </w:p>
        </w:tc>
        <w:tc>
          <w:tcPr>
            <w:tcW w:w="3568" w:type="dxa"/>
          </w:tcPr>
          <w:p>
            <w:pPr>
              <w:pStyle w:val="Compact"/>
              <w:spacing w:after="40" w:before="40"/>
              <w:jc w:val="left"/>
            </w:pPr>
            <w:r>
              <w:rPr>
                <w:sz w:val="18"/>
              </w:rPr>
              <w:t xml:space="preserve">Consistent and mobile-first; carousels lack a pause control</w:t>
            </w:r>
          </w:p>
        </w:tc>
      </w:tr>
    </w:tbl>
    <w:bookmarkEnd w:id="22"/>
    <w:bookmarkStart w:id="23" w:name="corporate-platform-corporate"/>
    <w:p>
      <w:pPr>
        <w:pStyle w:val="Heading3"/>
      </w:pPr>
      <w:r>
        <w:t xml:space="preserve">Corporate platform (/corporate)</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133"/>
        <w:gridCol w:w="5754"/>
        <w:gridCol w:w="3004"/>
      </w:tblGrid>
      <w:tr>
        <w:trPr>
          <w:tblHeader w:val="true"/>
          <w:cantSplit/>
          <w:tblHeader/>
        </w:trPr>
        <w:tc>
          <w:tcPr>
            <w:tcW w:w="1133" w:type="dxa"/>
            <w:shd w:val="clear" w:color="auto" w:fill="1F3A5F"/>
          </w:tcPr>
          <w:p>
            <w:pPr>
              <w:pStyle w:val="Compact"/>
              <w:spacing w:after="40" w:before="40"/>
              <w:jc w:val="left"/>
            </w:pPr>
            <w:r>
              <w:rPr>
                <w:b/>
                <w:color w:val="FFFFFF"/>
                <w:sz w:val="18"/>
              </w:rPr>
              <w:t xml:space="preserve">Area</w:t>
            </w:r>
          </w:p>
        </w:tc>
        <w:tc>
          <w:tcPr>
            <w:tcW w:w="5754" w:type="dxa"/>
            <w:shd w:val="clear" w:color="auto" w:fill="1F3A5F"/>
          </w:tcPr>
          <w:p>
            <w:pPr>
              <w:pStyle w:val="Compact"/>
              <w:spacing w:after="40" w:before="40"/>
              <w:jc w:val="left"/>
            </w:pPr>
            <w:r>
              <w:rPr>
                <w:b/>
                <w:color w:val="FFFFFF"/>
                <w:sz w:val="18"/>
              </w:rPr>
              <w:t xml:space="preserve">What exists</w:t>
            </w:r>
          </w:p>
        </w:tc>
        <w:tc>
          <w:tcPr>
            <w:tcW w:w="3004" w:type="dxa"/>
            <w:shd w:val="clear" w:color="auto" w:fill="1F3A5F"/>
          </w:tcPr>
          <w:p>
            <w:pPr>
              <w:pStyle w:val="Compact"/>
              <w:spacing w:after="40" w:before="40"/>
              <w:jc w:val="left"/>
            </w:pPr>
            <w:r>
              <w:rPr>
                <w:b/>
                <w:color w:val="FFFFFF"/>
                <w:sz w:val="18"/>
              </w:rPr>
              <w:t xml:space="preserve">HCI read</w:t>
            </w:r>
          </w:p>
        </w:tc>
      </w:tr>
      <w:tr>
        <w:trPr>
          <w:cantSplit/>
        </w:trPr>
        <w:tc>
          <w:tcPr>
            <w:tcW w:w="1133" w:type="dxa"/>
          </w:tcPr>
          <w:p>
            <w:pPr>
              <w:pStyle w:val="Compact"/>
              <w:spacing w:after="40" w:before="40"/>
              <w:jc w:val="left"/>
            </w:pPr>
            <w:r>
              <w:rPr>
                <w:sz w:val="18"/>
              </w:rPr>
              <w:t xml:space="preserve">Entry</w:t>
            </w:r>
          </w:p>
        </w:tc>
        <w:tc>
          <w:tcPr>
            <w:tcW w:w="5754" w:type="dxa"/>
          </w:tcPr>
          <w:p>
            <w:pPr>
              <w:pStyle w:val="Compact"/>
              <w:spacing w:after="40" w:before="40"/>
              <w:jc w:val="left"/>
            </w:pPr>
            <w:r>
              <w:rPr>
                <w:sz w:val="18"/>
              </w:rPr>
              <w:t xml:space="preserve">Homepage asks</w:t>
            </w:r>
            <w:r>
              <w:rPr>
                <w:sz w:val="18"/>
              </w:rPr>
              <w:t xml:space="preserve"> </w:t>
            </w:r>
            <w:r>
              <w:rPr>
                <w:sz w:val="18"/>
              </w:rPr>
              <w:t xml:space="preserve">“</w:t>
            </w:r>
            <w:r>
              <w:rPr>
                <w:sz w:val="18"/>
              </w:rPr>
              <w:t xml:space="preserve">Which sounds like you?</w:t>
            </w:r>
            <w:r>
              <w:rPr>
                <w:sz w:val="18"/>
              </w:rPr>
              <w:t xml:space="preserve">”</w:t>
            </w:r>
            <w:r>
              <w:rPr>
                <w:sz w:val="18"/>
              </w:rPr>
              <w:t xml:space="preserve">: gifting a team or clients, one gift to many from 10 units with one M-Pesa payment, or a logo on a single piece</w:t>
            </w:r>
          </w:p>
        </w:tc>
        <w:tc>
          <w:tcPr>
            <w:tcW w:w="3004" w:type="dxa"/>
          </w:tcPr>
          <w:p>
            <w:pPr>
              <w:pStyle w:val="Compact"/>
              <w:spacing w:after="40" w:before="40"/>
              <w:jc w:val="left"/>
            </w:pPr>
            <w:r>
              <w:rPr>
                <w:sz w:val="18"/>
              </w:rPr>
              <w:t xml:space="preserve">Good self-segmentation by job to be done</w:t>
            </w:r>
          </w:p>
        </w:tc>
      </w:tr>
      <w:tr>
        <w:trPr>
          <w:cantSplit/>
        </w:trPr>
        <w:tc>
          <w:tcPr>
            <w:tcW w:w="1133" w:type="dxa"/>
            <w:shd w:val="clear" w:color="auto" w:fill="F4F6F9"/>
          </w:tcPr>
          <w:p>
            <w:pPr>
              <w:pStyle w:val="Compact"/>
              <w:spacing w:after="40" w:before="40"/>
              <w:jc w:val="left"/>
            </w:pPr>
            <w:r>
              <w:rPr>
                <w:sz w:val="18"/>
              </w:rPr>
              <w:t xml:space="preserve">Bulk CSV upload</w:t>
            </w:r>
          </w:p>
        </w:tc>
        <w:tc>
          <w:tcPr>
            <w:tcW w:w="5754" w:type="dxa"/>
            <w:shd w:val="clear" w:color="auto" w:fill="F4F6F9"/>
          </w:tcPr>
          <w:p>
            <w:pPr>
              <w:pStyle w:val="Compact"/>
              <w:spacing w:after="40" w:before="40"/>
              <w:jc w:val="left"/>
            </w:pPr>
            <w:r>
              <w:rPr>
                <w:sz w:val="18"/>
              </w:rPr>
              <w:t xml:space="preserve">Columns Name, Phone, Address (optional), Note (optional); upload or paste; template; steps for upload, company info, review</w:t>
            </w:r>
          </w:p>
        </w:tc>
        <w:tc>
          <w:tcPr>
            <w:tcW w:w="3004" w:type="dxa"/>
            <w:shd w:val="clear" w:color="auto" w:fill="F4F6F9"/>
          </w:tcPr>
          <w:p>
            <w:pPr>
              <w:pStyle w:val="Compact"/>
              <w:spacing w:after="40" w:before="40"/>
              <w:jc w:val="left"/>
            </w:pPr>
            <w:r>
              <w:rPr>
                <w:sz w:val="18"/>
              </w:rPr>
              <w:t xml:space="preserve">Simple; no visible validation, per-row gift choice or cost preview</w:t>
            </w:r>
          </w:p>
        </w:tc>
      </w:tr>
      <w:tr>
        <w:trPr>
          <w:cantSplit/>
        </w:trPr>
        <w:tc>
          <w:tcPr>
            <w:tcW w:w="1133" w:type="dxa"/>
          </w:tcPr>
          <w:p>
            <w:pPr>
              <w:pStyle w:val="Compact"/>
              <w:spacing w:after="40" w:before="40"/>
              <w:jc w:val="left"/>
            </w:pPr>
            <w:r>
              <w:rPr>
                <w:sz w:val="18"/>
              </w:rPr>
              <w:t xml:space="preserve">WhatsApp delivery bot</w:t>
            </w:r>
          </w:p>
        </w:tc>
        <w:tc>
          <w:tcPr>
            <w:tcW w:w="5754" w:type="dxa"/>
          </w:tcPr>
          <w:p>
            <w:pPr>
              <w:pStyle w:val="Compact"/>
              <w:spacing w:after="40" w:before="40"/>
              <w:jc w:val="left"/>
            </w:pPr>
            <w:r>
              <w:rPr>
                <w:sz w:val="18"/>
              </w:rPr>
              <w:t xml:space="preserve">Recipients confirm their own addresses. Demo shows seven flows: pool invite, pool reminder, target reached, birthday alert, work anniversary, gift delivered with photo, product recommendation</w:t>
            </w:r>
          </w:p>
        </w:tc>
        <w:tc>
          <w:tcPr>
            <w:tcW w:w="3004" w:type="dxa"/>
          </w:tcPr>
          <w:p>
            <w:pPr>
              <w:pStyle w:val="Compact"/>
              <w:spacing w:after="40" w:before="40"/>
              <w:jc w:val="left"/>
            </w:pPr>
            <w:r>
              <w:rPr>
                <w:sz w:val="18"/>
              </w:rPr>
              <w:t xml:space="preserve">Mostly notifications today; the address loop is the biggest opportunity</w:t>
            </w:r>
          </w:p>
        </w:tc>
      </w:tr>
      <w:tr>
        <w:trPr>
          <w:cantSplit/>
        </w:trPr>
        <w:tc>
          <w:tcPr>
            <w:tcW w:w="1133" w:type="dxa"/>
            <w:shd w:val="clear" w:color="auto" w:fill="F4F6F9"/>
          </w:tcPr>
          <w:p>
            <w:pPr>
              <w:pStyle w:val="Compact"/>
              <w:spacing w:after="40" w:before="40"/>
              <w:jc w:val="left"/>
            </w:pPr>
            <w:r>
              <w:rPr>
                <w:sz w:val="18"/>
              </w:rPr>
              <w:t xml:space="preserve">Automated milestones</w:t>
            </w:r>
          </w:p>
        </w:tc>
        <w:tc>
          <w:tcPr>
            <w:tcW w:w="5754" w:type="dxa"/>
            <w:shd w:val="clear" w:color="auto" w:fill="F4F6F9"/>
          </w:tcPr>
          <w:p>
            <w:pPr>
              <w:pStyle w:val="Compact"/>
              <w:spacing w:after="40" w:before="40"/>
              <w:jc w:val="left"/>
            </w:pPr>
            <w:r>
              <w:rPr>
                <w:sz w:val="18"/>
              </w:rPr>
              <w:t xml:space="preserve">Rules for birthdays, anniversaries and promotions; counters for active rules, gifts sent, monthly budget, next event</w:t>
            </w:r>
          </w:p>
        </w:tc>
        <w:tc>
          <w:tcPr>
            <w:tcW w:w="3004" w:type="dxa"/>
            <w:shd w:val="clear" w:color="auto" w:fill="F4F6F9"/>
          </w:tcPr>
          <w:p>
            <w:pPr>
              <w:pStyle w:val="Compact"/>
              <w:spacing w:after="40" w:before="40"/>
              <w:jc w:val="left"/>
            </w:pPr>
            <w:r>
              <w:rPr>
                <w:sz w:val="18"/>
              </w:rPr>
              <w:t xml:space="preserve">Dashboard shell with empty state; no data source shown</w:t>
            </w:r>
          </w:p>
        </w:tc>
      </w:tr>
      <w:tr>
        <w:trPr>
          <w:cantSplit/>
        </w:trPr>
        <w:tc>
          <w:tcPr>
            <w:tcW w:w="1133" w:type="dxa"/>
          </w:tcPr>
          <w:p>
            <w:pPr>
              <w:pStyle w:val="Compact"/>
              <w:spacing w:after="40" w:before="40"/>
              <w:jc w:val="left"/>
            </w:pPr>
            <w:r>
              <w:rPr>
                <w:sz w:val="18"/>
              </w:rPr>
              <w:t xml:space="preserve">White-label portal</w:t>
            </w:r>
          </w:p>
        </w:tc>
        <w:tc>
          <w:tcPr>
            <w:tcW w:w="5754" w:type="dxa"/>
          </w:tcPr>
          <w:p>
            <w:pPr>
              <w:pStyle w:val="Compact"/>
              <w:spacing w:after="40" w:before="40"/>
              <w:jc w:val="left"/>
            </w:pPr>
            <w:r>
              <w:rPr>
                <w:sz w:val="18"/>
              </w:rPr>
              <w:t xml:space="preserve">Own logo, colours and domain; storefront preview at gifts.myagency.com; tabs for Brand Settings and Plans &amp; Pricing</w:t>
            </w:r>
          </w:p>
        </w:tc>
        <w:tc>
          <w:tcPr>
            <w:tcW w:w="3004" w:type="dxa"/>
          </w:tcPr>
          <w:p>
            <w:pPr>
              <w:pStyle w:val="Compact"/>
              <w:spacing w:after="40" w:before="40"/>
              <w:jc w:val="left"/>
            </w:pPr>
            <w:r>
              <w:rPr>
                <w:sz w:val="18"/>
              </w:rPr>
              <w:t xml:space="preserve">Strong B2B2C idea; sample prices differ from the real catalogue</w:t>
            </w:r>
          </w:p>
        </w:tc>
      </w:tr>
      <w:tr>
        <w:trPr>
          <w:cantSplit/>
        </w:trPr>
        <w:tc>
          <w:tcPr>
            <w:tcW w:w="1133" w:type="dxa"/>
            <w:shd w:val="clear" w:color="auto" w:fill="F4F6F9"/>
          </w:tcPr>
          <w:p>
            <w:pPr>
              <w:pStyle w:val="Compact"/>
              <w:spacing w:after="40" w:before="40"/>
              <w:jc w:val="left"/>
            </w:pPr>
            <w:r>
              <w:rPr>
                <w:sz w:val="18"/>
              </w:rPr>
              <w:t xml:space="preserve">Team pool gifting</w:t>
            </w:r>
          </w:p>
        </w:tc>
        <w:tc>
          <w:tcPr>
            <w:tcW w:w="5754" w:type="dxa"/>
            <w:shd w:val="clear" w:color="auto" w:fill="F4F6F9"/>
          </w:tcPr>
          <w:p>
            <w:pPr>
              <w:pStyle w:val="Compact"/>
              <w:spacing w:after="40" w:before="40"/>
              <w:jc w:val="left"/>
            </w:pPr>
            <w:r>
              <w:rPr>
                <w:sz w:val="18"/>
              </w:rPr>
              <w:t xml:space="preserve">Group collections for farewells, maternity and boss’s day</w:t>
            </w:r>
          </w:p>
        </w:tc>
        <w:tc>
          <w:tcPr>
            <w:tcW w:w="3004" w:type="dxa"/>
            <w:shd w:val="clear" w:color="auto" w:fill="F4F6F9"/>
          </w:tcPr>
          <w:p>
            <w:pPr>
              <w:pStyle w:val="Compact"/>
              <w:spacing w:after="40" w:before="40"/>
              <w:jc w:val="left"/>
            </w:pPr>
            <w:r>
              <w:rPr>
                <w:sz w:val="18"/>
              </w:rPr>
              <w:t xml:space="preserve">Reuses the consumer pool; no company-specific rules seen</w:t>
            </w:r>
          </w:p>
        </w:tc>
      </w:tr>
      <w:tr>
        <w:trPr>
          <w:cantSplit/>
        </w:trPr>
        <w:tc>
          <w:tcPr>
            <w:tcW w:w="1133" w:type="dxa"/>
          </w:tcPr>
          <w:p>
            <w:pPr>
              <w:pStyle w:val="Compact"/>
              <w:spacing w:after="40" w:before="40"/>
              <w:jc w:val="left"/>
            </w:pPr>
            <w:r>
              <w:rPr>
                <w:sz w:val="18"/>
              </w:rPr>
              <w:t xml:space="preserve">Bespoke swag</w:t>
            </w:r>
          </w:p>
        </w:tc>
        <w:tc>
          <w:tcPr>
            <w:tcW w:w="5754" w:type="dxa"/>
          </w:tcPr>
          <w:p>
            <w:pPr>
              <w:pStyle w:val="Compact"/>
              <w:spacing w:after="40" w:before="40"/>
              <w:jc w:val="left"/>
            </w:pPr>
            <w:r>
              <w:rPr>
                <w:sz w:val="18"/>
              </w:rPr>
              <w:t xml:space="preserve">Engraving, printing, embroidery, branded ribbons and packaging</w:t>
            </w:r>
          </w:p>
        </w:tc>
        <w:tc>
          <w:tcPr>
            <w:tcW w:w="3004" w:type="dxa"/>
          </w:tcPr>
          <w:p>
            <w:pPr>
              <w:pStyle w:val="Compact"/>
              <w:spacing w:after="40" w:before="40"/>
              <w:jc w:val="left"/>
            </w:pPr>
            <w:r>
              <w:rPr>
                <w:sz w:val="18"/>
              </w:rPr>
              <w:t xml:space="preserve">Capability is stated, but no self-serve branding flow is visible</w:t>
            </w:r>
          </w:p>
        </w:tc>
      </w:tr>
      <w:tr>
        <w:trPr>
          <w:cantSplit/>
        </w:trPr>
        <w:tc>
          <w:tcPr>
            <w:tcW w:w="1133" w:type="dxa"/>
            <w:shd w:val="clear" w:color="auto" w:fill="F4F6F9"/>
          </w:tcPr>
          <w:p>
            <w:pPr>
              <w:pStyle w:val="Compact"/>
              <w:spacing w:after="40" w:before="40"/>
              <w:jc w:val="left"/>
            </w:pPr>
            <w:r>
              <w:rPr>
                <w:sz w:val="18"/>
              </w:rPr>
              <w:t xml:space="preserve">Catalogue</w:t>
            </w:r>
          </w:p>
        </w:tc>
        <w:tc>
          <w:tcPr>
            <w:tcW w:w="5754" w:type="dxa"/>
            <w:shd w:val="clear" w:color="auto" w:fill="F4F6F9"/>
          </w:tcPr>
          <w:p>
            <w:pPr>
              <w:pStyle w:val="Compact"/>
              <w:spacing w:after="40" w:before="40"/>
              <w:jc w:val="left"/>
            </w:pPr>
            <w:r>
              <w:rPr>
                <w:sz w:val="18"/>
              </w:rPr>
              <w:t xml:space="preserve">Eight corporate categories (Executive Hampers, Client Welcome Kits, Team Treats, Work Anniversary, Holiday, Branded Swag, Thank You, Wellness); products tagged Corporate gifting, Bulk order or Solo branding</w:t>
            </w:r>
          </w:p>
        </w:tc>
        <w:tc>
          <w:tcPr>
            <w:tcW w:w="3004" w:type="dxa"/>
            <w:shd w:val="clear" w:color="auto" w:fill="F4F6F9"/>
          </w:tcPr>
          <w:p>
            <w:pPr>
              <w:pStyle w:val="Compact"/>
              <w:spacing w:after="40" w:before="40"/>
              <w:jc w:val="left"/>
            </w:pPr>
            <w:r>
              <w:rPr>
                <w:sz w:val="18"/>
              </w:rPr>
              <w:t xml:space="preserve">The three tags are a clean ordering taxonomy worth surfacing as filters</w:t>
            </w:r>
          </w:p>
        </w:tc>
      </w:tr>
    </w:tbl>
    <w:p>
      <w:pPr>
        <w:pStyle w:val="BodyText"/>
      </w:pPr>
      <w:r>
        <w:t xml:space="preserve">Not visible to me as a signed-out visitor: pool and subscription steps, checkout, bulk-upload review screens, white-label pricing, and any corporate price tiers.</w:t>
      </w:r>
    </w:p>
    <w:bookmarkEnd w:id="23"/>
    <w:bookmarkEnd w:id="24"/>
    <w:bookmarkStart w:id="26" w:name="observed-gaps-and-quick-fixes"/>
    <w:p>
      <w:pPr>
        <w:pStyle w:val="Heading2"/>
      </w:pPr>
      <w:r>
        <w:t xml:space="preserve">Observed gaps and quick fixes</w:t>
      </w:r>
    </w:p>
    <w:p>
      <w:pPr>
        <w:pStyle w:val="FirstParagraph"/>
      </w:pPr>
      <w:r>
        <w:t xml:space="preserve">Ten small issues cost credibility, search traffic or corporate leads, and all ten can be fixed before the festive peak. These come from the page text and metadata I fetched, so verify each on a live phone before acting.</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674"/>
        <w:gridCol w:w="3731"/>
        <w:gridCol w:w="2564"/>
        <w:gridCol w:w="2247"/>
        <w:gridCol w:w="674"/>
      </w:tblGrid>
      <w:tr>
        <w:trPr>
          <w:tblHeader w:val="true"/>
          <w:cantSplit/>
          <w:tblHeader/>
        </w:trPr>
        <w:tc>
          <w:tcPr>
            <w:tcW w:w="674" w:type="dxa"/>
            <w:shd w:val="clear" w:color="auto" w:fill="1F3A5F"/>
          </w:tcPr>
          <w:p>
            <w:pPr>
              <w:pStyle w:val="Compact"/>
              <w:spacing w:after="40" w:before="40"/>
              <w:jc w:val="left"/>
            </w:pPr>
            <w:r>
              <w:rPr>
                <w:b/>
                <w:color w:val="FFFFFF"/>
                <w:sz w:val="17"/>
              </w:rPr>
              <w:t xml:space="preserve">#</w:t>
            </w:r>
          </w:p>
        </w:tc>
        <w:tc>
          <w:tcPr>
            <w:tcW w:w="3731" w:type="dxa"/>
            <w:shd w:val="clear" w:color="auto" w:fill="1F3A5F"/>
          </w:tcPr>
          <w:p>
            <w:pPr>
              <w:pStyle w:val="Compact"/>
              <w:spacing w:after="40" w:before="40"/>
              <w:jc w:val="left"/>
            </w:pPr>
            <w:r>
              <w:rPr>
                <w:b/>
                <w:color w:val="FFFFFF"/>
                <w:sz w:val="17"/>
              </w:rPr>
              <w:t xml:space="preserve">Finding</w:t>
            </w:r>
          </w:p>
        </w:tc>
        <w:tc>
          <w:tcPr>
            <w:tcW w:w="2564" w:type="dxa"/>
            <w:shd w:val="clear" w:color="auto" w:fill="1F3A5F"/>
          </w:tcPr>
          <w:p>
            <w:pPr>
              <w:pStyle w:val="Compact"/>
              <w:spacing w:after="40" w:before="40"/>
              <w:jc w:val="left"/>
            </w:pPr>
            <w:r>
              <w:rPr>
                <w:b/>
                <w:color w:val="FFFFFF"/>
                <w:sz w:val="17"/>
              </w:rPr>
              <w:t xml:space="preserve">Why it matters</w:t>
            </w:r>
          </w:p>
        </w:tc>
        <w:tc>
          <w:tcPr>
            <w:tcW w:w="2247" w:type="dxa"/>
            <w:shd w:val="clear" w:color="auto" w:fill="1F3A5F"/>
          </w:tcPr>
          <w:p>
            <w:pPr>
              <w:pStyle w:val="Compact"/>
              <w:spacing w:after="40" w:before="40"/>
              <w:jc w:val="left"/>
            </w:pPr>
            <w:r>
              <w:rPr>
                <w:b/>
                <w:color w:val="FFFFFF"/>
                <w:sz w:val="17"/>
              </w:rPr>
              <w:t xml:space="preserve">Fix</w:t>
            </w:r>
          </w:p>
        </w:tc>
        <w:tc>
          <w:tcPr>
            <w:tcW w:w="674" w:type="dxa"/>
            <w:shd w:val="clear" w:color="auto" w:fill="1F3A5F"/>
          </w:tcPr>
          <w:p>
            <w:pPr>
              <w:pStyle w:val="Compact"/>
              <w:spacing w:after="40" w:before="40"/>
              <w:jc w:val="left"/>
            </w:pPr>
            <w:r>
              <w:rPr>
                <w:b/>
                <w:color w:val="FFFFFF"/>
                <w:sz w:val="17"/>
              </w:rPr>
              <w:t xml:space="preserve">Effort</w:t>
            </w:r>
          </w:p>
        </w:tc>
      </w:tr>
      <w:tr>
        <w:trPr>
          <w:cantSplit/>
        </w:trPr>
        <w:tc>
          <w:tcPr>
            <w:tcW w:w="674" w:type="dxa"/>
          </w:tcPr>
          <w:p>
            <w:pPr>
              <w:pStyle w:val="Compact"/>
              <w:spacing w:after="40" w:before="40"/>
              <w:jc w:val="left"/>
            </w:pPr>
            <w:r>
              <w:rPr>
                <w:sz w:val="17"/>
              </w:rPr>
              <w:t xml:space="preserve">1</w:t>
            </w:r>
          </w:p>
        </w:tc>
        <w:tc>
          <w:tcPr>
            <w:tcW w:w="3731" w:type="dxa"/>
          </w:tcPr>
          <w:p>
            <w:pPr>
              <w:pStyle w:val="Compact"/>
              <w:spacing w:after="40" w:before="40"/>
              <w:jc w:val="left"/>
            </w:pPr>
            <w:r>
              <w:rPr>
                <w:sz w:val="17"/>
              </w:rPr>
              <w:t xml:space="preserve">The header WhatsApp button links to 254700000000, while every other link uses 254142677898</w:t>
            </w:r>
          </w:p>
        </w:tc>
        <w:tc>
          <w:tcPr>
            <w:tcW w:w="2564" w:type="dxa"/>
          </w:tcPr>
          <w:p>
            <w:pPr>
              <w:pStyle w:val="Compact"/>
              <w:spacing w:after="40" w:before="40"/>
              <w:jc w:val="left"/>
            </w:pPr>
            <w:r>
              <w:rPr>
                <w:sz w:val="17"/>
              </w:rPr>
              <w:t xml:space="preserve">Likely a placeholder; sends the highest-intent visitors to a dead end</w:t>
            </w:r>
          </w:p>
        </w:tc>
        <w:tc>
          <w:tcPr>
            <w:tcW w:w="2247" w:type="dxa"/>
          </w:tcPr>
          <w:p>
            <w:pPr>
              <w:pStyle w:val="Compact"/>
              <w:spacing w:after="40" w:before="40"/>
              <w:jc w:val="left"/>
            </w:pPr>
            <w:r>
              <w:rPr>
                <w:sz w:val="17"/>
              </w:rPr>
              <w:t xml:space="preserve">Use one number from one config value</w:t>
            </w:r>
          </w:p>
        </w:tc>
        <w:tc>
          <w:tcPr>
            <w:tcW w:w="674" w:type="dxa"/>
          </w:tcPr>
          <w:p>
            <w:pPr>
              <w:pStyle w:val="Compact"/>
              <w:spacing w:after="40" w:before="40"/>
              <w:jc w:val="left"/>
            </w:pPr>
            <w:r>
              <w:rPr>
                <w:sz w:val="17"/>
              </w:rPr>
              <w:t xml:space="preserve">S</w:t>
            </w:r>
          </w:p>
        </w:tc>
      </w:tr>
      <w:tr>
        <w:trPr>
          <w:cantSplit/>
        </w:trPr>
        <w:tc>
          <w:tcPr>
            <w:tcW w:w="674" w:type="dxa"/>
            <w:shd w:val="clear" w:color="auto" w:fill="F4F6F9"/>
          </w:tcPr>
          <w:p>
            <w:pPr>
              <w:pStyle w:val="Compact"/>
              <w:spacing w:after="40" w:before="40"/>
              <w:jc w:val="left"/>
            </w:pPr>
            <w:r>
              <w:rPr>
                <w:sz w:val="17"/>
              </w:rPr>
              <w:t xml:space="preserve">2</w:t>
            </w:r>
          </w:p>
        </w:tc>
        <w:tc>
          <w:tcPr>
            <w:tcW w:w="3731" w:type="dxa"/>
            <w:shd w:val="clear" w:color="auto" w:fill="F4F6F9"/>
          </w:tcPr>
          <w:p>
            <w:pPr>
              <w:pStyle w:val="Compact"/>
              <w:spacing w:after="40" w:before="40"/>
              <w:jc w:val="left"/>
            </w:pPr>
            <w:r>
              <w:rPr>
                <w:sz w:val="17"/>
              </w:rPr>
              <w:t xml:space="preserve">/corporate and its sub-pages carry the homepage canonical tag and the generic title</w:t>
            </w:r>
            <w:r>
              <w:rPr>
                <w:sz w:val="17"/>
              </w:rPr>
              <w:t xml:space="preserve"> </w:t>
            </w:r>
            <w:r>
              <w:rPr>
                <w:sz w:val="17"/>
              </w:rPr>
              <w:t xml:space="preserve">“</w:t>
            </w:r>
            <w:r>
              <w:rPr>
                <w:sz w:val="17"/>
              </w:rPr>
              <w:t xml:space="preserve">Send a gift in Kenya</w:t>
            </w:r>
            <w:r>
              <w:rPr>
                <w:sz w:val="17"/>
              </w:rPr>
              <w:t xml:space="preserve">”</w:t>
            </w:r>
          </w:p>
        </w:tc>
        <w:tc>
          <w:tcPr>
            <w:tcW w:w="2564" w:type="dxa"/>
            <w:shd w:val="clear" w:color="auto" w:fill="F4F6F9"/>
          </w:tcPr>
          <w:p>
            <w:pPr>
              <w:pStyle w:val="Compact"/>
              <w:spacing w:after="40" w:before="40"/>
              <w:jc w:val="left"/>
            </w:pPr>
            <w:r>
              <w:rPr>
                <w:sz w:val="17"/>
              </w:rPr>
              <w:t xml:space="preserve">Search engines may fold corporate pages into the homepage, hurting</w:t>
            </w:r>
            <w:r>
              <w:rPr>
                <w:sz w:val="17"/>
              </w:rPr>
              <w:t xml:space="preserve"> </w:t>
            </w:r>
            <w:r>
              <w:rPr>
                <w:sz w:val="17"/>
              </w:rPr>
              <w:t xml:space="preserve">“</w:t>
            </w:r>
            <w:r>
              <w:rPr>
                <w:sz w:val="17"/>
              </w:rPr>
              <w:t xml:space="preserve">corporate gifts Nairobi</w:t>
            </w:r>
            <w:r>
              <w:rPr>
                <w:sz w:val="17"/>
              </w:rPr>
              <w:t xml:space="preserve">”</w:t>
            </w:r>
          </w:p>
        </w:tc>
        <w:tc>
          <w:tcPr>
            <w:tcW w:w="2247" w:type="dxa"/>
            <w:shd w:val="clear" w:color="auto" w:fill="F4F6F9"/>
          </w:tcPr>
          <w:p>
            <w:pPr>
              <w:pStyle w:val="Compact"/>
              <w:spacing w:after="40" w:before="40"/>
              <w:jc w:val="left"/>
            </w:pPr>
            <w:r>
              <w:rPr>
                <w:sz w:val="17"/>
              </w:rPr>
              <w:t xml:space="preserve">Unique title, description and canonical per page</w:t>
            </w:r>
          </w:p>
        </w:tc>
        <w:tc>
          <w:tcPr>
            <w:tcW w:w="674" w:type="dxa"/>
            <w:shd w:val="clear" w:color="auto" w:fill="F4F6F9"/>
          </w:tcPr>
          <w:p>
            <w:pPr>
              <w:pStyle w:val="Compact"/>
              <w:spacing w:after="40" w:before="40"/>
              <w:jc w:val="left"/>
            </w:pPr>
            <w:r>
              <w:rPr>
                <w:sz w:val="17"/>
              </w:rPr>
              <w:t xml:space="preserve">S</w:t>
            </w:r>
          </w:p>
        </w:tc>
      </w:tr>
      <w:tr>
        <w:trPr>
          <w:cantSplit/>
        </w:trPr>
        <w:tc>
          <w:tcPr>
            <w:tcW w:w="674" w:type="dxa"/>
          </w:tcPr>
          <w:p>
            <w:pPr>
              <w:pStyle w:val="Compact"/>
              <w:spacing w:after="40" w:before="40"/>
              <w:jc w:val="left"/>
            </w:pPr>
            <w:r>
              <w:rPr>
                <w:sz w:val="17"/>
              </w:rPr>
              <w:t xml:space="preserve">3</w:t>
            </w:r>
          </w:p>
        </w:tc>
        <w:tc>
          <w:tcPr>
            <w:tcW w:w="3731" w:type="dxa"/>
          </w:tcPr>
          <w:p>
            <w:pPr>
              <w:pStyle w:val="Compact"/>
              <w:spacing w:after="40" w:before="40"/>
              <w:jc w:val="left"/>
            </w:pPr>
            <w:r>
              <w:rPr>
                <w:sz w:val="17"/>
              </w:rPr>
              <w:t xml:space="preserve">Proof counters read 0+, 0% and 0.8/5 in the fetched text</w:t>
            </w:r>
          </w:p>
        </w:tc>
        <w:tc>
          <w:tcPr>
            <w:tcW w:w="2564" w:type="dxa"/>
          </w:tcPr>
          <w:p>
            <w:pPr>
              <w:pStyle w:val="Compact"/>
              <w:spacing w:after="40" w:before="40"/>
              <w:jc w:val="left"/>
            </w:pPr>
            <w:r>
              <w:rPr>
                <w:sz w:val="17"/>
              </w:rPr>
              <w:t xml:space="preserve">If the animation fails, or for screen readers and crawlers, social proof reads as zeros</w:t>
            </w:r>
          </w:p>
        </w:tc>
        <w:tc>
          <w:tcPr>
            <w:tcW w:w="2247" w:type="dxa"/>
          </w:tcPr>
          <w:p>
            <w:pPr>
              <w:pStyle w:val="Compact"/>
              <w:spacing w:after="40" w:before="40"/>
              <w:jc w:val="left"/>
            </w:pPr>
            <w:r>
              <w:rPr>
                <w:sz w:val="17"/>
              </w:rPr>
              <w:t xml:space="preserve">Render final values in HTML; animate only as decoration; honour reduced motion</w:t>
            </w:r>
          </w:p>
        </w:tc>
        <w:tc>
          <w:tcPr>
            <w:tcW w:w="674" w:type="dxa"/>
          </w:tcPr>
          <w:p>
            <w:pPr>
              <w:pStyle w:val="Compact"/>
              <w:spacing w:after="40" w:before="40"/>
              <w:jc w:val="left"/>
            </w:pPr>
            <w:r>
              <w:rPr>
                <w:sz w:val="17"/>
              </w:rPr>
              <w:t xml:space="preserve">S</w:t>
            </w:r>
          </w:p>
        </w:tc>
      </w:tr>
      <w:tr>
        <w:trPr>
          <w:cantSplit/>
        </w:trPr>
        <w:tc>
          <w:tcPr>
            <w:tcW w:w="674" w:type="dxa"/>
            <w:shd w:val="clear" w:color="auto" w:fill="F4F6F9"/>
          </w:tcPr>
          <w:p>
            <w:pPr>
              <w:pStyle w:val="Compact"/>
              <w:spacing w:after="40" w:before="40"/>
              <w:jc w:val="left"/>
            </w:pPr>
            <w:r>
              <w:rPr>
                <w:sz w:val="17"/>
              </w:rPr>
              <w:t xml:space="preserve">4</w:t>
            </w:r>
          </w:p>
        </w:tc>
        <w:tc>
          <w:tcPr>
            <w:tcW w:w="3731" w:type="dxa"/>
            <w:shd w:val="clear" w:color="auto" w:fill="F4F6F9"/>
          </w:tcPr>
          <w:p>
            <w:pPr>
              <w:pStyle w:val="Compact"/>
              <w:spacing w:after="40" w:before="40"/>
              <w:jc w:val="left"/>
            </w:pPr>
            <w:r>
              <w:rPr>
                <w:sz w:val="17"/>
              </w:rPr>
              <w:t xml:space="preserve">Catalogue claims disagree:</w:t>
            </w:r>
            <w:r>
              <w:rPr>
                <w:sz w:val="17"/>
              </w:rPr>
              <w:t xml:space="preserve"> </w:t>
            </w:r>
            <w:r>
              <w:rPr>
                <w:sz w:val="17"/>
              </w:rPr>
              <w:t xml:space="preserve">“</w:t>
            </w:r>
            <w:r>
              <w:rPr>
                <w:sz w:val="17"/>
              </w:rPr>
              <w:t xml:space="preserve">200+ gifts across 30+ categories</w:t>
            </w:r>
            <w:r>
              <w:rPr>
                <w:sz w:val="17"/>
              </w:rPr>
              <w:t xml:space="preserve">”</w:t>
            </w:r>
            <w:r>
              <w:rPr>
                <w:sz w:val="17"/>
              </w:rPr>
              <w:t xml:space="preserve"> </w:t>
            </w:r>
            <w:r>
              <w:rPr>
                <w:sz w:val="17"/>
              </w:rPr>
              <w:t xml:space="preserve">versus</w:t>
            </w:r>
            <w:r>
              <w:rPr>
                <w:sz w:val="17"/>
              </w:rPr>
              <w:t xml:space="preserve"> </w:t>
            </w:r>
            <w:r>
              <w:rPr>
                <w:sz w:val="17"/>
              </w:rPr>
              <w:t xml:space="preserve">“</w:t>
            </w:r>
            <w:r>
              <w:rPr>
                <w:sz w:val="17"/>
              </w:rPr>
              <w:t xml:space="preserve">711 more gifts across 16 categories</w:t>
            </w:r>
            <w:r>
              <w:rPr>
                <w:sz w:val="17"/>
              </w:rPr>
              <w:t xml:space="preserve">”</w:t>
            </w:r>
          </w:p>
        </w:tc>
        <w:tc>
          <w:tcPr>
            <w:tcW w:w="2564" w:type="dxa"/>
            <w:shd w:val="clear" w:color="auto" w:fill="F4F6F9"/>
          </w:tcPr>
          <w:p>
            <w:pPr>
              <w:pStyle w:val="Compact"/>
              <w:spacing w:after="40" w:before="40"/>
              <w:jc w:val="left"/>
            </w:pPr>
            <w:r>
              <w:rPr>
                <w:sz w:val="17"/>
              </w:rPr>
              <w:t xml:space="preserve">Inconsistent numbers lower credibility</w:t>
            </w:r>
          </w:p>
        </w:tc>
        <w:tc>
          <w:tcPr>
            <w:tcW w:w="2247" w:type="dxa"/>
            <w:shd w:val="clear" w:color="auto" w:fill="F4F6F9"/>
          </w:tcPr>
          <w:p>
            <w:pPr>
              <w:pStyle w:val="Compact"/>
              <w:spacing w:after="40" w:before="40"/>
              <w:jc w:val="left"/>
            </w:pPr>
            <w:r>
              <w:rPr>
                <w:sz w:val="17"/>
              </w:rPr>
              <w:t xml:space="preserve">Drive every count from the database</w:t>
            </w:r>
          </w:p>
        </w:tc>
        <w:tc>
          <w:tcPr>
            <w:tcW w:w="674" w:type="dxa"/>
            <w:shd w:val="clear" w:color="auto" w:fill="F4F6F9"/>
          </w:tcPr>
          <w:p>
            <w:pPr>
              <w:pStyle w:val="Compact"/>
              <w:spacing w:after="40" w:before="40"/>
              <w:jc w:val="left"/>
            </w:pPr>
            <w:r>
              <w:rPr>
                <w:sz w:val="17"/>
              </w:rPr>
              <w:t xml:space="preserve">S</w:t>
            </w:r>
          </w:p>
        </w:tc>
      </w:tr>
      <w:tr>
        <w:trPr>
          <w:cantSplit/>
        </w:trPr>
        <w:tc>
          <w:tcPr>
            <w:tcW w:w="674" w:type="dxa"/>
          </w:tcPr>
          <w:p>
            <w:pPr>
              <w:pStyle w:val="Compact"/>
              <w:spacing w:after="40" w:before="40"/>
              <w:jc w:val="left"/>
            </w:pPr>
            <w:r>
              <w:rPr>
                <w:sz w:val="17"/>
              </w:rPr>
              <w:t xml:space="preserve">5</w:t>
            </w:r>
          </w:p>
        </w:tc>
        <w:tc>
          <w:tcPr>
            <w:tcW w:w="3731" w:type="dxa"/>
          </w:tcPr>
          <w:p>
            <w:pPr>
              <w:pStyle w:val="Compact"/>
              <w:spacing w:after="40" w:before="40"/>
              <w:jc w:val="left"/>
            </w:pPr>
            <w:r>
              <w:rPr>
                <w:sz w:val="17"/>
              </w:rPr>
              <w:t xml:space="preserve">Delivery fees are not shown, though the page promises clear pricing</w:t>
            </w:r>
          </w:p>
        </w:tc>
        <w:tc>
          <w:tcPr>
            <w:tcW w:w="2564" w:type="dxa"/>
          </w:tcPr>
          <w:p>
            <w:pPr>
              <w:pStyle w:val="Compact"/>
              <w:spacing w:after="40" w:before="40"/>
              <w:jc w:val="left"/>
            </w:pPr>
            <w:r>
              <w:rPr>
                <w:sz w:val="17"/>
              </w:rPr>
              <w:t xml:space="preserve">Surprise costs at checkout are a commonly listed cause of abandonment (</w:t>
            </w:r>
            <w:hyperlink r:id="rId25">
              <w:r>
                <w:rPr>
                  <w:rStyle w:val="Hyperlink"/>
                </w:rPr>
                <w:t xml:space="preserve">Mctaba</w:t>
              </w:r>
            </w:hyperlink>
            <w:r>
              <w:rPr>
                <w:sz w:val="17"/>
              </w:rPr>
              <w:t xml:space="preserve">)</w:t>
            </w:r>
          </w:p>
        </w:tc>
        <w:tc>
          <w:tcPr>
            <w:tcW w:w="2247" w:type="dxa"/>
          </w:tcPr>
          <w:p>
            <w:pPr>
              <w:pStyle w:val="Compact"/>
              <w:spacing w:after="40" w:before="40"/>
              <w:jc w:val="left"/>
            </w:pPr>
            <w:r>
              <w:rPr>
                <w:sz w:val="17"/>
              </w:rPr>
              <w:t xml:space="preserve">Area-based fee estimate on product page and cart</w:t>
            </w:r>
          </w:p>
        </w:tc>
        <w:tc>
          <w:tcPr>
            <w:tcW w:w="674" w:type="dxa"/>
          </w:tcPr>
          <w:p>
            <w:pPr>
              <w:pStyle w:val="Compact"/>
              <w:spacing w:after="40" w:before="40"/>
              <w:jc w:val="left"/>
            </w:pPr>
            <w:r>
              <w:rPr>
                <w:sz w:val="17"/>
              </w:rPr>
              <w:t xml:space="preserve">M</w:t>
            </w:r>
          </w:p>
        </w:tc>
      </w:tr>
      <w:tr>
        <w:trPr>
          <w:cantSplit/>
        </w:trPr>
        <w:tc>
          <w:tcPr>
            <w:tcW w:w="674" w:type="dxa"/>
            <w:shd w:val="clear" w:color="auto" w:fill="F4F6F9"/>
          </w:tcPr>
          <w:p>
            <w:pPr>
              <w:pStyle w:val="Compact"/>
              <w:spacing w:after="40" w:before="40"/>
              <w:jc w:val="left"/>
            </w:pPr>
            <w:r>
              <w:rPr>
                <w:sz w:val="17"/>
              </w:rPr>
              <w:t xml:space="preserve">6</w:t>
            </w:r>
          </w:p>
        </w:tc>
        <w:tc>
          <w:tcPr>
            <w:tcW w:w="3731" w:type="dxa"/>
            <w:shd w:val="clear" w:color="auto" w:fill="F4F6F9"/>
          </w:tcPr>
          <w:p>
            <w:pPr>
              <w:pStyle w:val="Compact"/>
              <w:spacing w:after="40" w:before="40"/>
              <w:jc w:val="left"/>
            </w:pPr>
            <w:r>
              <w:rPr>
                <w:sz w:val="17"/>
              </w:rPr>
              <w:t xml:space="preserve">Corporate dashboards show placeholder values: 0 active rules, KSh 0K budget,</w:t>
            </w:r>
            <w:r>
              <w:rPr>
                <w:sz w:val="17"/>
              </w:rPr>
              <w:t xml:space="preserve"> </w:t>
            </w:r>
            <w:r>
              <w:rPr>
                <w:sz w:val="17"/>
              </w:rPr>
              <w:t xml:space="preserve">“</w:t>
            </w:r>
            <w:r>
              <w:rPr>
                <w:sz w:val="17"/>
              </w:rPr>
              <w:t xml:space="preserve">3 days</w:t>
            </w:r>
            <w:r>
              <w:rPr>
                <w:sz w:val="17"/>
              </w:rPr>
              <w:t xml:space="preserve">”</w:t>
            </w:r>
            <w:r>
              <w:rPr>
                <w:sz w:val="17"/>
              </w:rPr>
              <w:t xml:space="preserve"> </w:t>
            </w:r>
            <w:r>
              <w:rPr>
                <w:sz w:val="17"/>
              </w:rPr>
              <w:t xml:space="preserve">to next event, 6 bot messages sent, sample white-label prices</w:t>
            </w:r>
          </w:p>
        </w:tc>
        <w:tc>
          <w:tcPr>
            <w:tcW w:w="2564" w:type="dxa"/>
            <w:shd w:val="clear" w:color="auto" w:fill="F4F6F9"/>
          </w:tcPr>
          <w:p>
            <w:pPr>
              <w:pStyle w:val="Compact"/>
              <w:spacing w:after="40" w:before="40"/>
              <w:jc w:val="left"/>
            </w:pPr>
            <w:r>
              <w:rPr>
                <w:sz w:val="17"/>
              </w:rPr>
              <w:t xml:space="preserve">Users cannot tell demo data from real data</w:t>
            </w:r>
          </w:p>
        </w:tc>
        <w:tc>
          <w:tcPr>
            <w:tcW w:w="2247" w:type="dxa"/>
            <w:shd w:val="clear" w:color="auto" w:fill="F4F6F9"/>
          </w:tcPr>
          <w:p>
            <w:pPr>
              <w:pStyle w:val="Compact"/>
              <w:spacing w:after="40" w:before="40"/>
              <w:jc w:val="left"/>
            </w:pPr>
            <w:r>
              <w:rPr>
                <w:sz w:val="17"/>
              </w:rPr>
              <w:t xml:space="preserve">Real empty states with a guided first step; label demos</w:t>
            </w:r>
          </w:p>
        </w:tc>
        <w:tc>
          <w:tcPr>
            <w:tcW w:w="674" w:type="dxa"/>
            <w:shd w:val="clear" w:color="auto" w:fill="F4F6F9"/>
          </w:tcPr>
          <w:p>
            <w:pPr>
              <w:pStyle w:val="Compact"/>
              <w:spacing w:after="40" w:before="40"/>
              <w:jc w:val="left"/>
            </w:pPr>
            <w:r>
              <w:rPr>
                <w:sz w:val="17"/>
              </w:rPr>
              <w:t xml:space="preserve">S</w:t>
            </w:r>
          </w:p>
        </w:tc>
      </w:tr>
      <w:tr>
        <w:trPr>
          <w:cantSplit/>
        </w:trPr>
        <w:tc>
          <w:tcPr>
            <w:tcW w:w="674" w:type="dxa"/>
          </w:tcPr>
          <w:p>
            <w:pPr>
              <w:pStyle w:val="Compact"/>
              <w:spacing w:after="40" w:before="40"/>
              <w:jc w:val="left"/>
            </w:pPr>
            <w:r>
              <w:rPr>
                <w:sz w:val="17"/>
              </w:rPr>
              <w:t xml:space="preserve">7</w:t>
            </w:r>
          </w:p>
        </w:tc>
        <w:tc>
          <w:tcPr>
            <w:tcW w:w="3731" w:type="dxa"/>
          </w:tcPr>
          <w:p>
            <w:pPr>
              <w:pStyle w:val="Compact"/>
              <w:spacing w:after="40" w:before="40"/>
              <w:jc w:val="left"/>
            </w:pPr>
            <w:r>
              <w:rPr>
                <w:sz w:val="17"/>
              </w:rPr>
              <w:t xml:space="preserve">/corporate lacks minimum quantities, lead times, price tiers, invoicing terms, case studies and client logos</w:t>
            </w:r>
          </w:p>
        </w:tc>
        <w:tc>
          <w:tcPr>
            <w:tcW w:w="2564" w:type="dxa"/>
          </w:tcPr>
          <w:p>
            <w:pPr>
              <w:pStyle w:val="Compact"/>
              <w:spacing w:after="40" w:before="40"/>
              <w:jc w:val="left"/>
            </w:pPr>
            <w:r>
              <w:rPr>
                <w:sz w:val="17"/>
              </w:rPr>
              <w:t xml:space="preserve">Procurement cannot judge fit without a call</w:t>
            </w:r>
          </w:p>
        </w:tc>
        <w:tc>
          <w:tcPr>
            <w:tcW w:w="2247" w:type="dxa"/>
          </w:tcPr>
          <w:p>
            <w:pPr>
              <w:pStyle w:val="Compact"/>
              <w:spacing w:after="40" w:before="40"/>
              <w:jc w:val="left"/>
            </w:pPr>
            <w:r>
              <w:rPr>
                <w:sz w:val="17"/>
              </w:rPr>
              <w:t xml:space="preserve">Add a how-it-works strip, pricing guide, FAQ and proof section</w:t>
            </w:r>
          </w:p>
        </w:tc>
        <w:tc>
          <w:tcPr>
            <w:tcW w:w="674" w:type="dxa"/>
          </w:tcPr>
          <w:p>
            <w:pPr>
              <w:pStyle w:val="Compact"/>
              <w:spacing w:after="40" w:before="40"/>
              <w:jc w:val="left"/>
            </w:pPr>
            <w:r>
              <w:rPr>
                <w:sz w:val="17"/>
              </w:rPr>
              <w:t xml:space="preserve">M</w:t>
            </w:r>
          </w:p>
        </w:tc>
      </w:tr>
      <w:tr>
        <w:trPr>
          <w:cantSplit/>
        </w:trPr>
        <w:tc>
          <w:tcPr>
            <w:tcW w:w="674" w:type="dxa"/>
            <w:shd w:val="clear" w:color="auto" w:fill="F4F6F9"/>
          </w:tcPr>
          <w:p>
            <w:pPr>
              <w:pStyle w:val="Compact"/>
              <w:spacing w:after="40" w:before="40"/>
              <w:jc w:val="left"/>
            </w:pPr>
            <w:r>
              <w:rPr>
                <w:sz w:val="17"/>
              </w:rPr>
              <w:t xml:space="preserve">8</w:t>
            </w:r>
          </w:p>
        </w:tc>
        <w:tc>
          <w:tcPr>
            <w:tcW w:w="3731" w:type="dxa"/>
            <w:shd w:val="clear" w:color="auto" w:fill="F4F6F9"/>
          </w:tcPr>
          <w:p>
            <w:pPr>
              <w:pStyle w:val="Compact"/>
              <w:spacing w:after="40" w:before="40"/>
              <w:jc w:val="left"/>
            </w:pPr>
            <w:r>
              <w:rPr>
                <w:sz w:val="17"/>
              </w:rPr>
              <w:t xml:space="preserve">Nine of 16 homepage category tiles are alcohol</w:t>
            </w:r>
          </w:p>
        </w:tc>
        <w:tc>
          <w:tcPr>
            <w:tcW w:w="2564" w:type="dxa"/>
            <w:shd w:val="clear" w:color="auto" w:fill="F4F6F9"/>
          </w:tcPr>
          <w:p>
            <w:pPr>
              <w:pStyle w:val="Compact"/>
              <w:spacing w:after="40" w:before="40"/>
              <w:jc w:val="left"/>
            </w:pPr>
            <w:r>
              <w:rPr>
                <w:sz w:val="17"/>
              </w:rPr>
              <w:t xml:space="preserve">Alienates some corporate and family buyers; needs age verification</w:t>
            </w:r>
          </w:p>
        </w:tc>
        <w:tc>
          <w:tcPr>
            <w:tcW w:w="2247" w:type="dxa"/>
            <w:shd w:val="clear" w:color="auto" w:fill="F4F6F9"/>
          </w:tcPr>
          <w:p>
            <w:pPr>
              <w:pStyle w:val="Compact"/>
              <w:spacing w:after="40" w:before="40"/>
              <w:jc w:val="left"/>
            </w:pPr>
            <w:r>
              <w:rPr>
                <w:sz w:val="17"/>
              </w:rPr>
              <w:t xml:space="preserve">Audience-aware homepage; non-alcoholic default for corporate; 18+ gate</w:t>
            </w:r>
          </w:p>
        </w:tc>
        <w:tc>
          <w:tcPr>
            <w:tcW w:w="674" w:type="dxa"/>
            <w:shd w:val="clear" w:color="auto" w:fill="F4F6F9"/>
          </w:tcPr>
          <w:p>
            <w:pPr>
              <w:pStyle w:val="Compact"/>
              <w:spacing w:after="40" w:before="40"/>
              <w:jc w:val="left"/>
            </w:pPr>
            <w:r>
              <w:rPr>
                <w:sz w:val="17"/>
              </w:rPr>
              <w:t xml:space="preserve">S</w:t>
            </w:r>
          </w:p>
        </w:tc>
      </w:tr>
      <w:tr>
        <w:trPr>
          <w:cantSplit/>
        </w:trPr>
        <w:tc>
          <w:tcPr>
            <w:tcW w:w="674" w:type="dxa"/>
          </w:tcPr>
          <w:p>
            <w:pPr>
              <w:pStyle w:val="Compact"/>
              <w:spacing w:after="40" w:before="40"/>
              <w:jc w:val="left"/>
            </w:pPr>
            <w:r>
              <w:rPr>
                <w:sz w:val="17"/>
              </w:rPr>
              <w:t xml:space="preserve">9</w:t>
            </w:r>
          </w:p>
        </w:tc>
        <w:tc>
          <w:tcPr>
            <w:tcW w:w="3731" w:type="dxa"/>
          </w:tcPr>
          <w:p>
            <w:pPr>
              <w:pStyle w:val="Compact"/>
              <w:spacing w:after="40" w:before="40"/>
              <w:jc w:val="left"/>
            </w:pPr>
            <w:r>
              <w:rPr>
                <w:sz w:val="17"/>
              </w:rPr>
              <w:t xml:space="preserve">Auto-scrolling carousels have no pause control</w:t>
            </w:r>
          </w:p>
        </w:tc>
        <w:tc>
          <w:tcPr>
            <w:tcW w:w="2564" w:type="dxa"/>
          </w:tcPr>
          <w:p>
            <w:pPr>
              <w:pStyle w:val="Compact"/>
              <w:spacing w:after="40" w:before="40"/>
              <w:jc w:val="left"/>
            </w:pPr>
            <w:r>
              <w:rPr>
                <w:sz w:val="17"/>
              </w:rPr>
              <w:t xml:space="preserve">Fails the WCAG 2.2 rule on moving content</w:t>
            </w:r>
          </w:p>
        </w:tc>
        <w:tc>
          <w:tcPr>
            <w:tcW w:w="2247" w:type="dxa"/>
          </w:tcPr>
          <w:p>
            <w:pPr>
              <w:pStyle w:val="Compact"/>
              <w:spacing w:after="40" w:before="40"/>
              <w:jc w:val="left"/>
            </w:pPr>
            <w:r>
              <w:rPr>
                <w:sz w:val="17"/>
              </w:rPr>
              <w:t xml:space="preserve">Pause on hover and focus, plus a visible control</w:t>
            </w:r>
          </w:p>
        </w:tc>
        <w:tc>
          <w:tcPr>
            <w:tcW w:w="674" w:type="dxa"/>
          </w:tcPr>
          <w:p>
            <w:pPr>
              <w:pStyle w:val="Compact"/>
              <w:spacing w:after="40" w:before="40"/>
              <w:jc w:val="left"/>
            </w:pPr>
            <w:r>
              <w:rPr>
                <w:sz w:val="17"/>
              </w:rPr>
              <w:t xml:space="preserve">S</w:t>
            </w:r>
          </w:p>
        </w:tc>
      </w:tr>
      <w:tr>
        <w:trPr>
          <w:cantSplit/>
        </w:trPr>
        <w:tc>
          <w:tcPr>
            <w:tcW w:w="674" w:type="dxa"/>
            <w:shd w:val="clear" w:color="auto" w:fill="F4F6F9"/>
          </w:tcPr>
          <w:p>
            <w:pPr>
              <w:pStyle w:val="Compact"/>
              <w:spacing w:after="40" w:before="40"/>
              <w:jc w:val="left"/>
            </w:pPr>
            <w:r>
              <w:rPr>
                <w:sz w:val="17"/>
              </w:rPr>
              <w:t xml:space="preserve">10</w:t>
            </w:r>
          </w:p>
        </w:tc>
        <w:tc>
          <w:tcPr>
            <w:tcW w:w="3731" w:type="dxa"/>
            <w:shd w:val="clear" w:color="auto" w:fill="F4F6F9"/>
          </w:tcPr>
          <w:p>
            <w:pPr>
              <w:pStyle w:val="Compact"/>
              <w:spacing w:after="40" w:before="40"/>
              <w:jc w:val="left"/>
            </w:pPr>
            <w:r>
              <w:rPr>
                <w:sz w:val="17"/>
              </w:rPr>
              <w:t xml:space="preserve">The 6 PM same-day cutoff, later than a competitor’s 4 PM, appears only in the banner and FAQ</w:t>
            </w:r>
          </w:p>
        </w:tc>
        <w:tc>
          <w:tcPr>
            <w:tcW w:w="2564" w:type="dxa"/>
            <w:shd w:val="clear" w:color="auto" w:fill="F4F6F9"/>
          </w:tcPr>
          <w:p>
            <w:pPr>
              <w:pStyle w:val="Compact"/>
              <w:spacing w:after="40" w:before="40"/>
              <w:jc w:val="left"/>
            </w:pPr>
            <w:r>
              <w:rPr>
                <w:sz w:val="17"/>
              </w:rPr>
              <w:t xml:space="preserve">A real differentiator is underused</w:t>
            </w:r>
          </w:p>
        </w:tc>
        <w:tc>
          <w:tcPr>
            <w:tcW w:w="2247" w:type="dxa"/>
            <w:shd w:val="clear" w:color="auto" w:fill="F4F6F9"/>
          </w:tcPr>
          <w:p>
            <w:pPr>
              <w:pStyle w:val="Compact"/>
              <w:spacing w:after="40" w:before="40"/>
              <w:jc w:val="left"/>
            </w:pPr>
            <w:r>
              <w:rPr>
                <w:sz w:val="17"/>
              </w:rPr>
              <w:t xml:space="preserve">Live countdown on product pages:</w:t>
            </w:r>
            <w:r>
              <w:rPr>
                <w:sz w:val="17"/>
              </w:rPr>
              <w:t xml:space="preserve"> </w:t>
            </w:r>
            <w:r>
              <w:rPr>
                <w:sz w:val="17"/>
              </w:rPr>
              <w:t xml:space="preserve">“</w:t>
            </w:r>
            <w:r>
              <w:rPr>
                <w:sz w:val="17"/>
              </w:rPr>
              <w:t xml:space="preserve">order in 2h 14m for same-day</w:t>
            </w:r>
            <w:r>
              <w:rPr>
                <w:sz w:val="17"/>
              </w:rPr>
              <w:t xml:space="preserve">”</w:t>
            </w:r>
          </w:p>
        </w:tc>
        <w:tc>
          <w:tcPr>
            <w:tcW w:w="674" w:type="dxa"/>
            <w:shd w:val="clear" w:color="auto" w:fill="F4F6F9"/>
          </w:tcPr>
          <w:p>
            <w:pPr>
              <w:pStyle w:val="Compact"/>
              <w:spacing w:after="40" w:before="40"/>
              <w:jc w:val="left"/>
            </w:pPr>
            <w:r>
              <w:rPr>
                <w:sz w:val="17"/>
              </w:rPr>
              <w:t xml:space="preserve">S</w:t>
            </w:r>
          </w:p>
        </w:tc>
      </w:tr>
    </w:tbl>
    <w:bookmarkEnd w:id="26"/>
    <w:bookmarkStart w:id="44" w:name="market-and-competitor-read"/>
    <w:p>
      <w:pPr>
        <w:pStyle w:val="Heading2"/>
      </w:pPr>
      <w:r>
        <w:t xml:space="preserve">Market and competitor read</w:t>
      </w:r>
    </w:p>
    <w:p>
      <w:pPr>
        <w:pStyle w:val="FirstParagraph"/>
      </w:pPr>
      <w:r>
        <w:t xml:space="preserve">Kenyan gifting is moving toward digital, personal and local, and the winners will be the platforms that remove address, payment and invoicing friction. No competitor I found combines M-Pesa-native payment, WhatsApp-native recipient flows, same-day Nairobi delivery and eTIMS-ready invoicing, though my search was not exhaustive.</w:t>
      </w:r>
    </w:p>
    <w:bookmarkStart w:id="36" w:name="demand-signals"/>
    <w:p>
      <w:pPr>
        <w:pStyle w:val="Heading3"/>
      </w:pPr>
      <w:r>
        <w:t xml:space="preserve">Demand signals</w:t>
      </w:r>
    </w:p>
    <w:p>
      <w:pPr>
        <w:numPr>
          <w:ilvl w:val="0"/>
          <w:numId w:val="1002"/>
        </w:numPr>
        <w:pStyle w:val="Compact"/>
      </w:pPr>
      <w:r>
        <w:t xml:space="preserve">Kenya’s gift and incentive card market is forecast near US$760 million by 2029 in a</w:t>
      </w:r>
      <w:r>
        <w:t xml:space="preserve"> </w:t>
      </w:r>
      <w:hyperlink r:id="rId27">
        <w:r>
          <w:rPr>
            <w:rStyle w:val="Hyperlink"/>
          </w:rPr>
          <w:t xml:space="preserve">ResearchAndMarkets databook</w:t>
        </w:r>
      </w:hyperlink>
      <w:r>
        <w:t xml:space="preserve">; an</w:t>
      </w:r>
      <w:r>
        <w:t xml:space="preserve"> </w:t>
      </w:r>
      <w:hyperlink r:id="rId28">
        <w:r>
          <w:rPr>
            <w:rStyle w:val="Hyperlink"/>
          </w:rPr>
          <w:t xml:space="preserve">earlier edition</w:t>
        </w:r>
      </w:hyperlink>
      <w:r>
        <w:t xml:space="preserve"> </w:t>
      </w:r>
      <w:r>
        <w:t xml:space="preserve">cited 11.2% growth a year over 2018 to 2022. These are vendor figures: directional only.</w:t>
      </w:r>
    </w:p>
    <w:p>
      <w:pPr>
        <w:numPr>
          <w:ilvl w:val="0"/>
          <w:numId w:val="1002"/>
        </w:numPr>
        <w:pStyle w:val="Compact"/>
      </w:pPr>
      <w:r>
        <w:t xml:space="preserve">A regional databook says gift card sales grew 14.3% a year over 2020 to 2024 and forecasts US$5.28 billion in 2025 rising to US$8.07 billion by 2029, with corporate incentive programmes expanding (</w:t>
      </w:r>
      <w:hyperlink r:id="rId29">
        <w:r>
          <w:rPr>
            <w:rStyle w:val="Hyperlink"/>
          </w:rPr>
          <w:t xml:space="preserve">Business Wire</w:t>
        </w:r>
      </w:hyperlink>
      <w:r>
        <w:t xml:space="preserve">).</w:t>
      </w:r>
    </w:p>
    <w:p>
      <w:pPr>
        <w:numPr>
          <w:ilvl w:val="0"/>
          <w:numId w:val="1002"/>
        </w:numPr>
        <w:pStyle w:val="Compact"/>
      </w:pPr>
      <w:r>
        <w:t xml:space="preserve">Global corporate gifting estimates disagree widely: about US$822 billion for 2024 (</w:t>
      </w:r>
      <w:hyperlink r:id="rId30">
        <w:r>
          <w:rPr>
            <w:rStyle w:val="Hyperlink"/>
          </w:rPr>
          <w:t xml:space="preserve">TimesLive</w:t>
        </w:r>
      </w:hyperlink>
      <w:r>
        <w:t xml:space="preserve">) against US$242 billion (</w:t>
      </w:r>
      <w:hyperlink r:id="rId31">
        <w:r>
          <w:rPr>
            <w:rStyle w:val="Hyperlink"/>
          </w:rPr>
          <w:t xml:space="preserve">Sendoso</w:t>
        </w:r>
      </w:hyperlink>
      <w:r>
        <w:t xml:space="preserve">). Africa and the Middle East made up 7% of 2024 corporate gift orders.</w:t>
      </w:r>
    </w:p>
    <w:p>
      <w:pPr>
        <w:numPr>
          <w:ilvl w:val="0"/>
          <w:numId w:val="1002"/>
        </w:numPr>
        <w:pStyle w:val="Compact"/>
      </w:pPr>
      <w:r>
        <w:t xml:space="preserve">Product mix in that report: food hampers 24%, practical merchandise 21%, personalised apparel 17%. The trend is toward personal, local items and shareable unboxing, away from flash drives and mousepads.</w:t>
      </w:r>
    </w:p>
    <w:p>
      <w:pPr>
        <w:numPr>
          <w:ilvl w:val="0"/>
          <w:numId w:val="1002"/>
        </w:numPr>
        <w:pStyle w:val="Compact"/>
      </w:pPr>
      <w:r>
        <w:t xml:space="preserve">Remittances to Kenya reached US$5.04 billion in 2025, up 1.9%, with the US supplying about half (</w:t>
      </w:r>
      <w:hyperlink r:id="rId20">
        <w:r>
          <w:rPr>
            <w:rStyle w:val="Hyperlink"/>
          </w:rPr>
          <w:t xml:space="preserve">ITWeb</w:t>
        </w:r>
      </w:hyperlink>
      <w:r>
        <w:t xml:space="preserve">). Inflows spike around back-to-school and December (</w:t>
      </w:r>
      <w:hyperlink r:id="rId32">
        <w:r>
          <w:rPr>
            <w:rStyle w:val="Hyperlink"/>
          </w:rPr>
          <w:t xml:space="preserve">Eastleigh Voice</w:t>
        </w:r>
      </w:hyperlink>
      <w:r>
        <w:t xml:space="preserve">). I have no data on what share becomes gifts, so diaspora gifting is a hypothesis to test.</w:t>
      </w:r>
    </w:p>
    <w:p>
      <w:pPr>
        <w:numPr>
          <w:ilvl w:val="0"/>
          <w:numId w:val="1002"/>
        </w:numPr>
        <w:pStyle w:val="Compact"/>
      </w:pPr>
      <w:r>
        <w:t xml:space="preserve">M-Pesa is the default way to pay. Global cart abandonment is 70.19% (Baymard, 2024), and IntaSend claims Kenya runs near 75 to 80% when payment flows are poor (</w:t>
      </w:r>
      <w:hyperlink r:id="rId33">
        <w:r>
          <w:rPr>
            <w:rStyle w:val="Hyperlink"/>
          </w:rPr>
          <w:t xml:space="preserve">IntaSend</w:t>
        </w:r>
      </w:hyperlink>
      <w:r>
        <w:t xml:space="preserve">). Its fixes: M-Pesa first, guest checkout, total cost visible, quick recovery from failed payments.</w:t>
      </w:r>
    </w:p>
    <w:p>
      <w:pPr>
        <w:numPr>
          <w:ilvl w:val="0"/>
          <w:numId w:val="1002"/>
        </w:numPr>
        <w:pStyle w:val="Compact"/>
      </w:pPr>
      <w:r>
        <w:t xml:space="preserve">Since 1 September 2023 all businesses in Kenya must issue eTIMS invoices (</w:t>
      </w:r>
      <w:hyperlink r:id="rId34">
        <w:r>
          <w:rPr>
            <w:rStyle w:val="Hyperlink"/>
          </w:rPr>
          <w:t xml:space="preserve">VATit</w:t>
        </w:r>
      </w:hyperlink>
      <w:r>
        <w:t xml:space="preserve">), and KRA now checks expense claims against suppliers’ eTIMS invoices (</w:t>
      </w:r>
      <w:hyperlink r:id="rId35">
        <w:r>
          <w:rPr>
            <w:rStyle w:val="Hyperlink"/>
          </w:rPr>
          <w:t xml:space="preserve">Beancount</w:t>
        </w:r>
      </w:hyperlink>
      <w:r>
        <w:t xml:space="preserve">). Corporate buyers therefore need valid eTIMS invoices from gift suppliers.</w:t>
      </w:r>
    </w:p>
    <w:bookmarkEnd w:id="36"/>
    <w:bookmarkStart w:id="43" w:name="competitors-and-benchmarks"/>
    <w:p>
      <w:pPr>
        <w:pStyle w:val="Heading3"/>
      </w:pPr>
      <w:r>
        <w:t xml:space="preserve">Competitors and benchmarks</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103"/>
        <w:gridCol w:w="4579"/>
        <w:gridCol w:w="4209"/>
      </w:tblGrid>
      <w:tr>
        <w:trPr>
          <w:tblHeader w:val="true"/>
          <w:cantSplit/>
          <w:tblHeader/>
        </w:trPr>
        <w:tc>
          <w:tcPr>
            <w:tcW w:w="1103" w:type="dxa"/>
            <w:shd w:val="clear" w:color="auto" w:fill="1F3A5F"/>
          </w:tcPr>
          <w:p>
            <w:pPr>
              <w:pStyle w:val="Compact"/>
              <w:spacing w:after="40" w:before="40"/>
              <w:jc w:val="left"/>
            </w:pPr>
            <w:r>
              <w:rPr>
                <w:b/>
                <w:color w:val="FFFFFF"/>
                <w:sz w:val="18"/>
              </w:rPr>
              <w:t xml:space="preserve">Player</w:t>
            </w:r>
          </w:p>
        </w:tc>
        <w:tc>
          <w:tcPr>
            <w:tcW w:w="4579" w:type="dxa"/>
            <w:shd w:val="clear" w:color="auto" w:fill="1F3A5F"/>
          </w:tcPr>
          <w:p>
            <w:pPr>
              <w:pStyle w:val="Compact"/>
              <w:spacing w:after="40" w:before="40"/>
              <w:jc w:val="left"/>
            </w:pPr>
            <w:r>
              <w:rPr>
                <w:b/>
                <w:color w:val="FFFFFF"/>
                <w:sz w:val="18"/>
              </w:rPr>
              <w:t xml:space="preserve">What they do</w:t>
            </w:r>
          </w:p>
        </w:tc>
        <w:tc>
          <w:tcPr>
            <w:tcW w:w="4209" w:type="dxa"/>
            <w:shd w:val="clear" w:color="auto" w:fill="1F3A5F"/>
          </w:tcPr>
          <w:p>
            <w:pPr>
              <w:pStyle w:val="Compact"/>
              <w:spacing w:after="40" w:before="40"/>
              <w:jc w:val="left"/>
            </w:pPr>
            <w:r>
              <w:rPr>
                <w:b/>
                <w:color w:val="FFFFFF"/>
                <w:sz w:val="18"/>
              </w:rPr>
              <w:t xml:space="preserve">Lesson for TouchGift</w:t>
            </w:r>
          </w:p>
        </w:tc>
      </w:tr>
      <w:tr>
        <w:trPr>
          <w:cantSplit/>
        </w:trPr>
        <w:tc>
          <w:tcPr>
            <w:tcW w:w="1103" w:type="dxa"/>
          </w:tcPr>
          <w:p>
            <w:pPr>
              <w:pStyle w:val="Compact"/>
              <w:spacing w:after="40" w:before="40"/>
              <w:jc w:val="left"/>
            </w:pPr>
            <w:hyperlink r:id="rId37">
              <w:r>
                <w:rPr>
                  <w:rStyle w:val="Hyperlink"/>
                </w:rPr>
                <w:t xml:space="preserve">Purpink</w:t>
              </w:r>
            </w:hyperlink>
          </w:p>
        </w:tc>
        <w:tc>
          <w:tcPr>
            <w:tcW w:w="4579" w:type="dxa"/>
          </w:tcPr>
          <w:p>
            <w:pPr>
              <w:pStyle w:val="Compact"/>
              <w:spacing w:after="40" w:before="40"/>
              <w:jc w:val="left"/>
            </w:pPr>
            <w:r>
              <w:rPr>
                <w:sz w:val="18"/>
              </w:rPr>
              <w:t xml:space="preserve">Same-day Nairobi if ordered by 4 PM; KSh 300 standard (2 to 3 hours), KSh 1,000 one-hour priority, KSh 500 environs; upcountry next-day for KSh 500 to 650; damage claims within 48 hours; Kenyan heritage hampers</w:t>
            </w:r>
          </w:p>
        </w:tc>
        <w:tc>
          <w:tcPr>
            <w:tcW w:w="4209" w:type="dxa"/>
          </w:tcPr>
          <w:p>
            <w:pPr>
              <w:pStyle w:val="Compact"/>
              <w:spacing w:after="40" w:before="40"/>
              <w:jc w:val="left"/>
            </w:pPr>
            <w:r>
              <w:rPr>
                <w:sz w:val="18"/>
              </w:rPr>
              <w:t xml:space="preserve">Publishes fees and speed tiers. Match the transparency; TouchGift’s 6 PM cutoff and photo proof are real edges; a paid express tier is an upsell</w:t>
            </w:r>
          </w:p>
        </w:tc>
      </w:tr>
      <w:tr>
        <w:trPr>
          <w:cantSplit/>
        </w:trPr>
        <w:tc>
          <w:tcPr>
            <w:tcW w:w="1103" w:type="dxa"/>
            <w:shd w:val="clear" w:color="auto" w:fill="F4F6F9"/>
          </w:tcPr>
          <w:p>
            <w:pPr>
              <w:pStyle w:val="Compact"/>
              <w:spacing w:after="40" w:before="40"/>
              <w:jc w:val="left"/>
            </w:pPr>
            <w:hyperlink r:id="rId38">
              <w:r>
                <w:rPr>
                  <w:rStyle w:val="Hyperlink"/>
                </w:rPr>
                <w:t xml:space="preserve">Giftsenda</w:t>
              </w:r>
            </w:hyperlink>
          </w:p>
        </w:tc>
        <w:tc>
          <w:tcPr>
            <w:tcW w:w="4579" w:type="dxa"/>
            <w:shd w:val="clear" w:color="auto" w:fill="F4F6F9"/>
          </w:tcPr>
          <w:p>
            <w:pPr>
              <w:pStyle w:val="Compact"/>
              <w:spacing w:after="40" w:before="40"/>
              <w:jc w:val="left"/>
            </w:pPr>
            <w:r>
              <w:rPr>
                <w:sz w:val="18"/>
              </w:rPr>
              <w:t xml:space="preserve">Global corporate gifting platform with automated gifting, Kenya-sourced items, demo-led sales</w:t>
            </w:r>
          </w:p>
        </w:tc>
        <w:tc>
          <w:tcPr>
            <w:tcW w:w="4209" w:type="dxa"/>
            <w:shd w:val="clear" w:color="auto" w:fill="F4F6F9"/>
          </w:tcPr>
          <w:p>
            <w:pPr>
              <w:pStyle w:val="Compact"/>
              <w:spacing w:after="40" w:before="40"/>
              <w:jc w:val="left"/>
            </w:pPr>
            <w:r>
              <w:rPr>
                <w:sz w:val="18"/>
              </w:rPr>
              <w:t xml:space="preserve">B2B buyers want automation and campaigns; TouchGift wins on local speed and M-Pesa</w:t>
            </w:r>
          </w:p>
        </w:tc>
      </w:tr>
      <w:tr>
        <w:trPr>
          <w:cantSplit/>
        </w:trPr>
        <w:tc>
          <w:tcPr>
            <w:tcW w:w="1103" w:type="dxa"/>
          </w:tcPr>
          <w:p>
            <w:pPr>
              <w:pStyle w:val="Compact"/>
              <w:spacing w:after="40" w:before="40"/>
              <w:jc w:val="left"/>
            </w:pPr>
            <w:hyperlink r:id="rId39">
              <w:r>
                <w:rPr>
                  <w:rStyle w:val="Hyperlink"/>
                </w:rPr>
                <w:t xml:space="preserve">Giftpesa</w:t>
              </w:r>
            </w:hyperlink>
          </w:p>
        </w:tc>
        <w:tc>
          <w:tcPr>
            <w:tcW w:w="4579" w:type="dxa"/>
          </w:tcPr>
          <w:p>
            <w:pPr>
              <w:pStyle w:val="Compact"/>
              <w:spacing w:after="40" w:before="40"/>
              <w:jc w:val="left"/>
            </w:pPr>
            <w:r>
              <w:rPr>
                <w:sz w:val="18"/>
              </w:rPr>
              <w:t xml:space="preserve">Gift management platform that automates buying, disbursing and redeeming gift rewards</w:t>
            </w:r>
          </w:p>
        </w:tc>
        <w:tc>
          <w:tcPr>
            <w:tcW w:w="4209" w:type="dxa"/>
          </w:tcPr>
          <w:p>
            <w:pPr>
              <w:pStyle w:val="Compact"/>
              <w:spacing w:after="40" w:before="40"/>
              <w:jc w:val="left"/>
            </w:pPr>
            <w:r>
              <w:rPr>
                <w:sz w:val="18"/>
              </w:rPr>
              <w:t xml:space="preserve">Closest to a recognition and voucher product; TouchGift can add physical, same-day gifts</w:t>
            </w:r>
          </w:p>
        </w:tc>
      </w:tr>
      <w:tr>
        <w:trPr>
          <w:cantSplit/>
        </w:trPr>
        <w:tc>
          <w:tcPr>
            <w:tcW w:w="1103" w:type="dxa"/>
            <w:shd w:val="clear" w:color="auto" w:fill="F4F6F9"/>
          </w:tcPr>
          <w:p>
            <w:pPr>
              <w:pStyle w:val="Compact"/>
              <w:spacing w:after="40" w:before="40"/>
              <w:jc w:val="left"/>
            </w:pPr>
            <w:hyperlink r:id="rId39">
              <w:r>
                <w:rPr>
                  <w:rStyle w:val="Hyperlink"/>
                </w:rPr>
                <w:t xml:space="preserve">SureGifts</w:t>
              </w:r>
            </w:hyperlink>
          </w:p>
        </w:tc>
        <w:tc>
          <w:tcPr>
            <w:tcW w:w="4579" w:type="dxa"/>
            <w:shd w:val="clear" w:color="auto" w:fill="F4F6F9"/>
          </w:tcPr>
          <w:p>
            <w:pPr>
              <w:pStyle w:val="Compact"/>
              <w:spacing w:after="40" w:before="40"/>
              <w:jc w:val="left"/>
            </w:pPr>
            <w:r>
              <w:rPr>
                <w:sz w:val="18"/>
              </w:rPr>
              <w:t xml:space="preserve">Non-expiring vouchers redeemable at major supermarkets and restaurants</w:t>
            </w:r>
          </w:p>
        </w:tc>
        <w:tc>
          <w:tcPr>
            <w:tcW w:w="4209" w:type="dxa"/>
            <w:shd w:val="clear" w:color="auto" w:fill="F4F6F9"/>
          </w:tcPr>
          <w:p>
            <w:pPr>
              <w:pStyle w:val="Compact"/>
              <w:spacing w:after="40" w:before="40"/>
              <w:jc w:val="left"/>
            </w:pPr>
            <w:r>
              <w:rPr>
                <w:sz w:val="18"/>
              </w:rPr>
              <w:t xml:space="preserve">Shows demand for flexible vouchers; consider partner-redeemable options beside TouchGift gift cards</w:t>
            </w:r>
          </w:p>
        </w:tc>
      </w:tr>
      <w:tr>
        <w:trPr>
          <w:cantSplit/>
        </w:trPr>
        <w:tc>
          <w:tcPr>
            <w:tcW w:w="1103" w:type="dxa"/>
          </w:tcPr>
          <w:p>
            <w:pPr>
              <w:pStyle w:val="Compact"/>
              <w:spacing w:after="40" w:before="40"/>
              <w:jc w:val="left"/>
            </w:pPr>
            <w:hyperlink r:id="rId39">
              <w:r>
                <w:rPr>
                  <w:rStyle w:val="Hyperlink"/>
                </w:rPr>
                <w:t xml:space="preserve">Lazuli Corporate</w:t>
              </w:r>
            </w:hyperlink>
          </w:p>
        </w:tc>
        <w:tc>
          <w:tcPr>
            <w:tcW w:w="4579" w:type="dxa"/>
          </w:tcPr>
          <w:p>
            <w:pPr>
              <w:pStyle w:val="Compact"/>
              <w:spacing w:after="40" w:before="40"/>
              <w:jc w:val="left"/>
            </w:pPr>
            <w:r>
              <w:rPr>
                <w:sz w:val="18"/>
              </w:rPr>
              <w:t xml:space="preserve">Promotional products, corporate clothing and branding across East and Central Africa</w:t>
            </w:r>
          </w:p>
        </w:tc>
        <w:tc>
          <w:tcPr>
            <w:tcW w:w="4209" w:type="dxa"/>
          </w:tcPr>
          <w:p>
            <w:pPr>
              <w:pStyle w:val="Compact"/>
              <w:spacing w:after="40" w:before="40"/>
              <w:jc w:val="left"/>
            </w:pPr>
            <w:r>
              <w:rPr>
                <w:sz w:val="18"/>
              </w:rPr>
              <w:t xml:space="preserve">Competes on swag at scale; TouchGift competes on curation, delivery and software</w:t>
            </w:r>
          </w:p>
        </w:tc>
      </w:tr>
      <w:tr>
        <w:trPr>
          <w:cantSplit/>
        </w:trPr>
        <w:tc>
          <w:tcPr>
            <w:tcW w:w="1103" w:type="dxa"/>
            <w:shd w:val="clear" w:color="auto" w:fill="F4F6F9"/>
          </w:tcPr>
          <w:p>
            <w:pPr>
              <w:pStyle w:val="Compact"/>
              <w:spacing w:after="40" w:before="40"/>
              <w:jc w:val="left"/>
            </w:pPr>
            <w:hyperlink r:id="rId40">
              <w:r>
                <w:rPr>
                  <w:rStyle w:val="Hyperlink"/>
                </w:rPr>
                <w:t xml:space="preserve">Awardco</w:t>
              </w:r>
            </w:hyperlink>
            <w:r>
              <w:rPr>
                <w:sz w:val="18"/>
              </w:rPr>
              <w:t xml:space="preserve">,</w:t>
            </w:r>
            <w:r>
              <w:rPr>
                <w:sz w:val="18"/>
              </w:rPr>
              <w:t xml:space="preserve"> </w:t>
            </w:r>
            <w:hyperlink r:id="rId41">
              <w:r>
                <w:rPr>
                  <w:rStyle w:val="Hyperlink"/>
                </w:rPr>
                <w:t xml:space="preserve">Recognize</w:t>
              </w:r>
            </w:hyperlink>
            <w:r>
              <w:rPr>
                <w:sz w:val="18"/>
              </w:rPr>
              <w:t xml:space="preserve">,</w:t>
            </w:r>
            <w:r>
              <w:rPr>
                <w:sz w:val="18"/>
              </w:rPr>
              <w:t xml:space="preserve"> </w:t>
            </w:r>
            <w:hyperlink r:id="rId42">
              <w:r>
                <w:rPr>
                  <w:rStyle w:val="Hyperlink"/>
                </w:rPr>
                <w:t xml:space="preserve">Recnice</w:t>
              </w:r>
            </w:hyperlink>
          </w:p>
        </w:tc>
        <w:tc>
          <w:tcPr>
            <w:tcW w:w="4579" w:type="dxa"/>
            <w:shd w:val="clear" w:color="auto" w:fill="F4F6F9"/>
          </w:tcPr>
          <w:p>
            <w:pPr>
              <w:pStyle w:val="Compact"/>
              <w:spacing w:after="40" w:before="40"/>
              <w:jc w:val="left"/>
            </w:pPr>
            <w:r>
              <w:rPr>
                <w:sz w:val="18"/>
              </w:rPr>
              <w:t xml:space="preserve">Peer-to-peer recognition, automated milestones, physical reward cards for deskless staff, recognition from outsiders without login, swag stores, role-based permissions, budget tracking and forecasting; Recognize lists Kenya among 86 countries</w:t>
            </w:r>
          </w:p>
        </w:tc>
        <w:tc>
          <w:tcPr>
            <w:tcW w:w="4209" w:type="dxa"/>
            <w:shd w:val="clear" w:color="auto" w:fill="F4F6F9"/>
          </w:tcPr>
          <w:p>
            <w:pPr>
              <w:pStyle w:val="Compact"/>
              <w:spacing w:after="40" w:before="40"/>
              <w:jc w:val="left"/>
            </w:pPr>
            <w:r>
              <w:rPr>
                <w:sz w:val="18"/>
              </w:rPr>
              <w:t xml:space="preserve">A benchmark for the corporate roadmap; none of them is built around M-Pesa, WhatsApp and same-day Nairobi</w:t>
            </w:r>
          </w:p>
        </w:tc>
      </w:tr>
    </w:tbl>
    <w:bookmarkEnd w:id="43"/>
    <w:bookmarkEnd w:id="44"/>
    <w:bookmarkStart w:id="47" w:name="principles-the-roadmap-is-built-on"/>
    <w:p>
      <w:pPr>
        <w:pStyle w:val="Heading2"/>
      </w:pPr>
      <w:r>
        <w:t xml:space="preserve">Principles the roadmap is built on</w:t>
      </w:r>
    </w:p>
    <w:p>
      <w:pPr>
        <w:pStyle w:val="FirstParagraph"/>
      </w:pPr>
      <w:r>
        <w:t xml:space="preserve">Every feature below is judged against fifteen HCI and behavioural principles, plus five facts about how Kenyans pay, message and receive. A feature that fails two or more is redesigned or dropped.</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2560"/>
        <w:gridCol w:w="2418"/>
        <w:gridCol w:w="4913"/>
      </w:tblGrid>
      <w:tr>
        <w:trPr>
          <w:tblHeader w:val="true"/>
          <w:cantSplit/>
          <w:tblHeader/>
        </w:trPr>
        <w:tc>
          <w:tcPr>
            <w:tcW w:w="2560" w:type="dxa"/>
            <w:shd w:val="clear" w:color="auto" w:fill="1F3A5F"/>
          </w:tcPr>
          <w:p>
            <w:pPr>
              <w:pStyle w:val="Compact"/>
              <w:spacing w:after="40" w:before="40"/>
              <w:jc w:val="left"/>
            </w:pPr>
            <w:r>
              <w:rPr>
                <w:b/>
                <w:color w:val="FFFFFF"/>
                <w:sz w:val="18"/>
              </w:rPr>
              <w:t xml:space="preserve">Principle</w:t>
            </w:r>
          </w:p>
        </w:tc>
        <w:tc>
          <w:tcPr>
            <w:tcW w:w="2418" w:type="dxa"/>
            <w:shd w:val="clear" w:color="auto" w:fill="1F3A5F"/>
          </w:tcPr>
          <w:p>
            <w:pPr>
              <w:pStyle w:val="Compact"/>
              <w:spacing w:after="40" w:before="40"/>
              <w:jc w:val="left"/>
            </w:pPr>
            <w:r>
              <w:rPr>
                <w:b/>
                <w:color w:val="FFFFFF"/>
                <w:sz w:val="18"/>
              </w:rPr>
              <w:t xml:space="preserve">What it asks</w:t>
            </w:r>
          </w:p>
        </w:tc>
        <w:tc>
          <w:tcPr>
            <w:tcW w:w="4913" w:type="dxa"/>
            <w:shd w:val="clear" w:color="auto" w:fill="1F3A5F"/>
          </w:tcPr>
          <w:p>
            <w:pPr>
              <w:pStyle w:val="Compact"/>
              <w:spacing w:after="40" w:before="40"/>
              <w:jc w:val="left"/>
            </w:pPr>
            <w:r>
              <w:rPr>
                <w:b/>
                <w:color w:val="FFFFFF"/>
                <w:sz w:val="18"/>
              </w:rPr>
              <w:t xml:space="preserve">Where it shapes TouchGift</w:t>
            </w:r>
          </w:p>
        </w:tc>
      </w:tr>
      <w:tr>
        <w:trPr>
          <w:cantSplit/>
        </w:trPr>
        <w:tc>
          <w:tcPr>
            <w:tcW w:w="2560" w:type="dxa"/>
          </w:tcPr>
          <w:p>
            <w:pPr>
              <w:pStyle w:val="Compact"/>
              <w:spacing w:after="40" w:before="40"/>
              <w:jc w:val="left"/>
            </w:pPr>
            <w:r>
              <w:rPr>
                <w:sz w:val="18"/>
              </w:rPr>
              <w:t xml:space="preserve">Visibility of system status (Nielsen)</w:t>
            </w:r>
          </w:p>
        </w:tc>
        <w:tc>
          <w:tcPr>
            <w:tcW w:w="2418" w:type="dxa"/>
          </w:tcPr>
          <w:p>
            <w:pPr>
              <w:pStyle w:val="Compact"/>
              <w:spacing w:after="40" w:before="40"/>
              <w:jc w:val="left"/>
            </w:pPr>
            <w:r>
              <w:rPr>
                <w:sz w:val="18"/>
              </w:rPr>
              <w:t xml:space="preserve">Users always know what is happening</w:t>
            </w:r>
          </w:p>
        </w:tc>
        <w:tc>
          <w:tcPr>
            <w:tcW w:w="4913" w:type="dxa"/>
          </w:tcPr>
          <w:p>
            <w:pPr>
              <w:pStyle w:val="Compact"/>
              <w:spacing w:after="40" w:before="40"/>
              <w:jc w:val="left"/>
            </w:pPr>
            <w:r>
              <w:rPr>
                <w:sz w:val="18"/>
              </w:rPr>
              <w:t xml:space="preserve">Pool ledger, STK push states, rider tracking, bulk-upload validation, production stage of branded items</w:t>
            </w:r>
          </w:p>
        </w:tc>
      </w:tr>
      <w:tr>
        <w:trPr>
          <w:cantSplit/>
        </w:trPr>
        <w:tc>
          <w:tcPr>
            <w:tcW w:w="2560" w:type="dxa"/>
            <w:shd w:val="clear" w:color="auto" w:fill="F4F6F9"/>
          </w:tcPr>
          <w:p>
            <w:pPr>
              <w:pStyle w:val="Compact"/>
              <w:spacing w:after="40" w:before="40"/>
              <w:jc w:val="left"/>
            </w:pPr>
            <w:r>
              <w:rPr>
                <w:sz w:val="18"/>
              </w:rPr>
              <w:t xml:space="preserve">Match with the real world</w:t>
            </w:r>
          </w:p>
        </w:tc>
        <w:tc>
          <w:tcPr>
            <w:tcW w:w="2418" w:type="dxa"/>
            <w:shd w:val="clear" w:color="auto" w:fill="F4F6F9"/>
          </w:tcPr>
          <w:p>
            <w:pPr>
              <w:pStyle w:val="Compact"/>
              <w:spacing w:after="40" w:before="40"/>
              <w:jc w:val="left"/>
            </w:pPr>
            <w:r>
              <w:rPr>
                <w:sz w:val="18"/>
              </w:rPr>
              <w:t xml:space="preserve">Use the user’s words and mental models</w:t>
            </w:r>
          </w:p>
        </w:tc>
        <w:tc>
          <w:tcPr>
            <w:tcW w:w="4913" w:type="dxa"/>
            <w:shd w:val="clear" w:color="auto" w:fill="F4F6F9"/>
          </w:tcPr>
          <w:p>
            <w:pPr>
              <w:pStyle w:val="Compact"/>
              <w:spacing w:after="40" w:before="40"/>
              <w:jc w:val="left"/>
            </w:pPr>
            <w:r>
              <w:rPr>
                <w:sz w:val="18"/>
              </w:rPr>
              <w:t xml:space="preserve">M-Pesa terms, English and Swahili, chama norms, HR words such as cost centre and LPO</w:t>
            </w:r>
          </w:p>
        </w:tc>
      </w:tr>
      <w:tr>
        <w:trPr>
          <w:cantSplit/>
        </w:trPr>
        <w:tc>
          <w:tcPr>
            <w:tcW w:w="2560" w:type="dxa"/>
          </w:tcPr>
          <w:p>
            <w:pPr>
              <w:pStyle w:val="Compact"/>
              <w:spacing w:after="40" w:before="40"/>
              <w:jc w:val="left"/>
            </w:pPr>
            <w:r>
              <w:rPr>
                <w:sz w:val="18"/>
              </w:rPr>
              <w:t xml:space="preserve">User control and freedom</w:t>
            </w:r>
          </w:p>
        </w:tc>
        <w:tc>
          <w:tcPr>
            <w:tcW w:w="2418" w:type="dxa"/>
          </w:tcPr>
          <w:p>
            <w:pPr>
              <w:pStyle w:val="Compact"/>
              <w:spacing w:after="40" w:before="40"/>
              <w:jc w:val="left"/>
            </w:pPr>
            <w:r>
              <w:rPr>
                <w:sz w:val="18"/>
              </w:rPr>
              <w:t xml:space="preserve">Easy undo and exit</w:t>
            </w:r>
          </w:p>
        </w:tc>
        <w:tc>
          <w:tcPr>
            <w:tcW w:w="4913" w:type="dxa"/>
          </w:tcPr>
          <w:p>
            <w:pPr>
              <w:pStyle w:val="Compact"/>
              <w:spacing w:after="40" w:before="40"/>
              <w:jc w:val="left"/>
            </w:pPr>
            <w:r>
              <w:rPr>
                <w:sz w:val="18"/>
              </w:rPr>
              <w:t xml:space="preserve">Edit or cancel a pool, undo an upload, recipient reschedules delivery</w:t>
            </w:r>
          </w:p>
        </w:tc>
      </w:tr>
      <w:tr>
        <w:trPr>
          <w:cantSplit/>
        </w:trPr>
        <w:tc>
          <w:tcPr>
            <w:tcW w:w="2560" w:type="dxa"/>
            <w:shd w:val="clear" w:color="auto" w:fill="F4F6F9"/>
          </w:tcPr>
          <w:p>
            <w:pPr>
              <w:pStyle w:val="Compact"/>
              <w:spacing w:after="40" w:before="40"/>
              <w:jc w:val="left"/>
            </w:pPr>
            <w:r>
              <w:rPr>
                <w:sz w:val="18"/>
              </w:rPr>
              <w:t xml:space="preserve">Error prevention and Postel’s law</w:t>
            </w:r>
          </w:p>
        </w:tc>
        <w:tc>
          <w:tcPr>
            <w:tcW w:w="2418" w:type="dxa"/>
            <w:shd w:val="clear" w:color="auto" w:fill="F4F6F9"/>
          </w:tcPr>
          <w:p>
            <w:pPr>
              <w:pStyle w:val="Compact"/>
              <w:spacing w:after="40" w:before="40"/>
              <w:jc w:val="left"/>
            </w:pPr>
            <w:r>
              <w:rPr>
                <w:sz w:val="18"/>
              </w:rPr>
              <w:t xml:space="preserve">Accept messy input, prevent costly mistakes</w:t>
            </w:r>
          </w:p>
        </w:tc>
        <w:tc>
          <w:tcPr>
            <w:tcW w:w="4913" w:type="dxa"/>
            <w:shd w:val="clear" w:color="auto" w:fill="F4F6F9"/>
          </w:tcPr>
          <w:p>
            <w:pPr>
              <w:pStyle w:val="Compact"/>
              <w:spacing w:after="40" w:before="40"/>
              <w:jc w:val="left"/>
            </w:pPr>
            <w:r>
              <w:rPr>
                <w:sz w:val="18"/>
              </w:rPr>
              <w:t xml:space="preserve">Normalise +254 phone formats, detect duplicate rows, retry a failed STK push without restarting</w:t>
            </w:r>
          </w:p>
        </w:tc>
      </w:tr>
      <w:tr>
        <w:trPr>
          <w:cantSplit/>
        </w:trPr>
        <w:tc>
          <w:tcPr>
            <w:tcW w:w="2560" w:type="dxa"/>
          </w:tcPr>
          <w:p>
            <w:pPr>
              <w:pStyle w:val="Compact"/>
              <w:spacing w:after="40" w:before="40"/>
              <w:jc w:val="left"/>
            </w:pPr>
            <w:r>
              <w:rPr>
                <w:sz w:val="18"/>
              </w:rPr>
              <w:t xml:space="preserve">Recognition over recall</w:t>
            </w:r>
          </w:p>
        </w:tc>
        <w:tc>
          <w:tcPr>
            <w:tcW w:w="2418" w:type="dxa"/>
          </w:tcPr>
          <w:p>
            <w:pPr>
              <w:pStyle w:val="Compact"/>
              <w:spacing w:after="40" w:before="40"/>
              <w:jc w:val="left"/>
            </w:pPr>
            <w:r>
              <w:rPr>
                <w:sz w:val="18"/>
              </w:rPr>
              <w:t xml:space="preserve">Show options; do not make users remember</w:t>
            </w:r>
          </w:p>
        </w:tc>
        <w:tc>
          <w:tcPr>
            <w:tcW w:w="4913" w:type="dxa"/>
          </w:tcPr>
          <w:p>
            <w:pPr>
              <w:pStyle w:val="Compact"/>
              <w:spacing w:after="40" w:before="40"/>
              <w:jc w:val="left"/>
            </w:pPr>
            <w:r>
              <w:rPr>
                <w:sz w:val="18"/>
              </w:rPr>
              <w:t xml:space="preserve">Saved recipients, saved brand kit, past orders, occasion templates</w:t>
            </w:r>
          </w:p>
        </w:tc>
      </w:tr>
      <w:tr>
        <w:trPr>
          <w:cantSplit/>
        </w:trPr>
        <w:tc>
          <w:tcPr>
            <w:tcW w:w="2560" w:type="dxa"/>
            <w:shd w:val="clear" w:color="auto" w:fill="F4F6F9"/>
          </w:tcPr>
          <w:p>
            <w:pPr>
              <w:pStyle w:val="Compact"/>
              <w:spacing w:after="40" w:before="40"/>
              <w:jc w:val="left"/>
            </w:pPr>
            <w:r>
              <w:rPr>
                <w:sz w:val="18"/>
              </w:rPr>
              <w:t xml:space="preserve">Hick’s law and choice overload</w:t>
            </w:r>
          </w:p>
        </w:tc>
        <w:tc>
          <w:tcPr>
            <w:tcW w:w="2418" w:type="dxa"/>
            <w:shd w:val="clear" w:color="auto" w:fill="F4F6F9"/>
          </w:tcPr>
          <w:p>
            <w:pPr>
              <w:pStyle w:val="Compact"/>
              <w:spacing w:after="40" w:before="40"/>
              <w:jc w:val="left"/>
            </w:pPr>
            <w:r>
              <w:rPr>
                <w:sz w:val="18"/>
              </w:rPr>
              <w:t xml:space="preserve">More options mean slower decisions</w:t>
            </w:r>
          </w:p>
        </w:tc>
        <w:tc>
          <w:tcPr>
            <w:tcW w:w="4913" w:type="dxa"/>
            <w:shd w:val="clear" w:color="auto" w:fill="F4F6F9"/>
          </w:tcPr>
          <w:p>
            <w:pPr>
              <w:pStyle w:val="Compact"/>
              <w:spacing w:after="40" w:before="40"/>
              <w:jc w:val="left"/>
            </w:pPr>
            <w:r>
              <w:rPr>
                <w:sz w:val="18"/>
              </w:rPr>
              <w:t xml:space="preserve">711 gifts and 255 perfumes need narrowing: gift finder, budget bands, three-option recommendations</w:t>
            </w:r>
          </w:p>
        </w:tc>
      </w:tr>
      <w:tr>
        <w:trPr>
          <w:cantSplit/>
        </w:trPr>
        <w:tc>
          <w:tcPr>
            <w:tcW w:w="2560" w:type="dxa"/>
          </w:tcPr>
          <w:p>
            <w:pPr>
              <w:pStyle w:val="Compact"/>
              <w:spacing w:after="40" w:before="40"/>
              <w:jc w:val="left"/>
            </w:pPr>
            <w:r>
              <w:rPr>
                <w:sz w:val="18"/>
              </w:rPr>
              <w:t xml:space="preserve">Fitts’s law and Doherty threshold</w:t>
            </w:r>
          </w:p>
        </w:tc>
        <w:tc>
          <w:tcPr>
            <w:tcW w:w="2418" w:type="dxa"/>
          </w:tcPr>
          <w:p>
            <w:pPr>
              <w:pStyle w:val="Compact"/>
              <w:spacing w:after="40" w:before="40"/>
              <w:jc w:val="left"/>
            </w:pPr>
            <w:r>
              <w:rPr>
                <w:sz w:val="18"/>
              </w:rPr>
              <w:t xml:space="preserve">Big, near targets; feedback inside about 400 ms</w:t>
            </w:r>
          </w:p>
        </w:tc>
        <w:tc>
          <w:tcPr>
            <w:tcW w:w="4913" w:type="dxa"/>
          </w:tcPr>
          <w:p>
            <w:pPr>
              <w:pStyle w:val="Compact"/>
              <w:spacing w:after="40" w:before="40"/>
              <w:jc w:val="left"/>
            </w:pPr>
            <w:r>
              <w:rPr>
                <w:sz w:val="18"/>
              </w:rPr>
              <w:t xml:space="preserve">Sticky pay button in the thumb zone on mid-range Android; lightweight pages on mobile data</w:t>
            </w:r>
          </w:p>
        </w:tc>
      </w:tr>
      <w:tr>
        <w:trPr>
          <w:cantSplit/>
        </w:trPr>
        <w:tc>
          <w:tcPr>
            <w:tcW w:w="2560" w:type="dxa"/>
            <w:shd w:val="clear" w:color="auto" w:fill="F4F6F9"/>
          </w:tcPr>
          <w:p>
            <w:pPr>
              <w:pStyle w:val="Compact"/>
              <w:spacing w:after="40" w:before="40"/>
              <w:jc w:val="left"/>
            </w:pPr>
            <w:r>
              <w:rPr>
                <w:sz w:val="18"/>
              </w:rPr>
              <w:t xml:space="preserve">Goal-gradient and Zeigarnik effects</w:t>
            </w:r>
          </w:p>
        </w:tc>
        <w:tc>
          <w:tcPr>
            <w:tcW w:w="2418" w:type="dxa"/>
            <w:shd w:val="clear" w:color="auto" w:fill="F4F6F9"/>
          </w:tcPr>
          <w:p>
            <w:pPr>
              <w:pStyle w:val="Compact"/>
              <w:spacing w:after="40" w:before="40"/>
              <w:jc w:val="left"/>
            </w:pPr>
            <w:r>
              <w:rPr>
                <w:sz w:val="18"/>
              </w:rPr>
              <w:t xml:space="preserve">Progress toward a goal motivates; unfinished tasks nag</w:t>
            </w:r>
          </w:p>
        </w:tc>
        <w:tc>
          <w:tcPr>
            <w:tcW w:w="4913" w:type="dxa"/>
            <w:shd w:val="clear" w:color="auto" w:fill="F4F6F9"/>
          </w:tcPr>
          <w:p>
            <w:pPr>
              <w:pStyle w:val="Compact"/>
              <w:spacing w:after="40" w:before="40"/>
              <w:jc w:val="left"/>
            </w:pPr>
            <w:r>
              <w:rPr>
                <w:sz w:val="18"/>
              </w:rPr>
              <w:t xml:space="preserve">Pool progress bar,</w:t>
            </w:r>
            <w:r>
              <w:rPr>
                <w:sz w:val="18"/>
              </w:rPr>
              <w:t xml:space="preserve"> </w:t>
            </w:r>
            <w:r>
              <w:rPr>
                <w:sz w:val="18"/>
              </w:rPr>
              <w:t xml:space="preserve">“</w:t>
            </w:r>
            <w:r>
              <w:rPr>
                <w:sz w:val="18"/>
              </w:rPr>
              <w:t xml:space="preserve">two steps left</w:t>
            </w:r>
            <w:r>
              <w:rPr>
                <w:sz w:val="18"/>
              </w:rPr>
              <w:t xml:space="preserve">”</w:t>
            </w:r>
            <w:r>
              <w:rPr>
                <w:sz w:val="18"/>
              </w:rPr>
              <w:t xml:space="preserve"> </w:t>
            </w:r>
            <w:r>
              <w:rPr>
                <w:sz w:val="18"/>
              </w:rPr>
              <w:t xml:space="preserve">on upload, recoverable abandoned carts</w:t>
            </w:r>
          </w:p>
        </w:tc>
      </w:tr>
      <w:tr>
        <w:trPr>
          <w:cantSplit/>
        </w:trPr>
        <w:tc>
          <w:tcPr>
            <w:tcW w:w="2560" w:type="dxa"/>
          </w:tcPr>
          <w:p>
            <w:pPr>
              <w:pStyle w:val="Compact"/>
              <w:spacing w:after="40" w:before="40"/>
              <w:jc w:val="left"/>
            </w:pPr>
            <w:r>
              <w:rPr>
                <w:sz w:val="18"/>
              </w:rPr>
              <w:t xml:space="preserve">Peak-end rule</w:t>
            </w:r>
          </w:p>
        </w:tc>
        <w:tc>
          <w:tcPr>
            <w:tcW w:w="2418" w:type="dxa"/>
          </w:tcPr>
          <w:p>
            <w:pPr>
              <w:pStyle w:val="Compact"/>
              <w:spacing w:after="40" w:before="40"/>
              <w:jc w:val="left"/>
            </w:pPr>
            <w:r>
              <w:rPr>
                <w:sz w:val="18"/>
              </w:rPr>
              <w:t xml:space="preserve">People remember the peak and the ending</w:t>
            </w:r>
          </w:p>
        </w:tc>
        <w:tc>
          <w:tcPr>
            <w:tcW w:w="4913" w:type="dxa"/>
          </w:tcPr>
          <w:p>
            <w:pPr>
              <w:pStyle w:val="Compact"/>
              <w:spacing w:after="40" w:before="40"/>
              <w:jc w:val="left"/>
            </w:pPr>
            <w:r>
              <w:rPr>
                <w:sz w:val="18"/>
              </w:rPr>
              <w:t xml:space="preserve">Invest in unboxing and the delivery photo, not only the checkout</w:t>
            </w:r>
          </w:p>
        </w:tc>
      </w:tr>
      <w:tr>
        <w:trPr>
          <w:cantSplit/>
        </w:trPr>
        <w:tc>
          <w:tcPr>
            <w:tcW w:w="2560" w:type="dxa"/>
            <w:shd w:val="clear" w:color="auto" w:fill="F4F6F9"/>
          </w:tcPr>
          <w:p>
            <w:pPr>
              <w:pStyle w:val="Compact"/>
              <w:spacing w:after="40" w:before="40"/>
              <w:jc w:val="left"/>
            </w:pPr>
            <w:r>
              <w:rPr>
                <w:sz w:val="18"/>
              </w:rPr>
              <w:t xml:space="preserve">Social proof, reciprocity, commitment (Cialdini)</w:t>
            </w:r>
          </w:p>
        </w:tc>
        <w:tc>
          <w:tcPr>
            <w:tcW w:w="2418" w:type="dxa"/>
            <w:shd w:val="clear" w:color="auto" w:fill="F4F6F9"/>
          </w:tcPr>
          <w:p>
            <w:pPr>
              <w:pStyle w:val="Compact"/>
              <w:spacing w:after="40" w:before="40"/>
              <w:jc w:val="left"/>
            </w:pPr>
            <w:r>
              <w:rPr>
                <w:sz w:val="18"/>
              </w:rPr>
              <w:t xml:space="preserve">People follow peers and return favours</w:t>
            </w:r>
          </w:p>
        </w:tc>
        <w:tc>
          <w:tcPr>
            <w:tcW w:w="4913" w:type="dxa"/>
            <w:shd w:val="clear" w:color="auto" w:fill="F4F6F9"/>
          </w:tcPr>
          <w:p>
            <w:pPr>
              <w:pStyle w:val="Compact"/>
              <w:spacing w:after="40" w:before="40"/>
              <w:jc w:val="left"/>
            </w:pPr>
            <w:r>
              <w:rPr>
                <w:sz w:val="18"/>
              </w:rPr>
              <w:t xml:space="preserve">Contributor counts, thank-you loops; no coercion in workplace pools</w:t>
            </w:r>
          </w:p>
        </w:tc>
      </w:tr>
      <w:tr>
        <w:trPr>
          <w:cantSplit/>
        </w:trPr>
        <w:tc>
          <w:tcPr>
            <w:tcW w:w="2560" w:type="dxa"/>
          </w:tcPr>
          <w:p>
            <w:pPr>
              <w:pStyle w:val="Compact"/>
              <w:spacing w:after="40" w:before="40"/>
              <w:jc w:val="left"/>
            </w:pPr>
            <w:r>
              <w:rPr>
                <w:sz w:val="18"/>
              </w:rPr>
              <w:t xml:space="preserve">Fogg Behavior Model</w:t>
            </w:r>
          </w:p>
        </w:tc>
        <w:tc>
          <w:tcPr>
            <w:tcW w:w="2418" w:type="dxa"/>
          </w:tcPr>
          <w:p>
            <w:pPr>
              <w:pStyle w:val="Compact"/>
              <w:spacing w:after="40" w:before="40"/>
              <w:jc w:val="left"/>
            </w:pPr>
            <w:r>
              <w:rPr>
                <w:sz w:val="18"/>
              </w:rPr>
              <w:t xml:space="preserve">Behaviour needs motivation, ability and a prompt</w:t>
            </w:r>
          </w:p>
        </w:tc>
        <w:tc>
          <w:tcPr>
            <w:tcW w:w="4913" w:type="dxa"/>
          </w:tcPr>
          <w:p>
            <w:pPr>
              <w:pStyle w:val="Compact"/>
              <w:spacing w:after="40" w:before="40"/>
              <w:jc w:val="left"/>
            </w:pPr>
            <w:r>
              <w:rPr>
                <w:sz w:val="18"/>
              </w:rPr>
              <w:t xml:space="preserve">The occasion is motivation, one-tap M-Pesa is ability, a WhatsApp message is the prompt</w:t>
            </w:r>
          </w:p>
        </w:tc>
      </w:tr>
      <w:tr>
        <w:trPr>
          <w:cantSplit/>
        </w:trPr>
        <w:tc>
          <w:tcPr>
            <w:tcW w:w="2560" w:type="dxa"/>
            <w:shd w:val="clear" w:color="auto" w:fill="F4F6F9"/>
          </w:tcPr>
          <w:p>
            <w:pPr>
              <w:pStyle w:val="Compact"/>
              <w:spacing w:after="40" w:before="40"/>
              <w:jc w:val="left"/>
            </w:pPr>
            <w:r>
              <w:rPr>
                <w:sz w:val="18"/>
              </w:rPr>
              <w:t xml:space="preserve">Defaults and choice architecture</w:t>
            </w:r>
          </w:p>
        </w:tc>
        <w:tc>
          <w:tcPr>
            <w:tcW w:w="2418" w:type="dxa"/>
            <w:shd w:val="clear" w:color="auto" w:fill="F4F6F9"/>
          </w:tcPr>
          <w:p>
            <w:pPr>
              <w:pStyle w:val="Compact"/>
              <w:spacing w:after="40" w:before="40"/>
              <w:jc w:val="left"/>
            </w:pPr>
            <w:r>
              <w:rPr>
                <w:sz w:val="18"/>
              </w:rPr>
              <w:t xml:space="preserve">Defaults steer most users</w:t>
            </w:r>
          </w:p>
        </w:tc>
        <w:tc>
          <w:tcPr>
            <w:tcW w:w="4913" w:type="dxa"/>
            <w:shd w:val="clear" w:color="auto" w:fill="F4F6F9"/>
          </w:tcPr>
          <w:p>
            <w:pPr>
              <w:pStyle w:val="Compact"/>
              <w:spacing w:after="40" w:before="40"/>
              <w:jc w:val="left"/>
            </w:pPr>
            <w:r>
              <w:rPr>
                <w:sz w:val="18"/>
              </w:rPr>
              <w:t xml:space="preserve">Suggested contribution amounts, sensible gift tiers, opt-in reminders</w:t>
            </w:r>
          </w:p>
        </w:tc>
      </w:tr>
      <w:tr>
        <w:trPr>
          <w:cantSplit/>
        </w:trPr>
        <w:tc>
          <w:tcPr>
            <w:tcW w:w="2560" w:type="dxa"/>
          </w:tcPr>
          <w:p>
            <w:pPr>
              <w:pStyle w:val="Compact"/>
              <w:spacing w:after="40" w:before="40"/>
              <w:jc w:val="left"/>
            </w:pPr>
            <w:r>
              <w:rPr>
                <w:sz w:val="18"/>
              </w:rPr>
              <w:t xml:space="preserve">Tesler’s law</w:t>
            </w:r>
          </w:p>
        </w:tc>
        <w:tc>
          <w:tcPr>
            <w:tcW w:w="2418" w:type="dxa"/>
          </w:tcPr>
          <w:p>
            <w:pPr>
              <w:pStyle w:val="Compact"/>
              <w:spacing w:after="40" w:before="40"/>
              <w:jc w:val="left"/>
            </w:pPr>
            <w:r>
              <w:rPr>
                <w:sz w:val="18"/>
              </w:rPr>
              <w:t xml:space="preserve">Complexity cannot be removed, only moved</w:t>
            </w:r>
          </w:p>
        </w:tc>
        <w:tc>
          <w:tcPr>
            <w:tcW w:w="4913" w:type="dxa"/>
          </w:tcPr>
          <w:p>
            <w:pPr>
              <w:pStyle w:val="Compact"/>
              <w:spacing w:after="40" w:before="40"/>
              <w:jc w:val="left"/>
            </w:pPr>
            <w:r>
              <w:rPr>
                <w:sz w:val="18"/>
              </w:rPr>
              <w:t xml:space="preserve">Addresses, tax invoices and logo placement should be absorbed by the system, not the user</w:t>
            </w:r>
          </w:p>
        </w:tc>
      </w:tr>
      <w:tr>
        <w:trPr>
          <w:cantSplit/>
        </w:trPr>
        <w:tc>
          <w:tcPr>
            <w:tcW w:w="2560" w:type="dxa"/>
            <w:shd w:val="clear" w:color="auto" w:fill="F4F6F9"/>
          </w:tcPr>
          <w:p>
            <w:pPr>
              <w:pStyle w:val="Compact"/>
              <w:spacing w:after="40" w:before="40"/>
              <w:jc w:val="left"/>
            </w:pPr>
            <w:r>
              <w:rPr>
                <w:sz w:val="18"/>
              </w:rPr>
              <w:t xml:space="preserve">Credibility and trust (Fogg, Baymard)</w:t>
            </w:r>
          </w:p>
        </w:tc>
        <w:tc>
          <w:tcPr>
            <w:tcW w:w="2418" w:type="dxa"/>
            <w:shd w:val="clear" w:color="auto" w:fill="F4F6F9"/>
          </w:tcPr>
          <w:p>
            <w:pPr>
              <w:pStyle w:val="Compact"/>
              <w:spacing w:after="40" w:before="40"/>
              <w:jc w:val="left"/>
            </w:pPr>
            <w:r>
              <w:rPr>
                <w:sz w:val="18"/>
              </w:rPr>
              <w:t xml:space="preserve">Real proof, visible costs, human contact</w:t>
            </w:r>
          </w:p>
        </w:tc>
        <w:tc>
          <w:tcPr>
            <w:tcW w:w="4913" w:type="dxa"/>
            <w:shd w:val="clear" w:color="auto" w:fill="F4F6F9"/>
          </w:tcPr>
          <w:p>
            <w:pPr>
              <w:pStyle w:val="Compact"/>
              <w:spacing w:after="40" w:before="40"/>
              <w:jc w:val="left"/>
            </w:pPr>
            <w:r>
              <w:rPr>
                <w:sz w:val="18"/>
              </w:rPr>
              <w:t xml:space="preserve">Real counters, fees shown early, policies near the pay button, named riders</w:t>
            </w:r>
          </w:p>
        </w:tc>
      </w:tr>
      <w:tr>
        <w:trPr>
          <w:cantSplit/>
        </w:trPr>
        <w:tc>
          <w:tcPr>
            <w:tcW w:w="2560" w:type="dxa"/>
          </w:tcPr>
          <w:p>
            <w:pPr>
              <w:pStyle w:val="Compact"/>
              <w:spacing w:after="40" w:before="40"/>
              <w:jc w:val="left"/>
            </w:pPr>
            <w:r>
              <w:rPr>
                <w:sz w:val="18"/>
              </w:rPr>
              <w:t xml:space="preserve">Inclusive and ethical design (WCAG 2.2, privacy by design)</w:t>
            </w:r>
          </w:p>
        </w:tc>
        <w:tc>
          <w:tcPr>
            <w:tcW w:w="2418" w:type="dxa"/>
          </w:tcPr>
          <w:p>
            <w:pPr>
              <w:pStyle w:val="Compact"/>
              <w:spacing w:after="40" w:before="40"/>
              <w:jc w:val="left"/>
            </w:pPr>
            <w:r>
              <w:rPr>
                <w:sz w:val="18"/>
              </w:rPr>
              <w:t xml:space="preserve">Usable by everyone; no manipulation</w:t>
            </w:r>
          </w:p>
        </w:tc>
        <w:tc>
          <w:tcPr>
            <w:tcW w:w="4913" w:type="dxa"/>
          </w:tcPr>
          <w:p>
            <w:pPr>
              <w:pStyle w:val="Compact"/>
              <w:spacing w:after="40" w:before="40"/>
              <w:jc w:val="left"/>
            </w:pPr>
            <w:r>
              <w:rPr>
                <w:sz w:val="18"/>
              </w:rPr>
              <w:t xml:space="preserve">Pause controls, contrast, bilingual copy, no dark patterns in pools, minimal recipient data under Kenya’s Data Protection Act, 2019</w:t>
            </w:r>
          </w:p>
        </w:tc>
      </w:tr>
    </w:tbl>
    <w:bookmarkStart w:id="45" w:name="kenya-specific-context"/>
    <w:p>
      <w:pPr>
        <w:pStyle w:val="Heading3"/>
      </w:pPr>
      <w:r>
        <w:t xml:space="preserve">Kenya-specific context</w:t>
      </w:r>
    </w:p>
    <w:p>
      <w:pPr>
        <w:pStyle w:val="FirstParagraph"/>
      </w:pPr>
      <w:r>
        <w:t xml:space="preserve">These are working assumptions from general knowledge, so confirm them in user tests.</w:t>
      </w:r>
    </w:p>
    <w:p>
      <w:pPr>
        <w:numPr>
          <w:ilvl w:val="0"/>
          <w:numId w:val="1003"/>
        </w:numPr>
        <w:pStyle w:val="Compact"/>
      </w:pPr>
      <w:r>
        <w:t xml:space="preserve">The M-Pesa flow (phone prompt, PIN, confirmation SMS) is a learned habit. Mirror it; do not hide the phone-prompt step.</w:t>
      </w:r>
    </w:p>
    <w:p>
      <w:pPr>
        <w:numPr>
          <w:ilvl w:val="0"/>
          <w:numId w:val="1003"/>
        </w:numPr>
        <w:pStyle w:val="Compact"/>
      </w:pPr>
      <w:r>
        <w:t xml:space="preserve">WhatsApp is the default channel. Treat it as an interface, not a notification add-on. WhatsApp Business messaging needs recipient opt-in and approved templates.</w:t>
      </w:r>
    </w:p>
    <w:p>
      <w:pPr>
        <w:numPr>
          <w:ilvl w:val="0"/>
          <w:numId w:val="1003"/>
        </w:numPr>
        <w:pStyle w:val="Compact"/>
      </w:pPr>
      <w:r>
        <w:t xml:space="preserve">Many addresses are landmark-based. Ask the recipient for a pin or landmark rather than trusting a typed address.</w:t>
      </w:r>
    </w:p>
    <w:p>
      <w:pPr>
        <w:numPr>
          <w:ilvl w:val="0"/>
          <w:numId w:val="1003"/>
        </w:numPr>
        <w:pStyle w:val="Compact"/>
      </w:pPr>
      <w:r>
        <w:t xml:space="preserve">Customers are often on mid-range Android phones and mobile data. Keep pages light and tolerant of weak networks.</w:t>
      </w:r>
    </w:p>
    <w:p>
      <w:pPr>
        <w:numPr>
          <w:ilvl w:val="0"/>
          <w:numId w:val="1003"/>
        </w:numPr>
        <w:pStyle w:val="Compact"/>
      </w:pPr>
      <w:r>
        <w:t xml:space="preserve">Online trust is earned by visible humans: a named rider, a real shop address, photos, and a fast reply.</w:t>
      </w:r>
    </w:p>
    <w:bookmarkEnd w:id="45"/>
    <w:bookmarkStart w:id="46" w:name="how-to-test-before-building"/>
    <w:p>
      <w:pPr>
        <w:pStyle w:val="Heading3"/>
      </w:pPr>
      <w:r>
        <w:t xml:space="preserve">How to test before building</w:t>
      </w:r>
    </w:p>
    <w:p>
      <w:pPr>
        <w:pStyle w:val="FirstParagraph"/>
      </w:pPr>
      <w:r>
        <w:t xml:space="preserve">Run about five moderated usability tests per role (gift giver, pool contributor, HR admin, finance approver, recipient), a heuristic review by two or three reviewers, and funnel analytics on each flow. Track task success, time on task, and a System Usability Scale score for each role.</w:t>
      </w:r>
    </w:p>
    <w:bookmarkEnd w:id="46"/>
    <w:bookmarkEnd w:id="47"/>
    <w:bookmarkStart w:id="53" w:name="main-platform-features-and-the-why"/>
    <w:p>
      <w:pPr>
        <w:pStyle w:val="Heading2"/>
      </w:pPr>
      <w:r>
        <w:t xml:space="preserve">Main platform: features and the why</w:t>
      </w:r>
    </w:p>
    <w:p>
      <w:pPr>
        <w:pStyle w:val="FirstParagraph"/>
      </w:pPr>
      <w:r>
        <w:t xml:space="preserve">Twenty consumer features, grouped by where they remove friction, with five marked P0 (start now). Priority key: P0 start now, P1 next quarter, P2 later. Effort key: S under two weeks, M two to six weeks, L longer.</w:t>
      </w:r>
    </w:p>
    <w:bookmarkStart w:id="48" w:name="discover-and-decide"/>
    <w:p>
      <w:pPr>
        <w:pStyle w:val="Heading3"/>
      </w:pPr>
      <w:r>
        <w:t xml:space="preserve">Discover and decide</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512"/>
        <w:gridCol w:w="3672"/>
        <w:gridCol w:w="1630"/>
        <w:gridCol w:w="2400"/>
        <w:gridCol w:w="674"/>
      </w:tblGrid>
      <w:tr>
        <w:trPr>
          <w:tblHeader w:val="true"/>
          <w:cantSplit/>
          <w:tblHeader/>
        </w:trPr>
        <w:tc>
          <w:tcPr>
            <w:tcW w:w="1512" w:type="dxa"/>
            <w:shd w:val="clear" w:color="auto" w:fill="1F3A5F"/>
          </w:tcPr>
          <w:p>
            <w:pPr>
              <w:pStyle w:val="Compact"/>
              <w:spacing w:after="40" w:before="40"/>
              <w:jc w:val="left"/>
            </w:pPr>
            <w:r>
              <w:rPr>
                <w:b/>
                <w:color w:val="FFFFFF"/>
                <w:sz w:val="17"/>
              </w:rPr>
              <w:t xml:space="preserve">Feature</w:t>
            </w:r>
          </w:p>
        </w:tc>
        <w:tc>
          <w:tcPr>
            <w:tcW w:w="3672" w:type="dxa"/>
            <w:shd w:val="clear" w:color="auto" w:fill="1F3A5F"/>
          </w:tcPr>
          <w:p>
            <w:pPr>
              <w:pStyle w:val="Compact"/>
              <w:spacing w:after="40" w:before="40"/>
              <w:jc w:val="left"/>
            </w:pPr>
            <w:r>
              <w:rPr>
                <w:b/>
                <w:color w:val="FFFFFF"/>
                <w:sz w:val="17"/>
              </w:rPr>
              <w:t xml:space="preserve">What it does</w:t>
            </w:r>
          </w:p>
        </w:tc>
        <w:tc>
          <w:tcPr>
            <w:tcW w:w="1630" w:type="dxa"/>
            <w:shd w:val="clear" w:color="auto" w:fill="1F3A5F"/>
          </w:tcPr>
          <w:p>
            <w:pPr>
              <w:pStyle w:val="Compact"/>
              <w:spacing w:after="40" w:before="40"/>
              <w:jc w:val="left"/>
            </w:pPr>
            <w:r>
              <w:rPr>
                <w:b/>
                <w:color w:val="FFFFFF"/>
                <w:sz w:val="17"/>
              </w:rPr>
              <w:t xml:space="preserve">Why</w:t>
            </w:r>
          </w:p>
        </w:tc>
        <w:tc>
          <w:tcPr>
            <w:tcW w:w="2400" w:type="dxa"/>
            <w:shd w:val="clear" w:color="auto" w:fill="1F3A5F"/>
          </w:tcPr>
          <w:p>
            <w:pPr>
              <w:pStyle w:val="Compact"/>
              <w:spacing w:after="40" w:before="40"/>
              <w:jc w:val="left"/>
            </w:pPr>
            <w:r>
              <w:rPr>
                <w:b/>
                <w:color w:val="FFFFFF"/>
                <w:sz w:val="17"/>
              </w:rPr>
              <w:t xml:space="preserve">Commercial angle</w:t>
            </w:r>
          </w:p>
        </w:tc>
        <w:tc>
          <w:tcPr>
            <w:tcW w:w="674" w:type="dxa"/>
            <w:shd w:val="clear" w:color="auto" w:fill="1F3A5F"/>
          </w:tcPr>
          <w:p>
            <w:pPr>
              <w:pStyle w:val="Compact"/>
              <w:spacing w:after="40" w:before="40"/>
              <w:jc w:val="left"/>
            </w:pPr>
            <w:r>
              <w:rPr>
                <w:b/>
                <w:color w:val="FFFFFF"/>
                <w:sz w:val="17"/>
              </w:rPr>
              <w:t xml:space="preserve">Pri · Effort</w:t>
            </w:r>
          </w:p>
        </w:tc>
      </w:tr>
      <w:tr>
        <w:trPr>
          <w:cantSplit/>
        </w:trPr>
        <w:tc>
          <w:tcPr>
            <w:tcW w:w="1512" w:type="dxa"/>
          </w:tcPr>
          <w:p>
            <w:pPr>
              <w:pStyle w:val="Compact"/>
              <w:spacing w:after="40" w:before="40"/>
              <w:jc w:val="left"/>
            </w:pPr>
            <w:r>
              <w:rPr>
                <w:sz w:val="17"/>
              </w:rPr>
              <w:t xml:space="preserve">M1 Recipient profiles</w:t>
            </w:r>
          </w:p>
        </w:tc>
        <w:tc>
          <w:tcPr>
            <w:tcW w:w="3672" w:type="dxa"/>
          </w:tcPr>
          <w:p>
            <w:pPr>
              <w:pStyle w:val="Compact"/>
              <w:spacing w:after="40" w:before="40"/>
              <w:jc w:val="left"/>
            </w:pPr>
            <w:r>
              <w:rPr>
                <w:sz w:val="17"/>
              </w:rPr>
              <w:t xml:space="preserve">Save each recipient’s birthday, scent and size notes, dietary preferences the sender enters, and a log of gifts already sent</w:t>
            </w:r>
          </w:p>
        </w:tc>
        <w:tc>
          <w:tcPr>
            <w:tcW w:w="1630" w:type="dxa"/>
          </w:tcPr>
          <w:p>
            <w:pPr>
              <w:pStyle w:val="Compact"/>
              <w:spacing w:after="40" w:before="40"/>
              <w:jc w:val="left"/>
            </w:pPr>
            <w:r>
              <w:rPr>
                <w:sz w:val="17"/>
              </w:rPr>
              <w:t xml:space="preserve">Recognition over recall; stops repeat gifts and retyping</w:t>
            </w:r>
          </w:p>
        </w:tc>
        <w:tc>
          <w:tcPr>
            <w:tcW w:w="2400" w:type="dxa"/>
          </w:tcPr>
          <w:p>
            <w:pPr>
              <w:pStyle w:val="Compact"/>
              <w:spacing w:after="40" w:before="40"/>
              <w:jc w:val="left"/>
            </w:pPr>
            <w:r>
              <w:rPr>
                <w:sz w:val="17"/>
              </w:rPr>
              <w:t xml:space="preserve">Raises repeat orders; feeds reminders and the finder</w:t>
            </w:r>
          </w:p>
        </w:tc>
        <w:tc>
          <w:tcPr>
            <w:tcW w:w="674" w:type="dxa"/>
          </w:tcPr>
          <w:p>
            <w:pPr>
              <w:pStyle w:val="Compact"/>
              <w:spacing w:after="40" w:before="40"/>
              <w:jc w:val="left"/>
            </w:pPr>
            <w:r>
              <w:rPr>
                <w:sz w:val="17"/>
              </w:rPr>
              <w:t xml:space="preserve">P1 · M</w:t>
            </w:r>
          </w:p>
        </w:tc>
      </w:tr>
      <w:tr>
        <w:trPr>
          <w:cantSplit/>
        </w:trPr>
        <w:tc>
          <w:tcPr>
            <w:tcW w:w="1512" w:type="dxa"/>
            <w:shd w:val="clear" w:color="auto" w:fill="F4F6F9"/>
          </w:tcPr>
          <w:p>
            <w:pPr>
              <w:pStyle w:val="Compact"/>
              <w:spacing w:after="40" w:before="40"/>
              <w:jc w:val="left"/>
            </w:pPr>
            <w:r>
              <w:rPr>
                <w:sz w:val="17"/>
              </w:rPr>
              <w:t xml:space="preserve">M2 Gift Finder on WhatsApp</w:t>
            </w:r>
          </w:p>
        </w:tc>
        <w:tc>
          <w:tcPr>
            <w:tcW w:w="3672" w:type="dxa"/>
            <w:shd w:val="clear" w:color="auto" w:fill="F4F6F9"/>
          </w:tcPr>
          <w:p>
            <w:pPr>
              <w:pStyle w:val="Compact"/>
              <w:spacing w:after="40" w:before="40"/>
              <w:jc w:val="left"/>
            </w:pPr>
            <w:r>
              <w:rPr>
                <w:sz w:val="17"/>
              </w:rPr>
              <w:t xml:space="preserve">Describe the person in a sentence or voice note; get three options, each with a one-line reason</w:t>
            </w:r>
          </w:p>
        </w:tc>
        <w:tc>
          <w:tcPr>
            <w:tcW w:w="1630" w:type="dxa"/>
            <w:shd w:val="clear" w:color="auto" w:fill="F4F6F9"/>
          </w:tcPr>
          <w:p>
            <w:pPr>
              <w:pStyle w:val="Compact"/>
              <w:spacing w:after="40" w:before="40"/>
              <w:jc w:val="left"/>
            </w:pPr>
            <w:r>
              <w:rPr>
                <w:sz w:val="17"/>
              </w:rPr>
              <w:t xml:space="preserve">Hick’s law; Fogg ability; matches WhatsApp habit</w:t>
            </w:r>
          </w:p>
        </w:tc>
        <w:tc>
          <w:tcPr>
            <w:tcW w:w="2400" w:type="dxa"/>
            <w:shd w:val="clear" w:color="auto" w:fill="F4F6F9"/>
          </w:tcPr>
          <w:p>
            <w:pPr>
              <w:pStyle w:val="Compact"/>
              <w:spacing w:after="40" w:before="40"/>
              <w:jc w:val="left"/>
            </w:pPr>
            <w:r>
              <w:rPr>
                <w:sz w:val="17"/>
              </w:rPr>
              <w:t xml:space="preserve">Captures last-minute buyers at low acquisition cost</w:t>
            </w:r>
          </w:p>
        </w:tc>
        <w:tc>
          <w:tcPr>
            <w:tcW w:w="674" w:type="dxa"/>
            <w:shd w:val="clear" w:color="auto" w:fill="F4F6F9"/>
          </w:tcPr>
          <w:p>
            <w:pPr>
              <w:pStyle w:val="Compact"/>
              <w:spacing w:after="40" w:before="40"/>
              <w:jc w:val="left"/>
            </w:pPr>
            <w:r>
              <w:rPr>
                <w:sz w:val="17"/>
              </w:rPr>
              <w:t xml:space="preserve">P1 · M</w:t>
            </w:r>
          </w:p>
        </w:tc>
      </w:tr>
      <w:tr>
        <w:trPr>
          <w:cantSplit/>
        </w:trPr>
        <w:tc>
          <w:tcPr>
            <w:tcW w:w="1512" w:type="dxa"/>
          </w:tcPr>
          <w:p>
            <w:pPr>
              <w:pStyle w:val="Compact"/>
              <w:spacing w:after="40" w:before="40"/>
              <w:jc w:val="left"/>
            </w:pPr>
            <w:r>
              <w:rPr>
                <w:sz w:val="17"/>
              </w:rPr>
              <w:t xml:space="preserve">M3 Kenyan occasion calendar</w:t>
            </w:r>
          </w:p>
        </w:tc>
        <w:tc>
          <w:tcPr>
            <w:tcW w:w="3672" w:type="dxa"/>
          </w:tcPr>
          <w:p>
            <w:pPr>
              <w:pStyle w:val="Compact"/>
              <w:spacing w:after="40" w:before="40"/>
              <w:jc w:val="left"/>
            </w:pPr>
            <w:r>
              <w:rPr>
                <w:sz w:val="17"/>
              </w:rPr>
              <w:t xml:space="preserve">Pre-season pages and</w:t>
            </w:r>
            <w:r>
              <w:rPr>
                <w:sz w:val="17"/>
              </w:rPr>
              <w:t xml:space="preserve"> </w:t>
            </w:r>
            <w:r>
              <w:rPr>
                <w:sz w:val="17"/>
              </w:rPr>
              <w:t xml:space="preserve">“</w:t>
            </w:r>
            <w:r>
              <w:rPr>
                <w:sz w:val="17"/>
              </w:rPr>
              <w:t xml:space="preserve">last order date</w:t>
            </w:r>
            <w:r>
              <w:rPr>
                <w:sz w:val="17"/>
              </w:rPr>
              <w:t xml:space="preserve">”</w:t>
            </w:r>
            <w:r>
              <w:rPr>
                <w:sz w:val="17"/>
              </w:rPr>
              <w:t xml:space="preserve"> </w:t>
            </w:r>
            <w:r>
              <w:rPr>
                <w:sz w:val="17"/>
              </w:rPr>
              <w:t xml:space="preserve">badges for Valentine’s Day, Women’s Day, Mother’s Day, Easter, Eid, Father’s Day, graduations, back-to-school, Black Friday, Christmas</w:t>
            </w:r>
          </w:p>
        </w:tc>
        <w:tc>
          <w:tcPr>
            <w:tcW w:w="1630" w:type="dxa"/>
          </w:tcPr>
          <w:p>
            <w:pPr>
              <w:pStyle w:val="Compact"/>
              <w:spacing w:after="40" w:before="40"/>
              <w:jc w:val="left"/>
            </w:pPr>
            <w:r>
              <w:rPr>
                <w:sz w:val="17"/>
              </w:rPr>
              <w:t xml:space="preserve">Clear deadlines trigger action; matches real-world rhythms</w:t>
            </w:r>
          </w:p>
        </w:tc>
        <w:tc>
          <w:tcPr>
            <w:tcW w:w="2400" w:type="dxa"/>
          </w:tcPr>
          <w:p>
            <w:pPr>
              <w:pStyle w:val="Compact"/>
              <w:spacing w:after="40" w:before="40"/>
              <w:jc w:val="left"/>
            </w:pPr>
            <w:r>
              <w:rPr>
                <w:sz w:val="17"/>
              </w:rPr>
              <w:t xml:space="preserve">Concentrates demand into predictable peaks that can be staffed</w:t>
            </w:r>
          </w:p>
        </w:tc>
        <w:tc>
          <w:tcPr>
            <w:tcW w:w="674" w:type="dxa"/>
          </w:tcPr>
          <w:p>
            <w:pPr>
              <w:pStyle w:val="Compact"/>
              <w:spacing w:after="40" w:before="40"/>
              <w:jc w:val="left"/>
            </w:pPr>
            <w:r>
              <w:rPr>
                <w:sz w:val="17"/>
              </w:rPr>
              <w:t xml:space="preserve">P0 · S</w:t>
            </w:r>
          </w:p>
        </w:tc>
      </w:tr>
      <w:tr>
        <w:trPr>
          <w:cantSplit/>
        </w:trPr>
        <w:tc>
          <w:tcPr>
            <w:tcW w:w="1512" w:type="dxa"/>
            <w:shd w:val="clear" w:color="auto" w:fill="F4F6F9"/>
          </w:tcPr>
          <w:p>
            <w:pPr>
              <w:pStyle w:val="Compact"/>
              <w:spacing w:after="40" w:before="40"/>
              <w:jc w:val="left"/>
            </w:pPr>
            <w:r>
              <w:rPr>
                <w:sz w:val="17"/>
              </w:rPr>
              <w:t xml:space="preserve">M4 Delivery promise on every product</w:t>
            </w:r>
          </w:p>
        </w:tc>
        <w:tc>
          <w:tcPr>
            <w:tcW w:w="3672" w:type="dxa"/>
            <w:shd w:val="clear" w:color="auto" w:fill="F4F6F9"/>
          </w:tcPr>
          <w:p>
            <w:pPr>
              <w:pStyle w:val="Compact"/>
              <w:spacing w:after="40" w:before="40"/>
              <w:jc w:val="left"/>
            </w:pPr>
            <w:r>
              <w:rPr>
                <w:sz w:val="17"/>
              </w:rPr>
              <w:t xml:space="preserve">Live cutoff countdown, delivery fee estimate by area, and speed tiers (standard, one-hour express)</w:t>
            </w:r>
          </w:p>
        </w:tc>
        <w:tc>
          <w:tcPr>
            <w:tcW w:w="1630" w:type="dxa"/>
            <w:shd w:val="clear" w:color="auto" w:fill="F4F6F9"/>
          </w:tcPr>
          <w:p>
            <w:pPr>
              <w:pStyle w:val="Compact"/>
              <w:spacing w:after="40" w:before="40"/>
              <w:jc w:val="left"/>
            </w:pPr>
            <w:r>
              <w:rPr>
                <w:sz w:val="17"/>
              </w:rPr>
              <w:t xml:space="preserve">Visibility of status; no surprise costs</w:t>
            </w:r>
          </w:p>
        </w:tc>
        <w:tc>
          <w:tcPr>
            <w:tcW w:w="2400" w:type="dxa"/>
            <w:shd w:val="clear" w:color="auto" w:fill="F4F6F9"/>
          </w:tcPr>
          <w:p>
            <w:pPr>
              <w:pStyle w:val="Compact"/>
              <w:spacing w:after="40" w:before="40"/>
              <w:jc w:val="left"/>
            </w:pPr>
            <w:r>
              <w:rPr>
                <w:sz w:val="17"/>
              </w:rPr>
              <w:t xml:space="preserve">Conversion lift; express fee is an upsell (a competitor sells one-hour priority for KSh 1,000)</w:t>
            </w:r>
          </w:p>
        </w:tc>
        <w:tc>
          <w:tcPr>
            <w:tcW w:w="674" w:type="dxa"/>
            <w:shd w:val="clear" w:color="auto" w:fill="F4F6F9"/>
          </w:tcPr>
          <w:p>
            <w:pPr>
              <w:pStyle w:val="Compact"/>
              <w:spacing w:after="40" w:before="40"/>
              <w:jc w:val="left"/>
            </w:pPr>
            <w:r>
              <w:rPr>
                <w:sz w:val="17"/>
              </w:rPr>
              <w:t xml:space="preserve">P0 · M</w:t>
            </w:r>
          </w:p>
        </w:tc>
      </w:tr>
      <w:tr>
        <w:trPr>
          <w:cantSplit/>
        </w:trPr>
        <w:tc>
          <w:tcPr>
            <w:tcW w:w="1512" w:type="dxa"/>
          </w:tcPr>
          <w:p>
            <w:pPr>
              <w:pStyle w:val="Compact"/>
              <w:spacing w:after="40" w:before="40"/>
              <w:jc w:val="left"/>
            </w:pPr>
            <w:r>
              <w:rPr>
                <w:sz w:val="17"/>
              </w:rPr>
              <w:t xml:space="preserve">M5 Complete-the-gift bundles</w:t>
            </w:r>
          </w:p>
        </w:tc>
        <w:tc>
          <w:tcPr>
            <w:tcW w:w="3672" w:type="dxa"/>
          </w:tcPr>
          <w:p>
            <w:pPr>
              <w:pStyle w:val="Compact"/>
              <w:spacing w:after="40" w:before="40"/>
              <w:jc w:val="left"/>
            </w:pPr>
            <w:r>
              <w:rPr>
                <w:sz w:val="17"/>
              </w:rPr>
              <w:t xml:space="preserve">One-tap add-ons (card, chocolates, balloons) and Good, Better, Best tiers per occasion</w:t>
            </w:r>
          </w:p>
        </w:tc>
        <w:tc>
          <w:tcPr>
            <w:tcW w:w="1630" w:type="dxa"/>
          </w:tcPr>
          <w:p>
            <w:pPr>
              <w:pStyle w:val="Compact"/>
              <w:spacing w:after="40" w:before="40"/>
              <w:jc w:val="left"/>
            </w:pPr>
            <w:r>
              <w:rPr>
                <w:sz w:val="17"/>
              </w:rPr>
              <w:t xml:space="preserve">Defaults and anchoring; fewer decisions</w:t>
            </w:r>
          </w:p>
        </w:tc>
        <w:tc>
          <w:tcPr>
            <w:tcW w:w="2400" w:type="dxa"/>
          </w:tcPr>
          <w:p>
            <w:pPr>
              <w:pStyle w:val="Compact"/>
              <w:spacing w:after="40" w:before="40"/>
              <w:jc w:val="left"/>
            </w:pPr>
            <w:r>
              <w:rPr>
                <w:sz w:val="17"/>
              </w:rPr>
              <w:t xml:space="preserve">Higher average order value</w:t>
            </w:r>
          </w:p>
        </w:tc>
        <w:tc>
          <w:tcPr>
            <w:tcW w:w="674" w:type="dxa"/>
          </w:tcPr>
          <w:p>
            <w:pPr>
              <w:pStyle w:val="Compact"/>
              <w:spacing w:after="40" w:before="40"/>
              <w:jc w:val="left"/>
            </w:pPr>
            <w:r>
              <w:rPr>
                <w:sz w:val="17"/>
              </w:rPr>
              <w:t xml:space="preserve">P1 · S</w:t>
            </w:r>
          </w:p>
        </w:tc>
      </w:tr>
    </w:tbl>
    <w:bookmarkEnd w:id="48"/>
    <w:bookmarkStart w:id="49" w:name="pay-and-order"/>
    <w:p>
      <w:pPr>
        <w:pStyle w:val="Heading3"/>
      </w:pPr>
      <w:r>
        <w:t xml:space="preserve">Pay and order</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512"/>
        <w:gridCol w:w="3547"/>
        <w:gridCol w:w="1779"/>
        <w:gridCol w:w="2390"/>
        <w:gridCol w:w="660"/>
      </w:tblGrid>
      <w:tr>
        <w:trPr>
          <w:tblHeader w:val="true"/>
          <w:cantSplit/>
          <w:tblHeader/>
        </w:trPr>
        <w:tc>
          <w:tcPr>
            <w:tcW w:w="1512" w:type="dxa"/>
            <w:shd w:val="clear" w:color="auto" w:fill="1F3A5F"/>
          </w:tcPr>
          <w:p>
            <w:pPr>
              <w:pStyle w:val="Compact"/>
              <w:spacing w:after="40" w:before="40"/>
              <w:jc w:val="left"/>
            </w:pPr>
            <w:r>
              <w:rPr>
                <w:b/>
                <w:color w:val="FFFFFF"/>
                <w:sz w:val="17"/>
              </w:rPr>
              <w:t xml:space="preserve">Feature</w:t>
            </w:r>
          </w:p>
        </w:tc>
        <w:tc>
          <w:tcPr>
            <w:tcW w:w="3547" w:type="dxa"/>
            <w:shd w:val="clear" w:color="auto" w:fill="1F3A5F"/>
          </w:tcPr>
          <w:p>
            <w:pPr>
              <w:pStyle w:val="Compact"/>
              <w:spacing w:after="40" w:before="40"/>
              <w:jc w:val="left"/>
            </w:pPr>
            <w:r>
              <w:rPr>
                <w:b/>
                <w:color w:val="FFFFFF"/>
                <w:sz w:val="17"/>
              </w:rPr>
              <w:t xml:space="preserve">What it does</w:t>
            </w:r>
          </w:p>
        </w:tc>
        <w:tc>
          <w:tcPr>
            <w:tcW w:w="1779" w:type="dxa"/>
            <w:shd w:val="clear" w:color="auto" w:fill="1F3A5F"/>
          </w:tcPr>
          <w:p>
            <w:pPr>
              <w:pStyle w:val="Compact"/>
              <w:spacing w:after="40" w:before="40"/>
              <w:jc w:val="left"/>
            </w:pPr>
            <w:r>
              <w:rPr>
                <w:b/>
                <w:color w:val="FFFFFF"/>
                <w:sz w:val="17"/>
              </w:rPr>
              <w:t xml:space="preserve">Why</w:t>
            </w:r>
          </w:p>
        </w:tc>
        <w:tc>
          <w:tcPr>
            <w:tcW w:w="2390" w:type="dxa"/>
            <w:shd w:val="clear" w:color="auto" w:fill="1F3A5F"/>
          </w:tcPr>
          <w:p>
            <w:pPr>
              <w:pStyle w:val="Compact"/>
              <w:spacing w:after="40" w:before="40"/>
              <w:jc w:val="left"/>
            </w:pPr>
            <w:r>
              <w:rPr>
                <w:b/>
                <w:color w:val="FFFFFF"/>
                <w:sz w:val="17"/>
              </w:rPr>
              <w:t xml:space="preserve">Commercial angle</w:t>
            </w:r>
          </w:p>
        </w:tc>
        <w:tc>
          <w:tcPr>
            <w:tcW w:w="660" w:type="dxa"/>
            <w:shd w:val="clear" w:color="auto" w:fill="1F3A5F"/>
          </w:tcPr>
          <w:p>
            <w:pPr>
              <w:pStyle w:val="Compact"/>
              <w:spacing w:after="40" w:before="40"/>
              <w:jc w:val="left"/>
            </w:pPr>
            <w:r>
              <w:rPr>
                <w:b/>
                <w:color w:val="FFFFFF"/>
                <w:sz w:val="17"/>
              </w:rPr>
              <w:t xml:space="preserve">Pri · Effort</w:t>
            </w:r>
          </w:p>
        </w:tc>
      </w:tr>
      <w:tr>
        <w:trPr>
          <w:cantSplit/>
        </w:trPr>
        <w:tc>
          <w:tcPr>
            <w:tcW w:w="1512" w:type="dxa"/>
          </w:tcPr>
          <w:p>
            <w:pPr>
              <w:pStyle w:val="Compact"/>
              <w:spacing w:after="40" w:before="40"/>
              <w:jc w:val="left"/>
            </w:pPr>
            <w:r>
              <w:rPr>
                <w:sz w:val="17"/>
              </w:rPr>
              <w:t xml:space="preserve">M6 M-Pesa checkout hardening</w:t>
            </w:r>
          </w:p>
        </w:tc>
        <w:tc>
          <w:tcPr>
            <w:tcW w:w="3547" w:type="dxa"/>
          </w:tcPr>
          <w:p>
            <w:pPr>
              <w:pStyle w:val="Compact"/>
              <w:spacing w:after="40" w:before="40"/>
              <w:jc w:val="left"/>
            </w:pPr>
            <w:r>
              <w:rPr>
                <w:sz w:val="17"/>
              </w:rPr>
              <w:t xml:space="preserve">Live STK push status, automatic retry, Paybill fallback with auto-reconciliation, guest checkout, saved number</w:t>
            </w:r>
          </w:p>
        </w:tc>
        <w:tc>
          <w:tcPr>
            <w:tcW w:w="1779" w:type="dxa"/>
          </w:tcPr>
          <w:p>
            <w:pPr>
              <w:pStyle w:val="Compact"/>
              <w:spacing w:after="40" w:before="40"/>
              <w:jc w:val="left"/>
            </w:pPr>
            <w:r>
              <w:rPr>
                <w:sz w:val="17"/>
              </w:rPr>
              <w:t xml:space="preserve">Error recovery; M-Pesa is the default payment</w:t>
            </w:r>
          </w:p>
        </w:tc>
        <w:tc>
          <w:tcPr>
            <w:tcW w:w="2390" w:type="dxa"/>
          </w:tcPr>
          <w:p>
            <w:pPr>
              <w:pStyle w:val="Compact"/>
              <w:spacing w:after="40" w:before="40"/>
              <w:jc w:val="left"/>
            </w:pPr>
            <w:r>
              <w:rPr>
                <w:sz w:val="17"/>
              </w:rPr>
              <w:t xml:space="preserve">A payments vendor claims 30 to 40% less payment-related abandonment from such fixes (</w:t>
            </w:r>
            <w:hyperlink r:id="rId33">
              <w:r>
                <w:rPr>
                  <w:rStyle w:val="Hyperlink"/>
                </w:rPr>
                <w:t xml:space="preserve">IntaSend</w:t>
              </w:r>
            </w:hyperlink>
            <w:r>
              <w:rPr>
                <w:sz w:val="17"/>
              </w:rPr>
              <w:t xml:space="preserve">)</w:t>
            </w:r>
          </w:p>
        </w:tc>
        <w:tc>
          <w:tcPr>
            <w:tcW w:w="660" w:type="dxa"/>
          </w:tcPr>
          <w:p>
            <w:pPr>
              <w:pStyle w:val="Compact"/>
              <w:spacing w:after="40" w:before="40"/>
              <w:jc w:val="left"/>
            </w:pPr>
            <w:r>
              <w:rPr>
                <w:sz w:val="17"/>
              </w:rPr>
              <w:t xml:space="preserve">P0 · M</w:t>
            </w:r>
          </w:p>
        </w:tc>
      </w:tr>
      <w:tr>
        <w:trPr>
          <w:cantSplit/>
        </w:trPr>
        <w:tc>
          <w:tcPr>
            <w:tcW w:w="1512" w:type="dxa"/>
            <w:shd w:val="clear" w:color="auto" w:fill="F4F6F9"/>
          </w:tcPr>
          <w:p>
            <w:pPr>
              <w:pStyle w:val="Compact"/>
              <w:spacing w:after="40" w:before="40"/>
              <w:jc w:val="left"/>
            </w:pPr>
            <w:r>
              <w:rPr>
                <w:sz w:val="17"/>
              </w:rPr>
              <w:t xml:space="preserve">M7 Diaspora mode</w:t>
            </w:r>
          </w:p>
        </w:tc>
        <w:tc>
          <w:tcPr>
            <w:tcW w:w="3547" w:type="dxa"/>
            <w:shd w:val="clear" w:color="auto" w:fill="F4F6F9"/>
          </w:tcPr>
          <w:p>
            <w:pPr>
              <w:pStyle w:val="Compact"/>
              <w:spacing w:after="40" w:before="40"/>
              <w:jc w:val="left"/>
            </w:pPr>
            <w:r>
              <w:rPr>
                <w:sz w:val="17"/>
              </w:rPr>
              <w:t xml:space="preserve">Choose currency, pay by card, write the card in English or Swahili, get photo proof at wrapping and delivery, reminders keyed to school terms and December</w:t>
            </w:r>
          </w:p>
        </w:tc>
        <w:tc>
          <w:tcPr>
            <w:tcW w:w="1779" w:type="dxa"/>
            <w:shd w:val="clear" w:color="auto" w:fill="F4F6F9"/>
          </w:tcPr>
          <w:p>
            <w:pPr>
              <w:pStyle w:val="Compact"/>
              <w:spacing w:after="40" w:before="40"/>
              <w:jc w:val="left"/>
            </w:pPr>
            <w:r>
              <w:rPr>
                <w:sz w:val="17"/>
              </w:rPr>
              <w:t xml:space="preserve">Senders cannot see the gift, so credibility and proof matter most</w:t>
            </w:r>
          </w:p>
        </w:tc>
        <w:tc>
          <w:tcPr>
            <w:tcW w:w="2390" w:type="dxa"/>
            <w:shd w:val="clear" w:color="auto" w:fill="F4F6F9"/>
          </w:tcPr>
          <w:p>
            <w:pPr>
              <w:pStyle w:val="Compact"/>
              <w:spacing w:after="40" w:before="40"/>
              <w:jc w:val="left"/>
            </w:pPr>
            <w:r>
              <w:rPr>
                <w:sz w:val="17"/>
              </w:rPr>
              <w:t xml:space="preserve">Dollar and pound earners, higher spend per gift; a hypothesis to test</w:t>
            </w:r>
          </w:p>
        </w:tc>
        <w:tc>
          <w:tcPr>
            <w:tcW w:w="660" w:type="dxa"/>
            <w:shd w:val="clear" w:color="auto" w:fill="F4F6F9"/>
          </w:tcPr>
          <w:p>
            <w:pPr>
              <w:pStyle w:val="Compact"/>
              <w:spacing w:after="40" w:before="40"/>
              <w:jc w:val="left"/>
            </w:pPr>
            <w:r>
              <w:rPr>
                <w:sz w:val="17"/>
              </w:rPr>
              <w:t xml:space="preserve">P1 · M</w:t>
            </w:r>
          </w:p>
        </w:tc>
      </w:tr>
      <w:tr>
        <w:trPr>
          <w:cantSplit/>
        </w:trPr>
        <w:tc>
          <w:tcPr>
            <w:tcW w:w="1512" w:type="dxa"/>
          </w:tcPr>
          <w:p>
            <w:pPr>
              <w:pStyle w:val="Compact"/>
              <w:spacing w:after="40" w:before="40"/>
              <w:jc w:val="left"/>
            </w:pPr>
            <w:r>
              <w:rPr>
                <w:sz w:val="17"/>
              </w:rPr>
              <w:t xml:space="preserve">M8 Instalments</w:t>
            </w:r>
          </w:p>
        </w:tc>
        <w:tc>
          <w:tcPr>
            <w:tcW w:w="3547" w:type="dxa"/>
          </w:tcPr>
          <w:p>
            <w:pPr>
              <w:pStyle w:val="Compact"/>
              <w:spacing w:after="40" w:before="40"/>
              <w:jc w:val="left"/>
            </w:pPr>
            <w:r>
              <w:rPr>
                <w:sz w:val="17"/>
              </w:rPr>
              <w:t xml:space="preserve">Pay in parts for gifts above a set price, via a licensed partner</w:t>
            </w:r>
          </w:p>
        </w:tc>
        <w:tc>
          <w:tcPr>
            <w:tcW w:w="1779" w:type="dxa"/>
          </w:tcPr>
          <w:p>
            <w:pPr>
              <w:pStyle w:val="Compact"/>
              <w:spacing w:after="40" w:before="40"/>
              <w:jc w:val="left"/>
            </w:pPr>
            <w:r>
              <w:rPr>
                <w:sz w:val="17"/>
              </w:rPr>
              <w:t xml:space="preserve">Perfumes reach KSh 97,875; price is the barrier</w:t>
            </w:r>
          </w:p>
        </w:tc>
        <w:tc>
          <w:tcPr>
            <w:tcW w:w="2390" w:type="dxa"/>
          </w:tcPr>
          <w:p>
            <w:pPr>
              <w:pStyle w:val="Compact"/>
              <w:spacing w:after="40" w:before="40"/>
              <w:jc w:val="left"/>
            </w:pPr>
            <w:r>
              <w:rPr>
                <w:sz w:val="17"/>
              </w:rPr>
              <w:t xml:space="preserve">Bigger baskets; needs a regulatory check</w:t>
            </w:r>
          </w:p>
        </w:tc>
        <w:tc>
          <w:tcPr>
            <w:tcW w:w="660" w:type="dxa"/>
          </w:tcPr>
          <w:p>
            <w:pPr>
              <w:pStyle w:val="Compact"/>
              <w:spacing w:after="40" w:before="40"/>
              <w:jc w:val="left"/>
            </w:pPr>
            <w:r>
              <w:rPr>
                <w:sz w:val="17"/>
              </w:rPr>
              <w:t xml:space="preserve">P2 · L</w:t>
            </w:r>
          </w:p>
        </w:tc>
      </w:tr>
    </w:tbl>
    <w:bookmarkEnd w:id="49"/>
    <w:bookmarkStart w:id="50" w:name="deliver-and-delight"/>
    <w:p>
      <w:pPr>
        <w:pStyle w:val="Heading3"/>
      </w:pPr>
      <w:r>
        <w:t xml:space="preserve">Deliver and delight</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512"/>
        <w:gridCol w:w="3508"/>
        <w:gridCol w:w="2150"/>
        <w:gridCol w:w="2014"/>
        <w:gridCol w:w="704"/>
      </w:tblGrid>
      <w:tr>
        <w:trPr>
          <w:tblHeader w:val="true"/>
          <w:cantSplit/>
          <w:tblHeader/>
        </w:trPr>
        <w:tc>
          <w:tcPr>
            <w:tcW w:w="1512" w:type="dxa"/>
            <w:shd w:val="clear" w:color="auto" w:fill="1F3A5F"/>
          </w:tcPr>
          <w:p>
            <w:pPr>
              <w:pStyle w:val="Compact"/>
              <w:spacing w:after="40" w:before="40"/>
              <w:jc w:val="left"/>
            </w:pPr>
            <w:r>
              <w:rPr>
                <w:b/>
                <w:color w:val="FFFFFF"/>
                <w:sz w:val="17"/>
              </w:rPr>
              <w:t xml:space="preserve">Feature</w:t>
            </w:r>
          </w:p>
        </w:tc>
        <w:tc>
          <w:tcPr>
            <w:tcW w:w="3508" w:type="dxa"/>
            <w:shd w:val="clear" w:color="auto" w:fill="1F3A5F"/>
          </w:tcPr>
          <w:p>
            <w:pPr>
              <w:pStyle w:val="Compact"/>
              <w:spacing w:after="40" w:before="40"/>
              <w:jc w:val="left"/>
            </w:pPr>
            <w:r>
              <w:rPr>
                <w:b/>
                <w:color w:val="FFFFFF"/>
                <w:sz w:val="17"/>
              </w:rPr>
              <w:t xml:space="preserve">What it does</w:t>
            </w:r>
          </w:p>
        </w:tc>
        <w:tc>
          <w:tcPr>
            <w:tcW w:w="2150" w:type="dxa"/>
            <w:shd w:val="clear" w:color="auto" w:fill="1F3A5F"/>
          </w:tcPr>
          <w:p>
            <w:pPr>
              <w:pStyle w:val="Compact"/>
              <w:spacing w:after="40" w:before="40"/>
              <w:jc w:val="left"/>
            </w:pPr>
            <w:r>
              <w:rPr>
                <w:b/>
                <w:color w:val="FFFFFF"/>
                <w:sz w:val="17"/>
              </w:rPr>
              <w:t xml:space="preserve">Why</w:t>
            </w:r>
          </w:p>
        </w:tc>
        <w:tc>
          <w:tcPr>
            <w:tcW w:w="2014" w:type="dxa"/>
            <w:shd w:val="clear" w:color="auto" w:fill="1F3A5F"/>
          </w:tcPr>
          <w:p>
            <w:pPr>
              <w:pStyle w:val="Compact"/>
              <w:spacing w:after="40" w:before="40"/>
              <w:jc w:val="left"/>
            </w:pPr>
            <w:r>
              <w:rPr>
                <w:b/>
                <w:color w:val="FFFFFF"/>
                <w:sz w:val="17"/>
              </w:rPr>
              <w:t xml:space="preserve">Commercial angle</w:t>
            </w:r>
          </w:p>
        </w:tc>
        <w:tc>
          <w:tcPr>
            <w:tcW w:w="704" w:type="dxa"/>
            <w:shd w:val="clear" w:color="auto" w:fill="1F3A5F"/>
          </w:tcPr>
          <w:p>
            <w:pPr>
              <w:pStyle w:val="Compact"/>
              <w:spacing w:after="40" w:before="40"/>
              <w:jc w:val="left"/>
            </w:pPr>
            <w:r>
              <w:rPr>
                <w:b/>
                <w:color w:val="FFFFFF"/>
                <w:sz w:val="17"/>
              </w:rPr>
              <w:t xml:space="preserve">Pri · Effort</w:t>
            </w:r>
          </w:p>
        </w:tc>
      </w:tr>
      <w:tr>
        <w:trPr>
          <w:cantSplit/>
        </w:trPr>
        <w:tc>
          <w:tcPr>
            <w:tcW w:w="1512" w:type="dxa"/>
          </w:tcPr>
          <w:p>
            <w:pPr>
              <w:pStyle w:val="Compact"/>
              <w:spacing w:after="40" w:before="40"/>
              <w:jc w:val="left"/>
            </w:pPr>
            <w:r>
              <w:rPr>
                <w:sz w:val="17"/>
              </w:rPr>
              <w:t xml:space="preserve">M9 Recipient-led gift link</w:t>
            </w:r>
          </w:p>
        </w:tc>
        <w:tc>
          <w:tcPr>
            <w:tcW w:w="3508" w:type="dxa"/>
          </w:tcPr>
          <w:p>
            <w:pPr>
              <w:pStyle w:val="Compact"/>
              <w:spacing w:after="40" w:before="40"/>
              <w:jc w:val="left"/>
            </w:pPr>
            <w:r>
              <w:rPr>
                <w:sz w:val="17"/>
              </w:rPr>
              <w:t xml:space="preserve">Sender pays and shares a link; recipient picks from three to five options, size and delivery time on WhatsApp</w:t>
            </w:r>
          </w:p>
        </w:tc>
        <w:tc>
          <w:tcPr>
            <w:tcW w:w="2150" w:type="dxa"/>
          </w:tcPr>
          <w:p>
            <w:pPr>
              <w:pStyle w:val="Compact"/>
              <w:spacing w:after="40" w:before="40"/>
              <w:jc w:val="left"/>
            </w:pPr>
            <w:r>
              <w:rPr>
                <w:sz w:val="17"/>
              </w:rPr>
              <w:t xml:space="preserve">Autonomy; fixes missing addresses and wrong gifts (Tesler’s law)</w:t>
            </w:r>
          </w:p>
        </w:tc>
        <w:tc>
          <w:tcPr>
            <w:tcW w:w="2014" w:type="dxa"/>
          </w:tcPr>
          <w:p>
            <w:pPr>
              <w:pStyle w:val="Compact"/>
              <w:spacing w:after="40" w:before="40"/>
              <w:jc w:val="left"/>
            </w:pPr>
            <w:r>
              <w:rPr>
                <w:sz w:val="17"/>
              </w:rPr>
              <w:t xml:space="preserve">Fewer returns, higher perceived value; recipient can top up</w:t>
            </w:r>
          </w:p>
        </w:tc>
        <w:tc>
          <w:tcPr>
            <w:tcW w:w="704" w:type="dxa"/>
          </w:tcPr>
          <w:p>
            <w:pPr>
              <w:pStyle w:val="Compact"/>
              <w:spacing w:after="40" w:before="40"/>
              <w:jc w:val="left"/>
            </w:pPr>
            <w:r>
              <w:rPr>
                <w:sz w:val="17"/>
              </w:rPr>
              <w:t xml:space="preserve">P1 · M</w:t>
            </w:r>
          </w:p>
        </w:tc>
      </w:tr>
      <w:tr>
        <w:trPr>
          <w:cantSplit/>
        </w:trPr>
        <w:tc>
          <w:tcPr>
            <w:tcW w:w="1512" w:type="dxa"/>
            <w:shd w:val="clear" w:color="auto" w:fill="F4F6F9"/>
          </w:tcPr>
          <w:p>
            <w:pPr>
              <w:pStyle w:val="Compact"/>
              <w:spacing w:after="40" w:before="40"/>
              <w:jc w:val="left"/>
            </w:pPr>
            <w:r>
              <w:rPr>
                <w:sz w:val="17"/>
              </w:rPr>
              <w:t xml:space="preserve">M10 Digital unboxing layer</w:t>
            </w:r>
          </w:p>
        </w:tc>
        <w:tc>
          <w:tcPr>
            <w:tcW w:w="3508" w:type="dxa"/>
            <w:shd w:val="clear" w:color="auto" w:fill="F4F6F9"/>
          </w:tcPr>
          <w:p>
            <w:pPr>
              <w:pStyle w:val="Compact"/>
              <w:spacing w:after="40" w:before="40"/>
              <w:jc w:val="left"/>
            </w:pPr>
            <w:r>
              <w:rPr>
                <w:sz w:val="17"/>
              </w:rPr>
              <w:t xml:space="preserve">QR code on the card opens a page with the sender’s video, voice note, photos or playlist; recipient can reply or share</w:t>
            </w:r>
          </w:p>
        </w:tc>
        <w:tc>
          <w:tcPr>
            <w:tcW w:w="2150" w:type="dxa"/>
            <w:shd w:val="clear" w:color="auto" w:fill="F4F6F9"/>
          </w:tcPr>
          <w:p>
            <w:pPr>
              <w:pStyle w:val="Compact"/>
              <w:spacing w:after="40" w:before="40"/>
              <w:jc w:val="left"/>
            </w:pPr>
            <w:r>
              <w:rPr>
                <w:sz w:val="17"/>
              </w:rPr>
              <w:t xml:space="preserve">Peak-end rule; shareable unboxing is a stated trend</w:t>
            </w:r>
          </w:p>
        </w:tc>
        <w:tc>
          <w:tcPr>
            <w:tcW w:w="2014" w:type="dxa"/>
            <w:shd w:val="clear" w:color="auto" w:fill="F4F6F9"/>
          </w:tcPr>
          <w:p>
            <w:pPr>
              <w:pStyle w:val="Compact"/>
              <w:spacing w:after="40" w:before="40"/>
              <w:jc w:val="left"/>
            </w:pPr>
            <w:r>
              <w:rPr>
                <w:sz w:val="17"/>
              </w:rPr>
              <w:t xml:space="preserve">Paid add-on plus free organic reach</w:t>
            </w:r>
          </w:p>
        </w:tc>
        <w:tc>
          <w:tcPr>
            <w:tcW w:w="704" w:type="dxa"/>
            <w:shd w:val="clear" w:color="auto" w:fill="F4F6F9"/>
          </w:tcPr>
          <w:p>
            <w:pPr>
              <w:pStyle w:val="Compact"/>
              <w:spacing w:after="40" w:before="40"/>
              <w:jc w:val="left"/>
            </w:pPr>
            <w:r>
              <w:rPr>
                <w:sz w:val="17"/>
              </w:rPr>
              <w:t xml:space="preserve">P1 · M</w:t>
            </w:r>
          </w:p>
        </w:tc>
      </w:tr>
      <w:tr>
        <w:trPr>
          <w:cantSplit/>
        </w:trPr>
        <w:tc>
          <w:tcPr>
            <w:tcW w:w="1512" w:type="dxa"/>
          </w:tcPr>
          <w:p>
            <w:pPr>
              <w:pStyle w:val="Compact"/>
              <w:spacing w:after="40" w:before="40"/>
              <w:jc w:val="left"/>
            </w:pPr>
            <w:r>
              <w:rPr>
                <w:sz w:val="17"/>
              </w:rPr>
              <w:t xml:space="preserve">M11 Live tracking and proof of delivery</w:t>
            </w:r>
          </w:p>
        </w:tc>
        <w:tc>
          <w:tcPr>
            <w:tcW w:w="3508" w:type="dxa"/>
          </w:tcPr>
          <w:p>
            <w:pPr>
              <w:pStyle w:val="Compact"/>
              <w:spacing w:after="40" w:before="40"/>
              <w:jc w:val="left"/>
            </w:pPr>
            <w:r>
              <w:rPr>
                <w:sz w:val="17"/>
              </w:rPr>
              <w:t xml:space="preserve">Tracking page with rider status, ETA, masked call and a delivery photo</w:t>
            </w:r>
          </w:p>
        </w:tc>
        <w:tc>
          <w:tcPr>
            <w:tcW w:w="2150" w:type="dxa"/>
          </w:tcPr>
          <w:p>
            <w:pPr>
              <w:pStyle w:val="Compact"/>
              <w:spacing w:after="40" w:before="40"/>
              <w:jc w:val="left"/>
            </w:pPr>
            <w:r>
              <w:rPr>
                <w:sz w:val="17"/>
              </w:rPr>
              <w:t xml:space="preserve">Visibility of status; fewer</w:t>
            </w:r>
            <w:r>
              <w:rPr>
                <w:sz w:val="17"/>
              </w:rPr>
              <w:t xml:space="preserve"> </w:t>
            </w:r>
            <w:r>
              <w:rPr>
                <w:sz w:val="17"/>
              </w:rPr>
              <w:t xml:space="preserve">“</w:t>
            </w:r>
            <w:r>
              <w:rPr>
                <w:sz w:val="17"/>
              </w:rPr>
              <w:t xml:space="preserve">where is it</w:t>
            </w:r>
            <w:r>
              <w:rPr>
                <w:sz w:val="17"/>
              </w:rPr>
              <w:t xml:space="preserve">”</w:t>
            </w:r>
            <w:r>
              <w:rPr>
                <w:sz w:val="17"/>
              </w:rPr>
              <w:t xml:space="preserve"> </w:t>
            </w:r>
            <w:r>
              <w:rPr>
                <w:sz w:val="17"/>
              </w:rPr>
              <w:t xml:space="preserve">chats</w:t>
            </w:r>
          </w:p>
        </w:tc>
        <w:tc>
          <w:tcPr>
            <w:tcW w:w="2014" w:type="dxa"/>
          </w:tcPr>
          <w:p>
            <w:pPr>
              <w:pStyle w:val="Compact"/>
              <w:spacing w:after="40" w:before="40"/>
              <w:jc w:val="left"/>
            </w:pPr>
            <w:r>
              <w:rPr>
                <w:sz w:val="17"/>
              </w:rPr>
              <w:t xml:space="preserve">Lower support load; backs the on-time guarantee</w:t>
            </w:r>
          </w:p>
        </w:tc>
        <w:tc>
          <w:tcPr>
            <w:tcW w:w="704" w:type="dxa"/>
          </w:tcPr>
          <w:p>
            <w:pPr>
              <w:pStyle w:val="Compact"/>
              <w:spacing w:after="40" w:before="40"/>
              <w:jc w:val="left"/>
            </w:pPr>
            <w:r>
              <w:rPr>
                <w:sz w:val="17"/>
              </w:rPr>
              <w:t xml:space="preserve">P1 · M</w:t>
            </w:r>
          </w:p>
        </w:tc>
      </w:tr>
      <w:tr>
        <w:trPr>
          <w:cantSplit/>
        </w:trPr>
        <w:tc>
          <w:tcPr>
            <w:tcW w:w="1512" w:type="dxa"/>
            <w:shd w:val="clear" w:color="auto" w:fill="F4F6F9"/>
          </w:tcPr>
          <w:p>
            <w:pPr>
              <w:pStyle w:val="Compact"/>
              <w:spacing w:after="40" w:before="40"/>
              <w:jc w:val="left"/>
            </w:pPr>
            <w:r>
              <w:rPr>
                <w:sz w:val="17"/>
              </w:rPr>
              <w:t xml:space="preserve">M12 Kenyan-made keepsake line</w:t>
            </w:r>
          </w:p>
        </w:tc>
        <w:tc>
          <w:tcPr>
            <w:tcW w:w="3508" w:type="dxa"/>
            <w:shd w:val="clear" w:color="auto" w:fill="F4F6F9"/>
          </w:tcPr>
          <w:p>
            <w:pPr>
              <w:pStyle w:val="Compact"/>
              <w:spacing w:after="40" w:before="40"/>
              <w:jc w:val="left"/>
            </w:pPr>
            <w:r>
              <w:rPr>
                <w:sz w:val="17"/>
              </w:rPr>
              <w:t xml:space="preserve">Local artisan items and reusable boxes</w:t>
            </w:r>
          </w:p>
        </w:tc>
        <w:tc>
          <w:tcPr>
            <w:tcW w:w="2150" w:type="dxa"/>
            <w:shd w:val="clear" w:color="auto" w:fill="F4F6F9"/>
          </w:tcPr>
          <w:p>
            <w:pPr>
              <w:pStyle w:val="Compact"/>
              <w:spacing w:after="40" w:before="40"/>
              <w:jc w:val="left"/>
            </w:pPr>
            <w:r>
              <w:rPr>
                <w:sz w:val="17"/>
              </w:rPr>
              <w:t xml:space="preserve">Local and meaningful is the stated trend</w:t>
            </w:r>
          </w:p>
        </w:tc>
        <w:tc>
          <w:tcPr>
            <w:tcW w:w="2014" w:type="dxa"/>
            <w:shd w:val="clear" w:color="auto" w:fill="F4F6F9"/>
          </w:tcPr>
          <w:p>
            <w:pPr>
              <w:pStyle w:val="Compact"/>
              <w:spacing w:after="40" w:before="40"/>
              <w:jc w:val="left"/>
            </w:pPr>
            <w:r>
              <w:rPr>
                <w:sz w:val="17"/>
              </w:rPr>
              <w:t xml:space="preserve">Better margins and differentiation from imported stock</w:t>
            </w:r>
          </w:p>
        </w:tc>
        <w:tc>
          <w:tcPr>
            <w:tcW w:w="704" w:type="dxa"/>
            <w:shd w:val="clear" w:color="auto" w:fill="F4F6F9"/>
          </w:tcPr>
          <w:p>
            <w:pPr>
              <w:pStyle w:val="Compact"/>
              <w:spacing w:after="40" w:before="40"/>
              <w:jc w:val="left"/>
            </w:pPr>
            <w:r>
              <w:rPr>
                <w:sz w:val="17"/>
              </w:rPr>
              <w:t xml:space="preserve">P2 · M</w:t>
            </w:r>
          </w:p>
        </w:tc>
      </w:tr>
    </w:tbl>
    <w:bookmarkEnd w:id="50"/>
    <w:bookmarkStart w:id="51" w:name="retain-and-grow"/>
    <w:p>
      <w:pPr>
        <w:pStyle w:val="Heading3"/>
      </w:pPr>
      <w:r>
        <w:t xml:space="preserve">Retain and grow</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512"/>
        <w:gridCol w:w="3373"/>
        <w:gridCol w:w="2114"/>
        <w:gridCol w:w="2172"/>
        <w:gridCol w:w="717"/>
      </w:tblGrid>
      <w:tr>
        <w:trPr>
          <w:tblHeader w:val="true"/>
          <w:cantSplit/>
          <w:tblHeader/>
        </w:trPr>
        <w:tc>
          <w:tcPr>
            <w:tcW w:w="1512" w:type="dxa"/>
            <w:shd w:val="clear" w:color="auto" w:fill="1F3A5F"/>
          </w:tcPr>
          <w:p>
            <w:pPr>
              <w:pStyle w:val="Compact"/>
              <w:spacing w:after="40" w:before="40"/>
              <w:jc w:val="left"/>
            </w:pPr>
            <w:r>
              <w:rPr>
                <w:b/>
                <w:color w:val="FFFFFF"/>
                <w:sz w:val="17"/>
              </w:rPr>
              <w:t xml:space="preserve">Feature</w:t>
            </w:r>
          </w:p>
        </w:tc>
        <w:tc>
          <w:tcPr>
            <w:tcW w:w="3373" w:type="dxa"/>
            <w:shd w:val="clear" w:color="auto" w:fill="1F3A5F"/>
          </w:tcPr>
          <w:p>
            <w:pPr>
              <w:pStyle w:val="Compact"/>
              <w:spacing w:after="40" w:before="40"/>
              <w:jc w:val="left"/>
            </w:pPr>
            <w:r>
              <w:rPr>
                <w:b/>
                <w:color w:val="FFFFFF"/>
                <w:sz w:val="17"/>
              </w:rPr>
              <w:t xml:space="preserve">What it does</w:t>
            </w:r>
          </w:p>
        </w:tc>
        <w:tc>
          <w:tcPr>
            <w:tcW w:w="2114" w:type="dxa"/>
            <w:shd w:val="clear" w:color="auto" w:fill="1F3A5F"/>
          </w:tcPr>
          <w:p>
            <w:pPr>
              <w:pStyle w:val="Compact"/>
              <w:spacing w:after="40" w:before="40"/>
              <w:jc w:val="left"/>
            </w:pPr>
            <w:r>
              <w:rPr>
                <w:b/>
                <w:color w:val="FFFFFF"/>
                <w:sz w:val="17"/>
              </w:rPr>
              <w:t xml:space="preserve">Why</w:t>
            </w:r>
          </w:p>
        </w:tc>
        <w:tc>
          <w:tcPr>
            <w:tcW w:w="2172" w:type="dxa"/>
            <w:shd w:val="clear" w:color="auto" w:fill="1F3A5F"/>
          </w:tcPr>
          <w:p>
            <w:pPr>
              <w:pStyle w:val="Compact"/>
              <w:spacing w:after="40" w:before="40"/>
              <w:jc w:val="left"/>
            </w:pPr>
            <w:r>
              <w:rPr>
                <w:b/>
                <w:color w:val="FFFFFF"/>
                <w:sz w:val="17"/>
              </w:rPr>
              <w:t xml:space="preserve">Commercial angle</w:t>
            </w:r>
          </w:p>
        </w:tc>
        <w:tc>
          <w:tcPr>
            <w:tcW w:w="717" w:type="dxa"/>
            <w:shd w:val="clear" w:color="auto" w:fill="1F3A5F"/>
          </w:tcPr>
          <w:p>
            <w:pPr>
              <w:pStyle w:val="Compact"/>
              <w:spacing w:after="40" w:before="40"/>
              <w:jc w:val="left"/>
            </w:pPr>
            <w:r>
              <w:rPr>
                <w:b/>
                <w:color w:val="FFFFFF"/>
                <w:sz w:val="17"/>
              </w:rPr>
              <w:t xml:space="preserve">Pri · Effort</w:t>
            </w:r>
          </w:p>
        </w:tc>
      </w:tr>
      <w:tr>
        <w:trPr>
          <w:cantSplit/>
        </w:trPr>
        <w:tc>
          <w:tcPr>
            <w:tcW w:w="1512" w:type="dxa"/>
          </w:tcPr>
          <w:p>
            <w:pPr>
              <w:pStyle w:val="Compact"/>
              <w:spacing w:after="40" w:before="40"/>
              <w:jc w:val="left"/>
            </w:pPr>
            <w:r>
              <w:rPr>
                <w:sz w:val="17"/>
              </w:rPr>
              <w:t xml:space="preserve">M13 WhatsApp gift concierge</w:t>
            </w:r>
          </w:p>
        </w:tc>
        <w:tc>
          <w:tcPr>
            <w:tcW w:w="3373" w:type="dxa"/>
          </w:tcPr>
          <w:p>
            <w:pPr>
              <w:pStyle w:val="Compact"/>
              <w:spacing w:after="40" w:before="40"/>
              <w:jc w:val="left"/>
            </w:pPr>
            <w:r>
              <w:rPr>
                <w:sz w:val="17"/>
              </w:rPr>
              <w:t xml:space="preserve">Text</w:t>
            </w:r>
            <w:r>
              <w:rPr>
                <w:sz w:val="17"/>
              </w:rPr>
              <w:t xml:space="preserve"> </w:t>
            </w:r>
            <w:r>
              <w:rPr>
                <w:sz w:val="17"/>
              </w:rPr>
              <w:t xml:space="preserve">“</w:t>
            </w:r>
            <w:r>
              <w:rPr>
                <w:sz w:val="17"/>
              </w:rPr>
              <w:t xml:space="preserve">remind me, Mum’s birthday 12 March</w:t>
            </w:r>
            <w:r>
              <w:rPr>
                <w:sz w:val="17"/>
              </w:rPr>
              <w:t xml:space="preserve">”</w:t>
            </w:r>
            <w:r>
              <w:rPr>
                <w:sz w:val="17"/>
              </w:rPr>
              <w:t xml:space="preserve">; seven days before, the bot sends three options and a pay link</w:t>
            </w:r>
          </w:p>
        </w:tc>
        <w:tc>
          <w:tcPr>
            <w:tcW w:w="2114" w:type="dxa"/>
          </w:tcPr>
          <w:p>
            <w:pPr>
              <w:pStyle w:val="Compact"/>
              <w:spacing w:after="40" w:before="40"/>
              <w:jc w:val="left"/>
            </w:pPr>
            <w:r>
              <w:rPr>
                <w:sz w:val="17"/>
              </w:rPr>
              <w:t xml:space="preserve">Fogg prompt at the right time; builds on today’s Reminders</w:t>
            </w:r>
          </w:p>
        </w:tc>
        <w:tc>
          <w:tcPr>
            <w:tcW w:w="2172" w:type="dxa"/>
          </w:tcPr>
          <w:p>
            <w:pPr>
              <w:pStyle w:val="Compact"/>
              <w:spacing w:after="40" w:before="40"/>
              <w:jc w:val="left"/>
            </w:pPr>
            <w:r>
              <w:rPr>
                <w:sz w:val="17"/>
              </w:rPr>
              <w:t xml:space="preserve">Repeat orders without ad spend</w:t>
            </w:r>
          </w:p>
        </w:tc>
        <w:tc>
          <w:tcPr>
            <w:tcW w:w="717" w:type="dxa"/>
          </w:tcPr>
          <w:p>
            <w:pPr>
              <w:pStyle w:val="Compact"/>
              <w:spacing w:after="40" w:before="40"/>
              <w:jc w:val="left"/>
            </w:pPr>
            <w:r>
              <w:rPr>
                <w:sz w:val="17"/>
              </w:rPr>
              <w:t xml:space="preserve">P1 · M</w:t>
            </w:r>
          </w:p>
        </w:tc>
      </w:tr>
      <w:tr>
        <w:trPr>
          <w:cantSplit/>
        </w:trPr>
        <w:tc>
          <w:tcPr>
            <w:tcW w:w="1512" w:type="dxa"/>
            <w:shd w:val="clear" w:color="auto" w:fill="F4F6F9"/>
          </w:tcPr>
          <w:p>
            <w:pPr>
              <w:pStyle w:val="Compact"/>
              <w:spacing w:after="40" w:before="40"/>
              <w:jc w:val="left"/>
            </w:pPr>
            <w:r>
              <w:rPr>
                <w:sz w:val="17"/>
              </w:rPr>
              <w:t xml:space="preserve">M14 Event registries</w:t>
            </w:r>
          </w:p>
        </w:tc>
        <w:tc>
          <w:tcPr>
            <w:tcW w:w="3373" w:type="dxa"/>
            <w:shd w:val="clear" w:color="auto" w:fill="F4F6F9"/>
          </w:tcPr>
          <w:p>
            <w:pPr>
              <w:pStyle w:val="Compact"/>
              <w:spacing w:after="40" w:before="40"/>
              <w:jc w:val="left"/>
            </w:pPr>
            <w:r>
              <w:rPr>
                <w:sz w:val="17"/>
              </w:rPr>
              <w:t xml:space="preserve">Join wishlist and pool so guests fund an item; thank-you tracker for the owner</w:t>
            </w:r>
          </w:p>
        </w:tc>
        <w:tc>
          <w:tcPr>
            <w:tcW w:w="2114" w:type="dxa"/>
            <w:shd w:val="clear" w:color="auto" w:fill="F4F6F9"/>
          </w:tcPr>
          <w:p>
            <w:pPr>
              <w:pStyle w:val="Compact"/>
              <w:spacing w:after="40" w:before="40"/>
              <w:jc w:val="left"/>
            </w:pPr>
            <w:r>
              <w:rPr>
                <w:sz w:val="17"/>
              </w:rPr>
              <w:t xml:space="preserve">Clear goals and social proof; guests are new customers</w:t>
            </w:r>
          </w:p>
        </w:tc>
        <w:tc>
          <w:tcPr>
            <w:tcW w:w="2172" w:type="dxa"/>
            <w:shd w:val="clear" w:color="auto" w:fill="F4F6F9"/>
          </w:tcPr>
          <w:p>
            <w:pPr>
              <w:pStyle w:val="Compact"/>
              <w:spacing w:after="40" w:before="40"/>
              <w:jc w:val="left"/>
            </w:pPr>
            <w:r>
              <w:rPr>
                <w:sz w:val="17"/>
              </w:rPr>
              <w:t xml:space="preserve">Weddings, baby showers, graduations, housewarmings</w:t>
            </w:r>
          </w:p>
        </w:tc>
        <w:tc>
          <w:tcPr>
            <w:tcW w:w="717" w:type="dxa"/>
            <w:shd w:val="clear" w:color="auto" w:fill="F4F6F9"/>
          </w:tcPr>
          <w:p>
            <w:pPr>
              <w:pStyle w:val="Compact"/>
              <w:spacing w:after="40" w:before="40"/>
              <w:jc w:val="left"/>
            </w:pPr>
            <w:r>
              <w:rPr>
                <w:sz w:val="17"/>
              </w:rPr>
              <w:t xml:space="preserve">P1 · M</w:t>
            </w:r>
          </w:p>
        </w:tc>
      </w:tr>
      <w:tr>
        <w:trPr>
          <w:cantSplit/>
        </w:trPr>
        <w:tc>
          <w:tcPr>
            <w:tcW w:w="1512" w:type="dxa"/>
          </w:tcPr>
          <w:p>
            <w:pPr>
              <w:pStyle w:val="Compact"/>
              <w:spacing w:after="40" w:before="40"/>
              <w:jc w:val="left"/>
            </w:pPr>
            <w:r>
              <w:rPr>
                <w:sz w:val="17"/>
              </w:rPr>
              <w:t xml:space="preserve">M15 Rewards v2</w:t>
            </w:r>
          </w:p>
        </w:tc>
        <w:tc>
          <w:tcPr>
            <w:tcW w:w="3373" w:type="dxa"/>
          </w:tcPr>
          <w:p>
            <w:pPr>
              <w:pStyle w:val="Compact"/>
              <w:spacing w:after="40" w:before="40"/>
              <w:jc w:val="left"/>
            </w:pPr>
            <w:r>
              <w:rPr>
                <w:sz w:val="17"/>
              </w:rPr>
              <w:t xml:space="preserve">Points on every order, tiers, birthday perks, streaks</w:t>
            </w:r>
          </w:p>
        </w:tc>
        <w:tc>
          <w:tcPr>
            <w:tcW w:w="2114" w:type="dxa"/>
          </w:tcPr>
          <w:p>
            <w:pPr>
              <w:pStyle w:val="Compact"/>
              <w:spacing w:after="40" w:before="40"/>
              <w:jc w:val="left"/>
            </w:pPr>
            <w:r>
              <w:rPr>
                <w:sz w:val="17"/>
              </w:rPr>
              <w:t xml:space="preserve">Goal-gradient; today only referrals earn points</w:t>
            </w:r>
          </w:p>
        </w:tc>
        <w:tc>
          <w:tcPr>
            <w:tcW w:w="2172" w:type="dxa"/>
          </w:tcPr>
          <w:p>
            <w:pPr>
              <w:pStyle w:val="Compact"/>
              <w:spacing w:after="40" w:before="40"/>
              <w:jc w:val="left"/>
            </w:pPr>
            <w:r>
              <w:rPr>
                <w:sz w:val="17"/>
              </w:rPr>
              <w:t xml:space="preserve">Retention; points are a liability to account for</w:t>
            </w:r>
          </w:p>
        </w:tc>
        <w:tc>
          <w:tcPr>
            <w:tcW w:w="717" w:type="dxa"/>
          </w:tcPr>
          <w:p>
            <w:pPr>
              <w:pStyle w:val="Compact"/>
              <w:spacing w:after="40" w:before="40"/>
              <w:jc w:val="left"/>
            </w:pPr>
            <w:r>
              <w:rPr>
                <w:sz w:val="17"/>
              </w:rPr>
              <w:t xml:space="preserve">P2 · S</w:t>
            </w:r>
          </w:p>
        </w:tc>
      </w:tr>
      <w:tr>
        <w:trPr>
          <w:cantSplit/>
        </w:trPr>
        <w:tc>
          <w:tcPr>
            <w:tcW w:w="1512" w:type="dxa"/>
            <w:shd w:val="clear" w:color="auto" w:fill="F4F6F9"/>
          </w:tcPr>
          <w:p>
            <w:pPr>
              <w:pStyle w:val="Compact"/>
              <w:spacing w:after="40" w:before="40"/>
              <w:jc w:val="left"/>
            </w:pPr>
            <w:r>
              <w:rPr>
                <w:sz w:val="17"/>
              </w:rPr>
              <w:t xml:space="preserve">M16 Verified photo reviews and real stats</w:t>
            </w:r>
          </w:p>
        </w:tc>
        <w:tc>
          <w:tcPr>
            <w:tcW w:w="3373" w:type="dxa"/>
            <w:shd w:val="clear" w:color="auto" w:fill="F4F6F9"/>
          </w:tcPr>
          <w:p>
            <w:pPr>
              <w:pStyle w:val="Compact"/>
              <w:spacing w:after="40" w:before="40"/>
              <w:jc w:val="left"/>
            </w:pPr>
            <w:r>
              <w:rPr>
                <w:sz w:val="17"/>
              </w:rPr>
              <w:t xml:space="preserve">On-time rate and ratings computed from the database; reviews tied to orders</w:t>
            </w:r>
          </w:p>
        </w:tc>
        <w:tc>
          <w:tcPr>
            <w:tcW w:w="2114" w:type="dxa"/>
            <w:shd w:val="clear" w:color="auto" w:fill="F4F6F9"/>
          </w:tcPr>
          <w:p>
            <w:pPr>
              <w:pStyle w:val="Compact"/>
              <w:spacing w:after="40" w:before="40"/>
              <w:jc w:val="left"/>
            </w:pPr>
            <w:r>
              <w:rPr>
                <w:sz w:val="17"/>
              </w:rPr>
              <w:t xml:space="preserve">Credibility; fixes the zero-counter issue</w:t>
            </w:r>
          </w:p>
        </w:tc>
        <w:tc>
          <w:tcPr>
            <w:tcW w:w="2172" w:type="dxa"/>
            <w:shd w:val="clear" w:color="auto" w:fill="F4F6F9"/>
          </w:tcPr>
          <w:p>
            <w:pPr>
              <w:pStyle w:val="Compact"/>
              <w:spacing w:after="40" w:before="40"/>
              <w:jc w:val="left"/>
            </w:pPr>
            <w:r>
              <w:rPr>
                <w:sz w:val="17"/>
              </w:rPr>
              <w:t xml:space="preserve">Conversion for first-time buyers</w:t>
            </w:r>
          </w:p>
        </w:tc>
        <w:tc>
          <w:tcPr>
            <w:tcW w:w="717" w:type="dxa"/>
            <w:shd w:val="clear" w:color="auto" w:fill="F4F6F9"/>
          </w:tcPr>
          <w:p>
            <w:pPr>
              <w:pStyle w:val="Compact"/>
              <w:spacing w:after="40" w:before="40"/>
              <w:jc w:val="left"/>
            </w:pPr>
            <w:r>
              <w:rPr>
                <w:sz w:val="17"/>
              </w:rPr>
              <w:t xml:space="preserve">P0 · S</w:t>
            </w:r>
          </w:p>
        </w:tc>
      </w:tr>
      <w:tr>
        <w:trPr>
          <w:cantSplit/>
        </w:trPr>
        <w:tc>
          <w:tcPr>
            <w:tcW w:w="1512" w:type="dxa"/>
          </w:tcPr>
          <w:p>
            <w:pPr>
              <w:pStyle w:val="Compact"/>
              <w:spacing w:after="40" w:before="40"/>
              <w:jc w:val="left"/>
            </w:pPr>
            <w:r>
              <w:rPr>
                <w:sz w:val="17"/>
              </w:rPr>
              <w:t xml:space="preserve">M17 Recurring boxes</w:t>
            </w:r>
          </w:p>
        </w:tc>
        <w:tc>
          <w:tcPr>
            <w:tcW w:w="3373" w:type="dxa"/>
          </w:tcPr>
          <w:p>
            <w:pPr>
              <w:pStyle w:val="Compact"/>
              <w:spacing w:after="40" w:before="40"/>
              <w:jc w:val="left"/>
            </w:pPr>
            <w:r>
              <w:rPr>
                <w:sz w:val="17"/>
              </w:rPr>
              <w:t xml:space="preserve">Monthly self-care, coffee or treat boxes;</w:t>
            </w:r>
            <w:r>
              <w:rPr>
                <w:sz w:val="17"/>
              </w:rPr>
              <w:t xml:space="preserve"> </w:t>
            </w:r>
            <w:r>
              <w:rPr>
                <w:sz w:val="17"/>
              </w:rPr>
              <w:t xml:space="preserve">“</w:t>
            </w:r>
            <w:r>
              <w:rPr>
                <w:sz w:val="17"/>
              </w:rPr>
              <w:t xml:space="preserve">gift a year of</w:t>
            </w:r>
            <w:r>
              <w:rPr>
                <w:sz w:val="17"/>
              </w:rPr>
              <w:t xml:space="preserve">”</w:t>
            </w:r>
            <w:r>
              <w:rPr>
                <w:sz w:val="17"/>
              </w:rPr>
              <w:t xml:space="preserve"> </w:t>
            </w:r>
            <w:r>
              <w:rPr>
                <w:sz w:val="17"/>
              </w:rPr>
              <w:t xml:space="preserve">plans</w:t>
            </w:r>
          </w:p>
        </w:tc>
        <w:tc>
          <w:tcPr>
            <w:tcW w:w="2114" w:type="dxa"/>
          </w:tcPr>
          <w:p>
            <w:pPr>
              <w:pStyle w:val="Compact"/>
              <w:spacing w:after="40" w:before="40"/>
              <w:jc w:val="left"/>
            </w:pPr>
            <w:r>
              <w:rPr>
                <w:sz w:val="17"/>
              </w:rPr>
              <w:t xml:space="preserve">Extends auto-send beyond fixed dates</w:t>
            </w:r>
          </w:p>
        </w:tc>
        <w:tc>
          <w:tcPr>
            <w:tcW w:w="2172" w:type="dxa"/>
          </w:tcPr>
          <w:p>
            <w:pPr>
              <w:pStyle w:val="Compact"/>
              <w:spacing w:after="40" w:before="40"/>
              <w:jc w:val="left"/>
            </w:pPr>
            <w:r>
              <w:rPr>
                <w:sz w:val="17"/>
              </w:rPr>
              <w:t xml:space="preserve">Predictable revenue</w:t>
            </w:r>
          </w:p>
        </w:tc>
        <w:tc>
          <w:tcPr>
            <w:tcW w:w="717" w:type="dxa"/>
          </w:tcPr>
          <w:p>
            <w:pPr>
              <w:pStyle w:val="Compact"/>
              <w:spacing w:after="40" w:before="40"/>
              <w:jc w:val="left"/>
            </w:pPr>
            <w:r>
              <w:rPr>
                <w:sz w:val="17"/>
              </w:rPr>
              <w:t xml:space="preserve">P2 · M</w:t>
            </w:r>
          </w:p>
        </w:tc>
      </w:tr>
      <w:tr>
        <w:trPr>
          <w:cantSplit/>
        </w:trPr>
        <w:tc>
          <w:tcPr>
            <w:tcW w:w="1512" w:type="dxa"/>
            <w:shd w:val="clear" w:color="auto" w:fill="F4F6F9"/>
          </w:tcPr>
          <w:p>
            <w:pPr>
              <w:pStyle w:val="Compact"/>
              <w:spacing w:after="40" w:before="40"/>
              <w:jc w:val="left"/>
            </w:pPr>
            <w:r>
              <w:rPr>
                <w:sz w:val="17"/>
              </w:rPr>
              <w:t xml:space="preserve">M18 Year-in-gifts recap</w:t>
            </w:r>
          </w:p>
        </w:tc>
        <w:tc>
          <w:tcPr>
            <w:tcW w:w="3373" w:type="dxa"/>
            <w:shd w:val="clear" w:color="auto" w:fill="F4F6F9"/>
          </w:tcPr>
          <w:p>
            <w:pPr>
              <w:pStyle w:val="Compact"/>
              <w:spacing w:after="40" w:before="40"/>
              <w:jc w:val="left"/>
            </w:pPr>
            <w:r>
              <w:rPr>
                <w:sz w:val="17"/>
              </w:rPr>
              <w:t xml:space="preserve">Opt-in summary of gifts sent, spend and favourite occasions, shareable</w:t>
            </w:r>
          </w:p>
        </w:tc>
        <w:tc>
          <w:tcPr>
            <w:tcW w:w="2114" w:type="dxa"/>
            <w:shd w:val="clear" w:color="auto" w:fill="F4F6F9"/>
          </w:tcPr>
          <w:p>
            <w:pPr>
              <w:pStyle w:val="Compact"/>
              <w:spacing w:after="40" w:before="40"/>
              <w:jc w:val="left"/>
            </w:pPr>
            <w:r>
              <w:rPr>
                <w:sz w:val="17"/>
              </w:rPr>
              <w:t xml:space="preserve">Peak-end and social sharing</w:t>
            </w:r>
          </w:p>
        </w:tc>
        <w:tc>
          <w:tcPr>
            <w:tcW w:w="2172" w:type="dxa"/>
            <w:shd w:val="clear" w:color="auto" w:fill="F4F6F9"/>
          </w:tcPr>
          <w:p>
            <w:pPr>
              <w:pStyle w:val="Compact"/>
              <w:spacing w:after="40" w:before="40"/>
              <w:jc w:val="left"/>
            </w:pPr>
            <w:r>
              <w:rPr>
                <w:sz w:val="17"/>
              </w:rPr>
              <w:t xml:space="preserve">Free marketing each December; recipients’ names stay private</w:t>
            </w:r>
          </w:p>
        </w:tc>
        <w:tc>
          <w:tcPr>
            <w:tcW w:w="717" w:type="dxa"/>
            <w:shd w:val="clear" w:color="auto" w:fill="F4F6F9"/>
          </w:tcPr>
          <w:p>
            <w:pPr>
              <w:pStyle w:val="Compact"/>
              <w:spacing w:after="40" w:before="40"/>
              <w:jc w:val="left"/>
            </w:pPr>
            <w:r>
              <w:rPr>
                <w:sz w:val="17"/>
              </w:rPr>
              <w:t xml:space="preserve">P2 · S</w:t>
            </w:r>
          </w:p>
        </w:tc>
      </w:tr>
    </w:tbl>
    <w:bookmarkEnd w:id="51"/>
    <w:bookmarkStart w:id="52" w:name="safety-and-inclusion"/>
    <w:p>
      <w:pPr>
        <w:pStyle w:val="Heading3"/>
      </w:pPr>
      <w:r>
        <w:t xml:space="preserve">Safety and inclusion</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512"/>
        <w:gridCol w:w="3582"/>
        <w:gridCol w:w="1590"/>
        <w:gridCol w:w="2420"/>
        <w:gridCol w:w="784"/>
      </w:tblGrid>
      <w:tr>
        <w:trPr>
          <w:tblHeader w:val="true"/>
          <w:cantSplit/>
          <w:tblHeader/>
        </w:trPr>
        <w:tc>
          <w:tcPr>
            <w:tcW w:w="1512" w:type="dxa"/>
            <w:shd w:val="clear" w:color="auto" w:fill="1F3A5F"/>
          </w:tcPr>
          <w:p>
            <w:pPr>
              <w:pStyle w:val="Compact"/>
              <w:spacing w:after="40" w:before="40"/>
              <w:jc w:val="left"/>
            </w:pPr>
            <w:r>
              <w:rPr>
                <w:b/>
                <w:color w:val="FFFFFF"/>
                <w:sz w:val="17"/>
              </w:rPr>
              <w:t xml:space="preserve">Feature</w:t>
            </w:r>
          </w:p>
        </w:tc>
        <w:tc>
          <w:tcPr>
            <w:tcW w:w="3582" w:type="dxa"/>
            <w:shd w:val="clear" w:color="auto" w:fill="1F3A5F"/>
          </w:tcPr>
          <w:p>
            <w:pPr>
              <w:pStyle w:val="Compact"/>
              <w:spacing w:after="40" w:before="40"/>
              <w:jc w:val="left"/>
            </w:pPr>
            <w:r>
              <w:rPr>
                <w:b/>
                <w:color w:val="FFFFFF"/>
                <w:sz w:val="17"/>
              </w:rPr>
              <w:t xml:space="preserve">What it does</w:t>
            </w:r>
          </w:p>
        </w:tc>
        <w:tc>
          <w:tcPr>
            <w:tcW w:w="1590" w:type="dxa"/>
            <w:shd w:val="clear" w:color="auto" w:fill="1F3A5F"/>
          </w:tcPr>
          <w:p>
            <w:pPr>
              <w:pStyle w:val="Compact"/>
              <w:spacing w:after="40" w:before="40"/>
              <w:jc w:val="left"/>
            </w:pPr>
            <w:r>
              <w:rPr>
                <w:b/>
                <w:color w:val="FFFFFF"/>
                <w:sz w:val="17"/>
              </w:rPr>
              <w:t xml:space="preserve">Why</w:t>
            </w:r>
          </w:p>
        </w:tc>
        <w:tc>
          <w:tcPr>
            <w:tcW w:w="2420" w:type="dxa"/>
            <w:shd w:val="clear" w:color="auto" w:fill="1F3A5F"/>
          </w:tcPr>
          <w:p>
            <w:pPr>
              <w:pStyle w:val="Compact"/>
              <w:spacing w:after="40" w:before="40"/>
              <w:jc w:val="left"/>
            </w:pPr>
            <w:r>
              <w:rPr>
                <w:b/>
                <w:color w:val="FFFFFF"/>
                <w:sz w:val="17"/>
              </w:rPr>
              <w:t xml:space="preserve">Commercial angle</w:t>
            </w:r>
          </w:p>
        </w:tc>
        <w:tc>
          <w:tcPr>
            <w:tcW w:w="784" w:type="dxa"/>
            <w:shd w:val="clear" w:color="auto" w:fill="1F3A5F"/>
          </w:tcPr>
          <w:p>
            <w:pPr>
              <w:pStyle w:val="Compact"/>
              <w:spacing w:after="40" w:before="40"/>
              <w:jc w:val="left"/>
            </w:pPr>
            <w:r>
              <w:rPr>
                <w:b/>
                <w:color w:val="FFFFFF"/>
                <w:sz w:val="17"/>
              </w:rPr>
              <w:t xml:space="preserve">Pri · Effort</w:t>
            </w:r>
          </w:p>
        </w:tc>
      </w:tr>
      <w:tr>
        <w:trPr>
          <w:cantSplit/>
        </w:trPr>
        <w:tc>
          <w:tcPr>
            <w:tcW w:w="1512" w:type="dxa"/>
          </w:tcPr>
          <w:p>
            <w:pPr>
              <w:pStyle w:val="Compact"/>
              <w:spacing w:after="40" w:before="40"/>
              <w:jc w:val="left"/>
            </w:pPr>
            <w:r>
              <w:rPr>
                <w:sz w:val="17"/>
              </w:rPr>
              <w:t xml:space="preserve">M19 Alcohol safeguards</w:t>
            </w:r>
          </w:p>
        </w:tc>
        <w:tc>
          <w:tcPr>
            <w:tcW w:w="3582" w:type="dxa"/>
          </w:tcPr>
          <w:p>
            <w:pPr>
              <w:pStyle w:val="Compact"/>
              <w:spacing w:after="40" w:before="40"/>
              <w:jc w:val="left"/>
            </w:pPr>
            <w:r>
              <w:rPr>
                <w:sz w:val="17"/>
              </w:rPr>
              <w:t xml:space="preserve">18+ gate, age check on delivery, non-alcoholic filter, culture-aware suggestions</w:t>
            </w:r>
          </w:p>
        </w:tc>
        <w:tc>
          <w:tcPr>
            <w:tcW w:w="1590" w:type="dxa"/>
          </w:tcPr>
          <w:p>
            <w:pPr>
              <w:pStyle w:val="Compact"/>
              <w:spacing w:after="40" w:before="40"/>
              <w:jc w:val="left"/>
            </w:pPr>
            <w:r>
              <w:rPr>
                <w:sz w:val="17"/>
              </w:rPr>
              <w:t xml:space="preserve">Ethical design and compliance</w:t>
            </w:r>
          </w:p>
        </w:tc>
        <w:tc>
          <w:tcPr>
            <w:tcW w:w="2420" w:type="dxa"/>
          </w:tcPr>
          <w:p>
            <w:pPr>
              <w:pStyle w:val="Compact"/>
              <w:spacing w:after="40" w:before="40"/>
              <w:jc w:val="left"/>
            </w:pPr>
            <w:r>
              <w:rPr>
                <w:sz w:val="17"/>
              </w:rPr>
              <w:t xml:space="preserve">Protects the business and widens the audience</w:t>
            </w:r>
          </w:p>
        </w:tc>
        <w:tc>
          <w:tcPr>
            <w:tcW w:w="784" w:type="dxa"/>
          </w:tcPr>
          <w:p>
            <w:pPr>
              <w:pStyle w:val="Compact"/>
              <w:spacing w:after="40" w:before="40"/>
              <w:jc w:val="left"/>
            </w:pPr>
            <w:r>
              <w:rPr>
                <w:sz w:val="17"/>
              </w:rPr>
              <w:t xml:space="preserve">P0 · S</w:t>
            </w:r>
          </w:p>
        </w:tc>
      </w:tr>
      <w:tr>
        <w:trPr>
          <w:cantSplit/>
        </w:trPr>
        <w:tc>
          <w:tcPr>
            <w:tcW w:w="1512" w:type="dxa"/>
            <w:shd w:val="clear" w:color="auto" w:fill="F4F6F9"/>
          </w:tcPr>
          <w:p>
            <w:pPr>
              <w:pStyle w:val="Compact"/>
              <w:spacing w:after="40" w:before="40"/>
              <w:jc w:val="left"/>
            </w:pPr>
            <w:r>
              <w:rPr>
                <w:sz w:val="17"/>
              </w:rPr>
              <w:t xml:space="preserve">M20 Accessibility and language</w:t>
            </w:r>
          </w:p>
        </w:tc>
        <w:tc>
          <w:tcPr>
            <w:tcW w:w="3582" w:type="dxa"/>
            <w:shd w:val="clear" w:color="auto" w:fill="F4F6F9"/>
          </w:tcPr>
          <w:p>
            <w:pPr>
              <w:pStyle w:val="Compact"/>
              <w:spacing w:after="40" w:before="40"/>
              <w:jc w:val="left"/>
            </w:pPr>
            <w:r>
              <w:rPr>
                <w:sz w:val="17"/>
              </w:rPr>
              <w:t xml:space="preserve">English and Swahili, WCAG 2.2 AA audit, low-data mode</w:t>
            </w:r>
          </w:p>
        </w:tc>
        <w:tc>
          <w:tcPr>
            <w:tcW w:w="1590" w:type="dxa"/>
            <w:shd w:val="clear" w:color="auto" w:fill="F4F6F9"/>
          </w:tcPr>
          <w:p>
            <w:pPr>
              <w:pStyle w:val="Compact"/>
              <w:spacing w:after="40" w:before="40"/>
              <w:jc w:val="left"/>
            </w:pPr>
            <w:r>
              <w:rPr>
                <w:sz w:val="17"/>
              </w:rPr>
              <w:t xml:space="preserve">Inclusive design</w:t>
            </w:r>
          </w:p>
        </w:tc>
        <w:tc>
          <w:tcPr>
            <w:tcW w:w="2420" w:type="dxa"/>
            <w:shd w:val="clear" w:color="auto" w:fill="F4F6F9"/>
          </w:tcPr>
          <w:p>
            <w:pPr>
              <w:pStyle w:val="Compact"/>
              <w:spacing w:after="40" w:before="40"/>
              <w:jc w:val="left"/>
            </w:pPr>
            <w:r>
              <w:rPr>
                <w:sz w:val="17"/>
              </w:rPr>
              <w:t xml:space="preserve">Wider reach and lower legal and reputational risk</w:t>
            </w:r>
          </w:p>
        </w:tc>
        <w:tc>
          <w:tcPr>
            <w:tcW w:w="784" w:type="dxa"/>
            <w:shd w:val="clear" w:color="auto" w:fill="F4F6F9"/>
          </w:tcPr>
          <w:p>
            <w:pPr>
              <w:pStyle w:val="Compact"/>
              <w:spacing w:after="40" w:before="40"/>
              <w:jc w:val="left"/>
            </w:pPr>
            <w:r>
              <w:rPr>
                <w:sz w:val="17"/>
              </w:rPr>
              <w:t xml:space="preserve">P1 · M</w:t>
            </w:r>
          </w:p>
        </w:tc>
      </w:tr>
    </w:tbl>
    <w:bookmarkEnd w:id="52"/>
    <w:bookmarkEnd w:id="53"/>
    <w:bookmarkStart w:id="58" w:name="pool-gifting-deep-dive"/>
    <w:p>
      <w:pPr>
        <w:pStyle w:val="Heading2"/>
      </w:pPr>
      <w:r>
        <w:t xml:space="preserve">Pool gifting deep dive</w:t>
      </w:r>
    </w:p>
    <w:p>
      <w:pPr>
        <w:pStyle w:val="FirstParagraph"/>
      </w:pPr>
      <w:r>
        <w:t xml:space="preserve">Pool gifting is TouchGift’s most distinctive feature and its biggest trust risk, because people hand money to a link someone else shared. Make the money visibly safe first, then add the social features.</w:t>
      </w:r>
    </w:p>
    <w:p>
      <w:pPr>
        <w:pStyle w:val="BodyText"/>
      </w:pPr>
      <w:r>
        <w:t xml:space="preserve">What is visible today: the Gift Lab says everyone pays their portion by M-Pesa and the order places itself, and the WhatsApp templates show a target, a minimum contribution, a deadline, a contributor count and a</w:t>
      </w:r>
      <w:r>
        <w:t xml:space="preserve"> </w:t>
      </w:r>
      <w:r>
        <w:t xml:space="preserve">“</w:t>
      </w:r>
      <w:r>
        <w:t xml:space="preserve">target reached</w:t>
      </w:r>
      <w:r>
        <w:t xml:space="preserve">”</w:t>
      </w:r>
      <w:r>
        <w:t xml:space="preserve"> </w:t>
      </w:r>
      <w:r>
        <w:t xml:space="preserve">message. I could not see what happens on shortfall, surplus or cancellation, so the lifecycle below proposes those rules.</w:t>
      </w:r>
    </w:p>
    <w:p>
      <w:pPr>
        <w:pStyle w:val="BodyText"/>
      </w:pPr>
      <w:r>
        <w:rPr>
          <w:bCs/>
          <w:b/>
        </w:rPr>
        <w:t xml:space="preserve">Pool lifecycle</w:t>
      </w:r>
    </w:p>
    <w:p>
      <w:pPr>
        <w:numPr>
          <w:ilvl w:val="0"/>
          <w:numId w:val="1004"/>
        </w:numPr>
        <w:pStyle w:val="Compact"/>
      </w:pPr>
      <w:r>
        <w:t xml:space="preserve">Organiser creates the pool.</w:t>
      </w:r>
    </w:p>
    <w:p>
      <w:pPr>
        <w:numPr>
          <w:ilvl w:val="0"/>
          <w:numId w:val="1004"/>
        </w:numPr>
        <w:pStyle w:val="Compact"/>
      </w:pPr>
      <w:r>
        <w:t xml:space="preserve">Organiser invites contributors by link.</w:t>
      </w:r>
    </w:p>
    <w:p>
      <w:pPr>
        <w:numPr>
          <w:ilvl w:val="0"/>
          <w:numId w:val="1004"/>
        </w:numPr>
        <w:pStyle w:val="Compact"/>
      </w:pPr>
      <w:r>
        <w:t xml:space="preserve">Contributors pay by M-Pesa; the ledger updates.</w:t>
      </w:r>
    </w:p>
    <w:p>
      <w:pPr>
        <w:numPr>
          <w:ilvl w:val="0"/>
          <w:numId w:val="1004"/>
        </w:numPr>
        <w:pStyle w:val="Compact"/>
      </w:pPr>
      <w:r>
        <w:t xml:space="preserve">Decision at the deadline: is the target met?</w:t>
      </w:r>
    </w:p>
    <w:p>
      <w:pPr>
        <w:numPr>
          <w:ilvl w:val="1"/>
          <w:numId w:val="1005"/>
        </w:numPr>
        <w:pStyle w:val="Compact"/>
      </w:pPr>
      <w:r>
        <w:rPr>
          <w:bCs/>
          <w:b/>
        </w:rPr>
        <w:t xml:space="preserve">Yes:</w:t>
      </w:r>
      <w:r>
        <w:t xml:space="preserve"> </w:t>
      </w:r>
      <w:r>
        <w:t xml:space="preserve">the order is placed automatically, then photo proof, delivery and a thank-you note. If the pool is over target: upgrade the gift, add a card, or issue a gift card.</w:t>
      </w:r>
    </w:p>
    <w:p>
      <w:pPr>
        <w:numPr>
          <w:ilvl w:val="1"/>
          <w:numId w:val="1005"/>
        </w:numPr>
        <w:pStyle w:val="Compact"/>
      </w:pPr>
      <w:r>
        <w:rPr>
          <w:bCs/>
          <w:b/>
        </w:rPr>
        <w:t xml:space="preserve">No:</w:t>
      </w:r>
      <w:r>
        <w:t xml:space="preserve"> </w:t>
      </w:r>
      <w:r>
        <w:t xml:space="preserve">the organiser picks one outcome:</w:t>
      </w:r>
      <w:r>
        <w:t xml:space="preserve"> </w:t>
      </w:r>
      <w:r>
        <w:rPr>
          <w:bCs/>
          <w:b/>
        </w:rPr>
        <w:t xml:space="preserve">downsize</w:t>
      </w:r>
      <w:r>
        <w:t xml:space="preserve"> </w:t>
      </w:r>
      <w:r>
        <w:t xml:space="preserve">to a cheaper best-fit gift,</w:t>
      </w:r>
      <w:r>
        <w:t xml:space="preserve"> </w:t>
      </w:r>
      <w:r>
        <w:rPr>
          <w:bCs/>
          <w:b/>
        </w:rPr>
        <w:t xml:space="preserve">top up</w:t>
      </w:r>
      <w:r>
        <w:t xml:space="preserve"> </w:t>
      </w:r>
      <w:r>
        <w:t xml:space="preserve">the shortfall,</w:t>
      </w:r>
      <w:r>
        <w:t xml:space="preserve"> </w:t>
      </w:r>
      <w:r>
        <w:rPr>
          <w:bCs/>
          <w:b/>
        </w:rPr>
        <w:t xml:space="preserve">extend</w:t>
      </w:r>
      <w:r>
        <w:t xml:space="preserve"> </w:t>
      </w:r>
      <w:r>
        <w:t xml:space="preserve">once (returns to step 3), or</w:t>
      </w:r>
      <w:r>
        <w:t xml:space="preserve"> </w:t>
      </w:r>
      <w:r>
        <w:rPr>
          <w:bCs/>
          <w:b/>
        </w:rPr>
        <w:t xml:space="preserve">refund all</w:t>
      </w:r>
      <w:r>
        <w:t xml:space="preserve"> </w:t>
      </w:r>
      <w:r>
        <w:t xml:space="preserve">(ends the pool). Downsize and top up lead to an order.</w:t>
      </w:r>
    </w:p>
    <w:bookmarkStart w:id="54" w:name="design-rules"/>
    <w:p>
      <w:pPr>
        <w:pStyle w:val="Heading3"/>
      </w:pPr>
      <w:r>
        <w:t xml:space="preserve">Design rules</w:t>
      </w:r>
    </w:p>
    <w:p>
      <w:pPr>
        <w:numPr>
          <w:ilvl w:val="0"/>
          <w:numId w:val="1006"/>
        </w:numPr>
        <w:pStyle w:val="Compact"/>
      </w:pPr>
      <w:r>
        <w:t xml:space="preserve">Money moves only toward a TouchGift order or back to the contributor. The organiser never holds it.</w:t>
      </w:r>
    </w:p>
    <w:p>
      <w:pPr>
        <w:numPr>
          <w:ilvl w:val="0"/>
          <w:numId w:val="1006"/>
        </w:numPr>
        <w:pStyle w:val="Compact"/>
      </w:pPr>
      <w:r>
        <w:t xml:space="preserve">Every contributor gets a receipt and sees the running total.</w:t>
      </w:r>
    </w:p>
    <w:p>
      <w:pPr>
        <w:numPr>
          <w:ilvl w:val="0"/>
          <w:numId w:val="1006"/>
        </w:numPr>
        <w:pStyle w:val="Compact"/>
      </w:pPr>
      <w:r>
        <w:t xml:space="preserve">Every dead end has an automatic outcome: refund, downsize, top up or extend.</w:t>
      </w:r>
    </w:p>
    <w:p>
      <w:pPr>
        <w:numPr>
          <w:ilvl w:val="0"/>
          <w:numId w:val="1006"/>
        </w:numPr>
        <w:pStyle w:val="Compact"/>
      </w:pPr>
      <w:r>
        <w:t xml:space="preserve">Reminders respect people: the organiser sets the cadence, at most two nudges, no public shaming.</w:t>
      </w:r>
    </w:p>
    <w:p>
      <w:pPr>
        <w:numPr>
          <w:ilvl w:val="0"/>
          <w:numId w:val="1006"/>
        </w:numPr>
        <w:pStyle w:val="Compact"/>
      </w:pPr>
      <w:r>
        <w:t xml:space="preserve">Contributing should take well under a minute without creating an account.</w:t>
      </w:r>
    </w:p>
    <w:bookmarkEnd w:id="54"/>
    <w:bookmarkStart w:id="55" w:name="proposals"/>
    <w:p>
      <w:pPr>
        <w:pStyle w:val="Heading3"/>
      </w:pPr>
      <w:r>
        <w:t xml:space="preserve">Proposals</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512"/>
        <w:gridCol w:w="3866"/>
        <w:gridCol w:w="1620"/>
        <w:gridCol w:w="2219"/>
        <w:gridCol w:w="671"/>
      </w:tblGrid>
      <w:tr>
        <w:trPr>
          <w:tblHeader w:val="true"/>
          <w:cantSplit/>
          <w:tblHeader/>
        </w:trPr>
        <w:tc>
          <w:tcPr>
            <w:tcW w:w="1512" w:type="dxa"/>
            <w:shd w:val="clear" w:color="auto" w:fill="1F3A5F"/>
          </w:tcPr>
          <w:p>
            <w:pPr>
              <w:pStyle w:val="Compact"/>
              <w:spacing w:after="40" w:before="40"/>
              <w:jc w:val="left"/>
            </w:pPr>
            <w:r>
              <w:rPr>
                <w:b/>
                <w:color w:val="FFFFFF"/>
                <w:sz w:val="17"/>
              </w:rPr>
              <w:t xml:space="preserve">Feature</w:t>
            </w:r>
          </w:p>
        </w:tc>
        <w:tc>
          <w:tcPr>
            <w:tcW w:w="3866" w:type="dxa"/>
            <w:shd w:val="clear" w:color="auto" w:fill="1F3A5F"/>
          </w:tcPr>
          <w:p>
            <w:pPr>
              <w:pStyle w:val="Compact"/>
              <w:spacing w:after="40" w:before="40"/>
              <w:jc w:val="left"/>
            </w:pPr>
            <w:r>
              <w:rPr>
                <w:b/>
                <w:color w:val="FFFFFF"/>
                <w:sz w:val="17"/>
              </w:rPr>
              <w:t xml:space="preserve">What it does</w:t>
            </w:r>
          </w:p>
        </w:tc>
        <w:tc>
          <w:tcPr>
            <w:tcW w:w="1620" w:type="dxa"/>
            <w:shd w:val="clear" w:color="auto" w:fill="1F3A5F"/>
          </w:tcPr>
          <w:p>
            <w:pPr>
              <w:pStyle w:val="Compact"/>
              <w:spacing w:after="40" w:before="40"/>
              <w:jc w:val="left"/>
            </w:pPr>
            <w:r>
              <w:rPr>
                <w:b/>
                <w:color w:val="FFFFFF"/>
                <w:sz w:val="17"/>
              </w:rPr>
              <w:t xml:space="preserve">Why</w:t>
            </w:r>
          </w:p>
        </w:tc>
        <w:tc>
          <w:tcPr>
            <w:tcW w:w="2219" w:type="dxa"/>
            <w:shd w:val="clear" w:color="auto" w:fill="1F3A5F"/>
          </w:tcPr>
          <w:p>
            <w:pPr>
              <w:pStyle w:val="Compact"/>
              <w:spacing w:after="40" w:before="40"/>
              <w:jc w:val="left"/>
            </w:pPr>
            <w:r>
              <w:rPr>
                <w:b/>
                <w:color w:val="FFFFFF"/>
                <w:sz w:val="17"/>
              </w:rPr>
              <w:t xml:space="preserve">Commercial angle</w:t>
            </w:r>
          </w:p>
        </w:tc>
        <w:tc>
          <w:tcPr>
            <w:tcW w:w="671" w:type="dxa"/>
            <w:shd w:val="clear" w:color="auto" w:fill="1F3A5F"/>
          </w:tcPr>
          <w:p>
            <w:pPr>
              <w:pStyle w:val="Compact"/>
              <w:spacing w:after="40" w:before="40"/>
              <w:jc w:val="left"/>
            </w:pPr>
            <w:r>
              <w:rPr>
                <w:b/>
                <w:color w:val="FFFFFF"/>
                <w:sz w:val="17"/>
              </w:rPr>
              <w:t xml:space="preserve">Pri · Effort</w:t>
            </w:r>
          </w:p>
        </w:tc>
      </w:tr>
      <w:tr>
        <w:trPr>
          <w:cantSplit/>
        </w:trPr>
        <w:tc>
          <w:tcPr>
            <w:tcW w:w="1512" w:type="dxa"/>
          </w:tcPr>
          <w:p>
            <w:pPr>
              <w:pStyle w:val="Compact"/>
              <w:spacing w:after="40" w:before="40"/>
              <w:jc w:val="left"/>
            </w:pPr>
            <w:r>
              <w:rPr>
                <w:sz w:val="17"/>
              </w:rPr>
              <w:t xml:space="preserve">P1 Funds protection and ledger</w:t>
            </w:r>
          </w:p>
        </w:tc>
        <w:tc>
          <w:tcPr>
            <w:tcW w:w="3866" w:type="dxa"/>
          </w:tcPr>
          <w:p>
            <w:pPr>
              <w:pStyle w:val="Compact"/>
              <w:spacing w:after="40" w:before="40"/>
              <w:jc w:val="left"/>
            </w:pPr>
            <w:r>
              <w:rPr>
                <w:sz w:val="17"/>
              </w:rPr>
              <w:t xml:space="preserve">Each pool has its own payment reference; contributors get a receipt by SMS or WhatsApp; a ledger shows amounts (names optional); funds release only to the order</w:t>
            </w:r>
          </w:p>
        </w:tc>
        <w:tc>
          <w:tcPr>
            <w:tcW w:w="1620" w:type="dxa"/>
          </w:tcPr>
          <w:p>
            <w:pPr>
              <w:pStyle w:val="Compact"/>
              <w:spacing w:after="40" w:before="40"/>
              <w:jc w:val="left"/>
            </w:pPr>
            <w:r>
              <w:rPr>
                <w:sz w:val="17"/>
              </w:rPr>
              <w:t xml:space="preserve">Trust is the adoption barrier; visibility of status</w:t>
            </w:r>
          </w:p>
        </w:tc>
        <w:tc>
          <w:tcPr>
            <w:tcW w:w="2219" w:type="dxa"/>
          </w:tcPr>
          <w:p>
            <w:pPr>
              <w:pStyle w:val="Compact"/>
              <w:spacing w:after="40" w:before="40"/>
              <w:jc w:val="left"/>
            </w:pPr>
            <w:r>
              <w:rPr>
                <w:sz w:val="17"/>
              </w:rPr>
              <w:t xml:space="preserve">Higher completion rate; hold funds through a licensed payment partner</w:t>
            </w:r>
          </w:p>
        </w:tc>
        <w:tc>
          <w:tcPr>
            <w:tcW w:w="671" w:type="dxa"/>
          </w:tcPr>
          <w:p>
            <w:pPr>
              <w:pStyle w:val="Compact"/>
              <w:spacing w:after="40" w:before="40"/>
              <w:jc w:val="left"/>
            </w:pPr>
            <w:r>
              <w:rPr>
                <w:sz w:val="17"/>
              </w:rPr>
              <w:t xml:space="preserve">P0 · M</w:t>
            </w:r>
          </w:p>
        </w:tc>
      </w:tr>
      <w:tr>
        <w:trPr>
          <w:cantSplit/>
        </w:trPr>
        <w:tc>
          <w:tcPr>
            <w:tcW w:w="1512" w:type="dxa"/>
            <w:shd w:val="clear" w:color="auto" w:fill="F4F6F9"/>
          </w:tcPr>
          <w:p>
            <w:pPr>
              <w:pStyle w:val="Compact"/>
              <w:spacing w:after="40" w:before="40"/>
              <w:jc w:val="left"/>
            </w:pPr>
            <w:r>
              <w:rPr>
                <w:sz w:val="17"/>
              </w:rPr>
              <w:t xml:space="preserve">P2 Three funding modes</w:t>
            </w:r>
          </w:p>
        </w:tc>
        <w:tc>
          <w:tcPr>
            <w:tcW w:w="3866" w:type="dxa"/>
            <w:shd w:val="clear" w:color="auto" w:fill="F4F6F9"/>
          </w:tcPr>
          <w:p>
            <w:pPr>
              <w:pStyle w:val="Compact"/>
              <w:spacing w:after="40" w:before="40"/>
              <w:jc w:val="left"/>
            </w:pPr>
            <w:r>
              <w:rPr>
                <w:sz w:val="17"/>
              </w:rPr>
              <w:t xml:space="preserve">Fixed split, chip in what you can with suggested amounts, and a per-person cap</w:t>
            </w:r>
          </w:p>
        </w:tc>
        <w:tc>
          <w:tcPr>
            <w:tcW w:w="1620" w:type="dxa"/>
            <w:shd w:val="clear" w:color="auto" w:fill="F4F6F9"/>
          </w:tcPr>
          <w:p>
            <w:pPr>
              <w:pStyle w:val="Compact"/>
              <w:spacing w:after="40" w:before="40"/>
              <w:jc w:val="left"/>
            </w:pPr>
            <w:r>
              <w:rPr>
                <w:sz w:val="17"/>
              </w:rPr>
              <w:t xml:space="preserve">Defaults and anchoring; fairness; fits chama habits</w:t>
            </w:r>
          </w:p>
        </w:tc>
        <w:tc>
          <w:tcPr>
            <w:tcW w:w="2219" w:type="dxa"/>
            <w:shd w:val="clear" w:color="auto" w:fill="F4F6F9"/>
          </w:tcPr>
          <w:p>
            <w:pPr>
              <w:pStyle w:val="Compact"/>
              <w:spacing w:after="40" w:before="40"/>
              <w:jc w:val="left"/>
            </w:pPr>
            <w:r>
              <w:rPr>
                <w:sz w:val="17"/>
              </w:rPr>
              <w:t xml:space="preserve">Higher completion</w:t>
            </w:r>
          </w:p>
        </w:tc>
        <w:tc>
          <w:tcPr>
            <w:tcW w:w="671" w:type="dxa"/>
            <w:shd w:val="clear" w:color="auto" w:fill="F4F6F9"/>
          </w:tcPr>
          <w:p>
            <w:pPr>
              <w:pStyle w:val="Compact"/>
              <w:spacing w:after="40" w:before="40"/>
              <w:jc w:val="left"/>
            </w:pPr>
            <w:r>
              <w:rPr>
                <w:sz w:val="17"/>
              </w:rPr>
              <w:t xml:space="preserve">P1 · S</w:t>
            </w:r>
          </w:p>
        </w:tc>
      </w:tr>
      <w:tr>
        <w:trPr>
          <w:cantSplit/>
        </w:trPr>
        <w:tc>
          <w:tcPr>
            <w:tcW w:w="1512" w:type="dxa"/>
          </w:tcPr>
          <w:p>
            <w:pPr>
              <w:pStyle w:val="Compact"/>
              <w:spacing w:after="40" w:before="40"/>
              <w:jc w:val="left"/>
            </w:pPr>
            <w:r>
              <w:rPr>
                <w:sz w:val="17"/>
              </w:rPr>
              <w:t xml:space="preserve">P3 Shortfall and surplus rules</w:t>
            </w:r>
          </w:p>
        </w:tc>
        <w:tc>
          <w:tcPr>
            <w:tcW w:w="3866" w:type="dxa"/>
          </w:tcPr>
          <w:p>
            <w:pPr>
              <w:pStyle w:val="Compact"/>
              <w:spacing w:after="40" w:before="40"/>
              <w:jc w:val="left"/>
            </w:pPr>
            <w:r>
              <w:rPr>
                <w:sz w:val="17"/>
              </w:rPr>
              <w:t xml:space="preserve">At the deadline: downsize to a cheaper best-fit gift, organiser tops up, extend once, or refund. Surplus: upgrade, add card or flowers, or turn into a gift card</w:t>
            </w:r>
          </w:p>
        </w:tc>
        <w:tc>
          <w:tcPr>
            <w:tcW w:w="1620" w:type="dxa"/>
          </w:tcPr>
          <w:p>
            <w:pPr>
              <w:pStyle w:val="Compact"/>
              <w:spacing w:after="40" w:before="40"/>
              <w:jc w:val="left"/>
            </w:pPr>
            <w:r>
              <w:rPr>
                <w:sz w:val="17"/>
              </w:rPr>
              <w:t xml:space="preserve">Error recovery; user control</w:t>
            </w:r>
          </w:p>
        </w:tc>
        <w:tc>
          <w:tcPr>
            <w:tcW w:w="2219" w:type="dxa"/>
          </w:tcPr>
          <w:p>
            <w:pPr>
              <w:pStyle w:val="Compact"/>
              <w:spacing w:after="40" w:before="40"/>
              <w:jc w:val="left"/>
            </w:pPr>
            <w:r>
              <w:rPr>
                <w:sz w:val="17"/>
              </w:rPr>
              <w:t xml:space="preserve">Turns failed pools into smaller orders and surplus into add-ons</w:t>
            </w:r>
          </w:p>
        </w:tc>
        <w:tc>
          <w:tcPr>
            <w:tcW w:w="671" w:type="dxa"/>
          </w:tcPr>
          <w:p>
            <w:pPr>
              <w:pStyle w:val="Compact"/>
              <w:spacing w:after="40" w:before="40"/>
              <w:jc w:val="left"/>
            </w:pPr>
            <w:r>
              <w:rPr>
                <w:sz w:val="17"/>
              </w:rPr>
              <w:t xml:space="preserve">P0 · M</w:t>
            </w:r>
          </w:p>
        </w:tc>
      </w:tr>
      <w:tr>
        <w:trPr>
          <w:cantSplit/>
        </w:trPr>
        <w:tc>
          <w:tcPr>
            <w:tcW w:w="1512" w:type="dxa"/>
            <w:shd w:val="clear" w:color="auto" w:fill="F4F6F9"/>
          </w:tcPr>
          <w:p>
            <w:pPr>
              <w:pStyle w:val="Compact"/>
              <w:spacing w:after="40" w:before="40"/>
              <w:jc w:val="left"/>
            </w:pPr>
            <w:r>
              <w:rPr>
                <w:sz w:val="17"/>
              </w:rPr>
              <w:t xml:space="preserve">P4 Vote or recipient pick</w:t>
            </w:r>
          </w:p>
        </w:tc>
        <w:tc>
          <w:tcPr>
            <w:tcW w:w="3866" w:type="dxa"/>
            <w:shd w:val="clear" w:color="auto" w:fill="F4F6F9"/>
          </w:tcPr>
          <w:p>
            <w:pPr>
              <w:pStyle w:val="Compact"/>
              <w:spacing w:after="40" w:before="40"/>
              <w:jc w:val="left"/>
            </w:pPr>
            <w:r>
              <w:rPr>
                <w:sz w:val="17"/>
              </w:rPr>
              <w:t xml:space="preserve">Contributors vote among three options, or the recipient chooses through a gift link</w:t>
            </w:r>
          </w:p>
        </w:tc>
        <w:tc>
          <w:tcPr>
            <w:tcW w:w="1620" w:type="dxa"/>
            <w:shd w:val="clear" w:color="auto" w:fill="F4F6F9"/>
          </w:tcPr>
          <w:p>
            <w:pPr>
              <w:pStyle w:val="Compact"/>
              <w:spacing w:after="40" w:before="40"/>
              <w:jc w:val="left"/>
            </w:pPr>
            <w:r>
              <w:rPr>
                <w:sz w:val="17"/>
              </w:rPr>
              <w:t xml:space="preserve">Participation builds ownership (IKEA effect); autonomy</w:t>
            </w:r>
          </w:p>
        </w:tc>
        <w:tc>
          <w:tcPr>
            <w:tcW w:w="2219" w:type="dxa"/>
            <w:shd w:val="clear" w:color="auto" w:fill="F4F6F9"/>
          </w:tcPr>
          <w:p>
            <w:pPr>
              <w:pStyle w:val="Compact"/>
              <w:spacing w:after="40" w:before="40"/>
              <w:jc w:val="left"/>
            </w:pPr>
            <w:r>
              <w:rPr>
                <w:sz w:val="17"/>
              </w:rPr>
              <w:t xml:space="preserve">Fewer wrong gifts</w:t>
            </w:r>
          </w:p>
        </w:tc>
        <w:tc>
          <w:tcPr>
            <w:tcW w:w="671" w:type="dxa"/>
            <w:shd w:val="clear" w:color="auto" w:fill="F4F6F9"/>
          </w:tcPr>
          <w:p>
            <w:pPr>
              <w:pStyle w:val="Compact"/>
              <w:spacing w:after="40" w:before="40"/>
              <w:jc w:val="left"/>
            </w:pPr>
            <w:r>
              <w:rPr>
                <w:sz w:val="17"/>
              </w:rPr>
              <w:t xml:space="preserve">P2 · M</w:t>
            </w:r>
          </w:p>
        </w:tc>
      </w:tr>
      <w:tr>
        <w:trPr>
          <w:cantSplit/>
        </w:trPr>
        <w:tc>
          <w:tcPr>
            <w:tcW w:w="1512" w:type="dxa"/>
          </w:tcPr>
          <w:p>
            <w:pPr>
              <w:pStyle w:val="Compact"/>
              <w:spacing w:after="40" w:before="40"/>
              <w:jc w:val="left"/>
            </w:pPr>
            <w:r>
              <w:rPr>
                <w:sz w:val="17"/>
              </w:rPr>
              <w:t xml:space="preserve">P5 Group card</w:t>
            </w:r>
          </w:p>
        </w:tc>
        <w:tc>
          <w:tcPr>
            <w:tcW w:w="3866" w:type="dxa"/>
          </w:tcPr>
          <w:p>
            <w:pPr>
              <w:pStyle w:val="Compact"/>
              <w:spacing w:after="40" w:before="40"/>
              <w:jc w:val="left"/>
            </w:pPr>
            <w:r>
              <w:rPr>
                <w:sz w:val="17"/>
              </w:rPr>
              <w:t xml:space="preserve">Everyone adds a message, photo or voice note; printed card or QR page</w:t>
            </w:r>
          </w:p>
        </w:tc>
        <w:tc>
          <w:tcPr>
            <w:tcW w:w="1620" w:type="dxa"/>
          </w:tcPr>
          <w:p>
            <w:pPr>
              <w:pStyle w:val="Compact"/>
              <w:spacing w:after="40" w:before="40"/>
              <w:jc w:val="left"/>
            </w:pPr>
            <w:r>
              <w:rPr>
                <w:sz w:val="17"/>
              </w:rPr>
              <w:t xml:space="preserve">Peak-end rule; emotional payoff for contributors</w:t>
            </w:r>
          </w:p>
        </w:tc>
        <w:tc>
          <w:tcPr>
            <w:tcW w:w="2219" w:type="dxa"/>
          </w:tcPr>
          <w:p>
            <w:pPr>
              <w:pStyle w:val="Compact"/>
              <w:spacing w:after="40" w:before="40"/>
              <w:jc w:val="left"/>
            </w:pPr>
            <w:r>
              <w:rPr>
                <w:sz w:val="17"/>
              </w:rPr>
              <w:t xml:space="preserve">Paid add-on on each pool</w:t>
            </w:r>
          </w:p>
        </w:tc>
        <w:tc>
          <w:tcPr>
            <w:tcW w:w="671" w:type="dxa"/>
          </w:tcPr>
          <w:p>
            <w:pPr>
              <w:pStyle w:val="Compact"/>
              <w:spacing w:after="40" w:before="40"/>
              <w:jc w:val="left"/>
            </w:pPr>
            <w:r>
              <w:rPr>
                <w:sz w:val="17"/>
              </w:rPr>
              <w:t xml:space="preserve">P1 · M</w:t>
            </w:r>
          </w:p>
        </w:tc>
      </w:tr>
      <w:tr>
        <w:trPr>
          <w:cantSplit/>
        </w:trPr>
        <w:tc>
          <w:tcPr>
            <w:tcW w:w="1512" w:type="dxa"/>
            <w:shd w:val="clear" w:color="auto" w:fill="F4F6F9"/>
          </w:tcPr>
          <w:p>
            <w:pPr>
              <w:pStyle w:val="Compact"/>
              <w:spacing w:after="40" w:before="40"/>
              <w:jc w:val="left"/>
            </w:pPr>
            <w:r>
              <w:rPr>
                <w:sz w:val="17"/>
              </w:rPr>
              <w:t xml:space="preserve">P6 Stealth mode</w:t>
            </w:r>
          </w:p>
        </w:tc>
        <w:tc>
          <w:tcPr>
            <w:tcW w:w="3866" w:type="dxa"/>
            <w:shd w:val="clear" w:color="auto" w:fill="F4F6F9"/>
          </w:tcPr>
          <w:p>
            <w:pPr>
              <w:pStyle w:val="Compact"/>
              <w:spacing w:after="40" w:before="40"/>
              <w:jc w:val="left"/>
            </w:pPr>
            <w:r>
              <w:rPr>
                <w:sz w:val="17"/>
              </w:rPr>
              <w:t xml:space="preserve">Hide the pool from the recipient and reveal on delivery</w:t>
            </w:r>
          </w:p>
        </w:tc>
        <w:tc>
          <w:tcPr>
            <w:tcW w:w="1620" w:type="dxa"/>
            <w:shd w:val="clear" w:color="auto" w:fill="F4F6F9"/>
          </w:tcPr>
          <w:p>
            <w:pPr>
              <w:pStyle w:val="Compact"/>
              <w:spacing w:after="40" w:before="40"/>
              <w:jc w:val="left"/>
            </w:pPr>
            <w:r>
              <w:rPr>
                <w:sz w:val="17"/>
              </w:rPr>
              <w:t xml:space="preserve">Error prevention for surprises</w:t>
            </w:r>
          </w:p>
        </w:tc>
        <w:tc>
          <w:tcPr>
            <w:tcW w:w="2219" w:type="dxa"/>
            <w:shd w:val="clear" w:color="auto" w:fill="F4F6F9"/>
          </w:tcPr>
          <w:p>
            <w:pPr>
              <w:pStyle w:val="Compact"/>
              <w:spacing w:after="40" w:before="40"/>
              <w:jc w:val="left"/>
            </w:pPr>
            <w:r>
              <w:rPr>
                <w:sz w:val="17"/>
              </w:rPr>
              <w:t xml:space="preserve">Suits birthdays and farewells</w:t>
            </w:r>
          </w:p>
        </w:tc>
        <w:tc>
          <w:tcPr>
            <w:tcW w:w="671" w:type="dxa"/>
            <w:shd w:val="clear" w:color="auto" w:fill="F4F6F9"/>
          </w:tcPr>
          <w:p>
            <w:pPr>
              <w:pStyle w:val="Compact"/>
              <w:spacing w:after="40" w:before="40"/>
              <w:jc w:val="left"/>
            </w:pPr>
            <w:r>
              <w:rPr>
                <w:sz w:val="17"/>
              </w:rPr>
              <w:t xml:space="preserve">P1 · S</w:t>
            </w:r>
          </w:p>
        </w:tc>
      </w:tr>
      <w:tr>
        <w:trPr>
          <w:cantSplit/>
        </w:trPr>
        <w:tc>
          <w:tcPr>
            <w:tcW w:w="1512" w:type="dxa"/>
          </w:tcPr>
          <w:p>
            <w:pPr>
              <w:pStyle w:val="Compact"/>
              <w:spacing w:after="40" w:before="40"/>
              <w:jc w:val="left"/>
            </w:pPr>
            <w:r>
              <w:rPr>
                <w:sz w:val="17"/>
              </w:rPr>
              <w:t xml:space="preserve">P7 WhatsApp-native contribution</w:t>
            </w:r>
          </w:p>
        </w:tc>
        <w:tc>
          <w:tcPr>
            <w:tcW w:w="3866" w:type="dxa"/>
          </w:tcPr>
          <w:p>
            <w:pPr>
              <w:pStyle w:val="Compact"/>
              <w:spacing w:after="40" w:before="40"/>
              <w:jc w:val="left"/>
            </w:pPr>
            <w:r>
              <w:rPr>
                <w:sz w:val="17"/>
              </w:rPr>
              <w:t xml:space="preserve">Tap the link, enter an M-Pesa number, approve the STK push; no account. Paybill with the pool code as account number as a fallback, reconciled automatically</w:t>
            </w:r>
          </w:p>
        </w:tc>
        <w:tc>
          <w:tcPr>
            <w:tcW w:w="1620" w:type="dxa"/>
          </w:tcPr>
          <w:p>
            <w:pPr>
              <w:pStyle w:val="Compact"/>
              <w:spacing w:after="40" w:before="40"/>
              <w:jc w:val="left"/>
            </w:pPr>
            <w:r>
              <w:rPr>
                <w:sz w:val="17"/>
              </w:rPr>
              <w:t xml:space="preserve">Fogg ability; Tesler’s law</w:t>
            </w:r>
          </w:p>
        </w:tc>
        <w:tc>
          <w:tcPr>
            <w:tcW w:w="2219" w:type="dxa"/>
          </w:tcPr>
          <w:p>
            <w:pPr>
              <w:pStyle w:val="Compact"/>
              <w:spacing w:after="40" w:before="40"/>
              <w:jc w:val="left"/>
            </w:pPr>
            <w:r>
              <w:rPr>
                <w:sz w:val="17"/>
              </w:rPr>
              <w:t xml:space="preserve">Higher contributor conversion</w:t>
            </w:r>
          </w:p>
        </w:tc>
        <w:tc>
          <w:tcPr>
            <w:tcW w:w="671" w:type="dxa"/>
          </w:tcPr>
          <w:p>
            <w:pPr>
              <w:pStyle w:val="Compact"/>
              <w:spacing w:after="40" w:before="40"/>
              <w:jc w:val="left"/>
            </w:pPr>
            <w:r>
              <w:rPr>
                <w:sz w:val="17"/>
              </w:rPr>
              <w:t xml:space="preserve">P0 · M</w:t>
            </w:r>
          </w:p>
        </w:tc>
      </w:tr>
      <w:tr>
        <w:trPr>
          <w:cantSplit/>
        </w:trPr>
        <w:tc>
          <w:tcPr>
            <w:tcW w:w="1512" w:type="dxa"/>
            <w:shd w:val="clear" w:color="auto" w:fill="F4F6F9"/>
          </w:tcPr>
          <w:p>
            <w:pPr>
              <w:pStyle w:val="Compact"/>
              <w:spacing w:after="40" w:before="40"/>
              <w:jc w:val="left"/>
            </w:pPr>
            <w:r>
              <w:rPr>
                <w:sz w:val="17"/>
              </w:rPr>
              <w:t xml:space="preserve">P8 Ethical progress and nudges</w:t>
            </w:r>
          </w:p>
        </w:tc>
        <w:tc>
          <w:tcPr>
            <w:tcW w:w="3866" w:type="dxa"/>
            <w:shd w:val="clear" w:color="auto" w:fill="F4F6F9"/>
          </w:tcPr>
          <w:p>
            <w:pPr>
              <w:pStyle w:val="Compact"/>
              <w:spacing w:after="40" w:before="40"/>
              <w:jc w:val="left"/>
            </w:pPr>
            <w:r>
              <w:rPr>
                <w:sz w:val="17"/>
              </w:rPr>
              <w:t xml:space="preserve">Progress bar,</w:t>
            </w:r>
            <w:r>
              <w:rPr>
                <w:sz w:val="17"/>
              </w:rPr>
              <w:t xml:space="preserve"> </w:t>
            </w:r>
            <w:r>
              <w:rPr>
                <w:sz w:val="17"/>
              </w:rPr>
              <w:t xml:space="preserve">“</w:t>
            </w:r>
            <w:r>
              <w:rPr>
                <w:sz w:val="17"/>
              </w:rPr>
              <w:t xml:space="preserve">x of y contributed</w:t>
            </w:r>
            <w:r>
              <w:rPr>
                <w:sz w:val="17"/>
              </w:rPr>
              <w:t xml:space="preserve">”</w:t>
            </w:r>
            <w:r>
              <w:rPr>
                <w:sz w:val="17"/>
              </w:rPr>
              <w:t xml:space="preserve">, anonymous option, organiser-approved reminders</w:t>
            </w:r>
          </w:p>
        </w:tc>
        <w:tc>
          <w:tcPr>
            <w:tcW w:w="1620" w:type="dxa"/>
            <w:shd w:val="clear" w:color="auto" w:fill="F4F6F9"/>
          </w:tcPr>
          <w:p>
            <w:pPr>
              <w:pStyle w:val="Compact"/>
              <w:spacing w:after="40" w:before="40"/>
              <w:jc w:val="left"/>
            </w:pPr>
            <w:r>
              <w:rPr>
                <w:sz w:val="17"/>
              </w:rPr>
              <w:t xml:space="preserve">Goal-gradient without dark patterns</w:t>
            </w:r>
          </w:p>
        </w:tc>
        <w:tc>
          <w:tcPr>
            <w:tcW w:w="2219" w:type="dxa"/>
            <w:shd w:val="clear" w:color="auto" w:fill="F4F6F9"/>
          </w:tcPr>
          <w:p>
            <w:pPr>
              <w:pStyle w:val="Compact"/>
              <w:spacing w:after="40" w:before="40"/>
              <w:jc w:val="left"/>
            </w:pPr>
            <w:r>
              <w:rPr>
                <w:sz w:val="17"/>
              </w:rPr>
              <w:t xml:space="preserve">Goodwill and repeat pools</w:t>
            </w:r>
          </w:p>
        </w:tc>
        <w:tc>
          <w:tcPr>
            <w:tcW w:w="671" w:type="dxa"/>
            <w:shd w:val="clear" w:color="auto" w:fill="F4F6F9"/>
          </w:tcPr>
          <w:p>
            <w:pPr>
              <w:pStyle w:val="Compact"/>
              <w:spacing w:after="40" w:before="40"/>
              <w:jc w:val="left"/>
            </w:pPr>
            <w:r>
              <w:rPr>
                <w:sz w:val="17"/>
              </w:rPr>
              <w:t xml:space="preserve">P1 · S</w:t>
            </w:r>
          </w:p>
        </w:tc>
      </w:tr>
      <w:tr>
        <w:trPr>
          <w:cantSplit/>
        </w:trPr>
        <w:tc>
          <w:tcPr>
            <w:tcW w:w="1512" w:type="dxa"/>
          </w:tcPr>
          <w:p>
            <w:pPr>
              <w:pStyle w:val="Compact"/>
              <w:spacing w:after="40" w:before="40"/>
              <w:jc w:val="left"/>
            </w:pPr>
            <w:r>
              <w:rPr>
                <w:sz w:val="17"/>
              </w:rPr>
              <w:t xml:space="preserve">P9 Recurring office kitty</w:t>
            </w:r>
          </w:p>
        </w:tc>
        <w:tc>
          <w:tcPr>
            <w:tcW w:w="3866" w:type="dxa"/>
          </w:tcPr>
          <w:p>
            <w:pPr>
              <w:pStyle w:val="Compact"/>
              <w:spacing w:after="40" w:before="40"/>
              <w:jc w:val="left"/>
            </w:pPr>
            <w:r>
              <w:rPr>
                <w:sz w:val="17"/>
              </w:rPr>
              <w:t xml:space="preserve">A monthly pool per team that funds each member’s birthday from standing contributions</w:t>
            </w:r>
          </w:p>
        </w:tc>
        <w:tc>
          <w:tcPr>
            <w:tcW w:w="1620" w:type="dxa"/>
          </w:tcPr>
          <w:p>
            <w:pPr>
              <w:pStyle w:val="Compact"/>
              <w:spacing w:after="40" w:before="40"/>
              <w:jc w:val="left"/>
            </w:pPr>
            <w:r>
              <w:rPr>
                <w:sz w:val="17"/>
              </w:rPr>
              <w:t xml:space="preserve">Removes repeated organising work</w:t>
            </w:r>
          </w:p>
        </w:tc>
        <w:tc>
          <w:tcPr>
            <w:tcW w:w="2219" w:type="dxa"/>
          </w:tcPr>
          <w:p>
            <w:pPr>
              <w:pStyle w:val="Compact"/>
              <w:spacing w:after="40" w:before="40"/>
              <w:jc w:val="left"/>
            </w:pPr>
            <w:r>
              <w:rPr>
                <w:sz w:val="17"/>
              </w:rPr>
              <w:t xml:space="preserve">Recurring volume; depends on recurring-payment options from the payment provider</w:t>
            </w:r>
          </w:p>
        </w:tc>
        <w:tc>
          <w:tcPr>
            <w:tcW w:w="671" w:type="dxa"/>
          </w:tcPr>
          <w:p>
            <w:pPr>
              <w:pStyle w:val="Compact"/>
              <w:spacing w:after="40" w:before="40"/>
              <w:jc w:val="left"/>
            </w:pPr>
            <w:r>
              <w:rPr>
                <w:sz w:val="17"/>
              </w:rPr>
              <w:t xml:space="preserve">P2 · L</w:t>
            </w:r>
          </w:p>
        </w:tc>
      </w:tr>
      <w:tr>
        <w:trPr>
          <w:cantSplit/>
        </w:trPr>
        <w:tc>
          <w:tcPr>
            <w:tcW w:w="1512" w:type="dxa"/>
            <w:shd w:val="clear" w:color="auto" w:fill="F4F6F9"/>
          </w:tcPr>
          <w:p>
            <w:pPr>
              <w:pStyle w:val="Compact"/>
              <w:spacing w:after="40" w:before="40"/>
              <w:jc w:val="left"/>
            </w:pPr>
            <w:r>
              <w:rPr>
                <w:sz w:val="17"/>
              </w:rPr>
              <w:t xml:space="preserve">P10 Occasion templates</w:t>
            </w:r>
          </w:p>
        </w:tc>
        <w:tc>
          <w:tcPr>
            <w:tcW w:w="3866" w:type="dxa"/>
            <w:shd w:val="clear" w:color="auto" w:fill="F4F6F9"/>
          </w:tcPr>
          <w:p>
            <w:pPr>
              <w:pStyle w:val="Compact"/>
              <w:spacing w:after="40" w:before="40"/>
              <w:jc w:val="left"/>
            </w:pPr>
            <w:r>
              <w:rPr>
                <w:sz w:val="17"/>
              </w:rPr>
              <w:t xml:space="preserve">Farewell, new baby, boss’s day, wedding, graduation, get-well, retirement, each with a suggested target and gift set</w:t>
            </w:r>
          </w:p>
        </w:tc>
        <w:tc>
          <w:tcPr>
            <w:tcW w:w="1620" w:type="dxa"/>
            <w:shd w:val="clear" w:color="auto" w:fill="F4F6F9"/>
          </w:tcPr>
          <w:p>
            <w:pPr>
              <w:pStyle w:val="Compact"/>
              <w:spacing w:after="40" w:before="40"/>
              <w:jc w:val="left"/>
            </w:pPr>
            <w:r>
              <w:rPr>
                <w:sz w:val="17"/>
              </w:rPr>
              <w:t xml:space="preserve">Recognition over recall</w:t>
            </w:r>
          </w:p>
        </w:tc>
        <w:tc>
          <w:tcPr>
            <w:tcW w:w="2219" w:type="dxa"/>
            <w:shd w:val="clear" w:color="auto" w:fill="F4F6F9"/>
          </w:tcPr>
          <w:p>
            <w:pPr>
              <w:pStyle w:val="Compact"/>
              <w:spacing w:after="40" w:before="40"/>
              <w:jc w:val="left"/>
            </w:pPr>
            <w:r>
              <w:rPr>
                <w:sz w:val="17"/>
              </w:rPr>
              <w:t xml:space="preserve">Pre-filled baskets lift conversion</w:t>
            </w:r>
          </w:p>
        </w:tc>
        <w:tc>
          <w:tcPr>
            <w:tcW w:w="671" w:type="dxa"/>
            <w:shd w:val="clear" w:color="auto" w:fill="F4F6F9"/>
          </w:tcPr>
          <w:p>
            <w:pPr>
              <w:pStyle w:val="Compact"/>
              <w:spacing w:after="40" w:before="40"/>
              <w:jc w:val="left"/>
            </w:pPr>
            <w:r>
              <w:rPr>
                <w:sz w:val="17"/>
              </w:rPr>
              <w:t xml:space="preserve">P1 · S</w:t>
            </w:r>
          </w:p>
        </w:tc>
      </w:tr>
      <w:tr>
        <w:trPr>
          <w:cantSplit/>
        </w:trPr>
        <w:tc>
          <w:tcPr>
            <w:tcW w:w="1512" w:type="dxa"/>
          </w:tcPr>
          <w:p>
            <w:pPr>
              <w:pStyle w:val="Compact"/>
              <w:spacing w:after="40" w:before="40"/>
              <w:jc w:val="left"/>
            </w:pPr>
            <w:r>
              <w:rPr>
                <w:sz w:val="17"/>
              </w:rPr>
              <w:t xml:space="preserve">P11 Employer matching</w:t>
            </w:r>
          </w:p>
        </w:tc>
        <w:tc>
          <w:tcPr>
            <w:tcW w:w="3866" w:type="dxa"/>
          </w:tcPr>
          <w:p>
            <w:pPr>
              <w:pStyle w:val="Compact"/>
              <w:spacing w:after="40" w:before="40"/>
              <w:jc w:val="left"/>
            </w:pPr>
            <w:r>
              <w:rPr>
                <w:sz w:val="17"/>
              </w:rPr>
              <w:t xml:space="preserve">The company covers a share of each pool or adds a fixed amount per birthday; policy caps; voluntary-only toggle</w:t>
            </w:r>
          </w:p>
        </w:tc>
        <w:tc>
          <w:tcPr>
            <w:tcW w:w="1620" w:type="dxa"/>
          </w:tcPr>
          <w:p>
            <w:pPr>
              <w:pStyle w:val="Compact"/>
              <w:spacing w:after="40" w:before="40"/>
              <w:jc w:val="left"/>
            </w:pPr>
            <w:r>
              <w:rPr>
                <w:sz w:val="17"/>
              </w:rPr>
              <w:t xml:space="preserve">Removes the cost barrier; avoids coercion</w:t>
            </w:r>
          </w:p>
        </w:tc>
        <w:tc>
          <w:tcPr>
            <w:tcW w:w="2219" w:type="dxa"/>
          </w:tcPr>
          <w:p>
            <w:pPr>
              <w:pStyle w:val="Compact"/>
              <w:spacing w:after="40" w:before="40"/>
              <w:jc w:val="left"/>
            </w:pPr>
            <w:r>
              <w:rPr>
                <w:sz w:val="17"/>
              </w:rPr>
              <w:t xml:space="preserve">Corporate tier and volume (corporate version)</w:t>
            </w:r>
          </w:p>
        </w:tc>
        <w:tc>
          <w:tcPr>
            <w:tcW w:w="671" w:type="dxa"/>
          </w:tcPr>
          <w:p>
            <w:pPr>
              <w:pStyle w:val="Compact"/>
              <w:spacing w:after="40" w:before="40"/>
              <w:jc w:val="left"/>
            </w:pPr>
            <w:r>
              <w:rPr>
                <w:sz w:val="17"/>
              </w:rPr>
              <w:t xml:space="preserve">P2 · M</w:t>
            </w:r>
          </w:p>
        </w:tc>
      </w:tr>
      <w:tr>
        <w:trPr>
          <w:cantSplit/>
        </w:trPr>
        <w:tc>
          <w:tcPr>
            <w:tcW w:w="1512" w:type="dxa"/>
            <w:shd w:val="clear" w:color="auto" w:fill="F4F6F9"/>
          </w:tcPr>
          <w:p>
            <w:pPr>
              <w:pStyle w:val="Compact"/>
              <w:spacing w:after="40" w:before="40"/>
              <w:jc w:val="left"/>
            </w:pPr>
            <w:r>
              <w:rPr>
                <w:sz w:val="17"/>
              </w:rPr>
              <w:t xml:space="preserve">P12 Organiser analytics</w:t>
            </w:r>
          </w:p>
        </w:tc>
        <w:tc>
          <w:tcPr>
            <w:tcW w:w="3866" w:type="dxa"/>
            <w:shd w:val="clear" w:color="auto" w:fill="F4F6F9"/>
          </w:tcPr>
          <w:p>
            <w:pPr>
              <w:pStyle w:val="Compact"/>
              <w:spacing w:after="40" w:before="40"/>
              <w:jc w:val="left"/>
            </w:pPr>
            <w:r>
              <w:rPr>
                <w:sz w:val="17"/>
              </w:rPr>
              <w:t xml:space="preserve">Who viewed, who paid, which reminder worked, time to target</w:t>
            </w:r>
          </w:p>
        </w:tc>
        <w:tc>
          <w:tcPr>
            <w:tcW w:w="1620" w:type="dxa"/>
            <w:shd w:val="clear" w:color="auto" w:fill="F4F6F9"/>
          </w:tcPr>
          <w:p>
            <w:pPr>
              <w:pStyle w:val="Compact"/>
              <w:spacing w:after="40" w:before="40"/>
              <w:jc w:val="left"/>
            </w:pPr>
            <w:r>
              <w:rPr>
                <w:sz w:val="17"/>
              </w:rPr>
              <w:t xml:space="preserve">Visibility of status</w:t>
            </w:r>
          </w:p>
        </w:tc>
        <w:tc>
          <w:tcPr>
            <w:tcW w:w="2219" w:type="dxa"/>
            <w:shd w:val="clear" w:color="auto" w:fill="F4F6F9"/>
          </w:tcPr>
          <w:p>
            <w:pPr>
              <w:pStyle w:val="Compact"/>
              <w:spacing w:after="40" w:before="40"/>
              <w:jc w:val="left"/>
            </w:pPr>
            <w:r>
              <w:rPr>
                <w:sz w:val="17"/>
              </w:rPr>
              <w:t xml:space="preserve">Funnel data to tune the product</w:t>
            </w:r>
          </w:p>
        </w:tc>
        <w:tc>
          <w:tcPr>
            <w:tcW w:w="671" w:type="dxa"/>
            <w:shd w:val="clear" w:color="auto" w:fill="F4F6F9"/>
          </w:tcPr>
          <w:p>
            <w:pPr>
              <w:pStyle w:val="Compact"/>
              <w:spacing w:after="40" w:before="40"/>
              <w:jc w:val="left"/>
            </w:pPr>
            <w:r>
              <w:rPr>
                <w:sz w:val="17"/>
              </w:rPr>
              <w:t xml:space="preserve">P2 · S</w:t>
            </w:r>
          </w:p>
        </w:tc>
      </w:tr>
      <w:tr>
        <w:trPr>
          <w:cantSplit/>
        </w:trPr>
        <w:tc>
          <w:tcPr>
            <w:tcW w:w="1512" w:type="dxa"/>
          </w:tcPr>
          <w:p>
            <w:pPr>
              <w:pStyle w:val="Compact"/>
              <w:spacing w:after="40" w:before="40"/>
              <w:jc w:val="left"/>
            </w:pPr>
            <w:r>
              <w:rPr>
                <w:sz w:val="17"/>
              </w:rPr>
              <w:t xml:space="preserve">P13 Transparent fee model</w:t>
            </w:r>
          </w:p>
        </w:tc>
        <w:tc>
          <w:tcPr>
            <w:tcW w:w="3866" w:type="dxa"/>
          </w:tcPr>
          <w:p>
            <w:pPr>
              <w:pStyle w:val="Compact"/>
              <w:spacing w:after="40" w:before="40"/>
              <w:jc w:val="left"/>
            </w:pPr>
            <w:r>
              <w:rPr>
                <w:sz w:val="17"/>
              </w:rPr>
              <w:t xml:space="preserve">State who pays fees: absorbed in margin, added to the organiser’s basket, or an optional tip. Never a surprise</w:t>
            </w:r>
          </w:p>
        </w:tc>
        <w:tc>
          <w:tcPr>
            <w:tcW w:w="1620" w:type="dxa"/>
          </w:tcPr>
          <w:p>
            <w:pPr>
              <w:pStyle w:val="Compact"/>
              <w:spacing w:after="40" w:before="40"/>
              <w:jc w:val="left"/>
            </w:pPr>
            <w:r>
              <w:rPr>
                <w:sz w:val="17"/>
              </w:rPr>
              <w:t xml:space="preserve">Surprise costs destroy trust</w:t>
            </w:r>
          </w:p>
        </w:tc>
        <w:tc>
          <w:tcPr>
            <w:tcW w:w="2219" w:type="dxa"/>
          </w:tcPr>
          <w:p>
            <w:pPr>
              <w:pStyle w:val="Compact"/>
              <w:spacing w:after="40" w:before="40"/>
              <w:jc w:val="left"/>
            </w:pPr>
            <w:r>
              <w:rPr>
                <w:sz w:val="17"/>
              </w:rPr>
              <w:t xml:space="preserve">Earn through margin and add-ons, not a visible fee on friends</w:t>
            </w:r>
          </w:p>
        </w:tc>
        <w:tc>
          <w:tcPr>
            <w:tcW w:w="671" w:type="dxa"/>
          </w:tcPr>
          <w:p>
            <w:pPr>
              <w:pStyle w:val="Compact"/>
              <w:spacing w:after="40" w:before="40"/>
              <w:jc w:val="left"/>
            </w:pPr>
            <w:r>
              <w:rPr>
                <w:sz w:val="17"/>
              </w:rPr>
              <w:t xml:space="preserve">P0 · S</w:t>
            </w:r>
          </w:p>
        </w:tc>
      </w:tr>
      <w:tr>
        <w:trPr>
          <w:cantSplit/>
        </w:trPr>
        <w:tc>
          <w:tcPr>
            <w:tcW w:w="1512" w:type="dxa"/>
            <w:shd w:val="clear" w:color="auto" w:fill="F4F6F9"/>
          </w:tcPr>
          <w:p>
            <w:pPr>
              <w:pStyle w:val="Compact"/>
              <w:spacing w:after="40" w:before="40"/>
              <w:jc w:val="left"/>
            </w:pPr>
            <w:r>
              <w:rPr>
                <w:sz w:val="17"/>
              </w:rPr>
              <w:t xml:space="preserve">P14 Fraud and dispute controls</w:t>
            </w:r>
          </w:p>
        </w:tc>
        <w:tc>
          <w:tcPr>
            <w:tcW w:w="3866" w:type="dxa"/>
            <w:shd w:val="clear" w:color="auto" w:fill="F4F6F9"/>
          </w:tcPr>
          <w:p>
            <w:pPr>
              <w:pStyle w:val="Compact"/>
              <w:spacing w:after="40" w:before="40"/>
              <w:jc w:val="left"/>
            </w:pPr>
            <w:r>
              <w:rPr>
                <w:sz w:val="17"/>
              </w:rPr>
              <w:t xml:space="preserve">Phone OTP for organisers, limits on new organisers, alerts for odd patterns, a dispute process, extra checks for large pools</w:t>
            </w:r>
          </w:p>
        </w:tc>
        <w:tc>
          <w:tcPr>
            <w:tcW w:w="1620" w:type="dxa"/>
            <w:shd w:val="clear" w:color="auto" w:fill="F4F6F9"/>
          </w:tcPr>
          <w:p>
            <w:pPr>
              <w:pStyle w:val="Compact"/>
              <w:spacing w:after="40" w:before="40"/>
              <w:jc w:val="left"/>
            </w:pPr>
            <w:r>
              <w:rPr>
                <w:sz w:val="17"/>
              </w:rPr>
              <w:t xml:space="preserve">Error prevention; protects contributors</w:t>
            </w:r>
          </w:p>
        </w:tc>
        <w:tc>
          <w:tcPr>
            <w:tcW w:w="2219" w:type="dxa"/>
            <w:shd w:val="clear" w:color="auto" w:fill="F4F6F9"/>
          </w:tcPr>
          <w:p>
            <w:pPr>
              <w:pStyle w:val="Compact"/>
              <w:spacing w:after="40" w:before="40"/>
              <w:jc w:val="left"/>
            </w:pPr>
            <w:r>
              <w:rPr>
                <w:sz w:val="17"/>
              </w:rPr>
              <w:t xml:space="preserve">Protects reputation</w:t>
            </w:r>
          </w:p>
        </w:tc>
        <w:tc>
          <w:tcPr>
            <w:tcW w:w="671" w:type="dxa"/>
            <w:shd w:val="clear" w:color="auto" w:fill="F4F6F9"/>
          </w:tcPr>
          <w:p>
            <w:pPr>
              <w:pStyle w:val="Compact"/>
              <w:spacing w:after="40" w:before="40"/>
              <w:jc w:val="left"/>
            </w:pPr>
            <w:r>
              <w:rPr>
                <w:sz w:val="17"/>
              </w:rPr>
              <w:t xml:space="preserve">P0 · M</w:t>
            </w:r>
          </w:p>
        </w:tc>
      </w:tr>
    </w:tbl>
    <w:bookmarkEnd w:id="55"/>
    <w:bookmarkStart w:id="56" w:name="scope-decision-for-the-founders"/>
    <w:p>
      <w:pPr>
        <w:pStyle w:val="Heading3"/>
      </w:pPr>
      <w:r>
        <w:t xml:space="preserve">Scope decision for the founders</w:t>
      </w:r>
    </w:p>
    <w:p>
      <w:pPr>
        <w:pStyle w:val="FirstParagraph"/>
      </w:pPr>
      <w:r>
        <w:t xml:space="preserve">Harambee-style cash collection for medical bills or funerals is a large Kenyan behaviour, but it is a different, regulated money product with higher fraud risk. I recommend keeping pools gift-only with no cash-out unless you choose to take on that licensing and risk.</w:t>
      </w:r>
    </w:p>
    <w:bookmarkEnd w:id="56"/>
    <w:bookmarkStart w:id="57" w:name="pool-metrics"/>
    <w:p>
      <w:pPr>
        <w:pStyle w:val="Heading3"/>
      </w:pPr>
      <w:r>
        <w:t xml:space="preserve">Pool metrics</w:t>
      </w:r>
    </w:p>
    <w:p>
      <w:pPr>
        <w:pStyle w:val="FirstParagraph"/>
      </w:pPr>
      <w:r>
        <w:t xml:space="preserve">Track completion rate, median time to target, view-to-paid conversion, average contributors, refund rate, share of pools downsized or upgraded, and repeat organisers within 90 days.</w:t>
      </w:r>
    </w:p>
    <w:bookmarkEnd w:id="57"/>
    <w:bookmarkEnd w:id="58"/>
    <w:bookmarkStart w:id="65" w:name="corporate-platform-features-and-the-why"/>
    <w:p>
      <w:pPr>
        <w:pStyle w:val="Heading2"/>
      </w:pPr>
      <w:r>
        <w:t xml:space="preserve">Corporate platform: features and the why</w:t>
      </w:r>
    </w:p>
    <w:p>
      <w:pPr>
        <w:pStyle w:val="FirstParagraph"/>
      </w:pPr>
      <w:r>
        <w:t xml:space="preserve">Nineteen corporate features, four marked P0, because finance and procurement can block a sale even when the gift is right. The corporate buyer is not one person, so each feature is tied to the role that hires it. Priority and effort keys are the same as in the main-platform section.</w:t>
      </w:r>
    </w:p>
    <w:bookmarkStart w:id="59" w:name="who-we-design-for"/>
    <w:p>
      <w:pPr>
        <w:pStyle w:val="Heading3"/>
      </w:pPr>
      <w:r>
        <w:t xml:space="preserve">Who we design for</w:t>
      </w:r>
    </w:p>
    <w:p>
      <w:pPr>
        <w:numPr>
          <w:ilvl w:val="0"/>
          <w:numId w:val="1007"/>
        </w:numPr>
        <w:pStyle w:val="Compact"/>
      </w:pPr>
      <w:r>
        <w:rPr>
          <w:bCs/>
          <w:b/>
        </w:rPr>
        <w:t xml:space="preserve">People and HR teams</w:t>
      </w:r>
      <w:r>
        <w:t xml:space="preserve"> </w:t>
      </w:r>
      <w:r>
        <w:t xml:space="preserve">want milestones, onboarding kits and recognition without chasing dates.</w:t>
      </w:r>
    </w:p>
    <w:p>
      <w:pPr>
        <w:numPr>
          <w:ilvl w:val="0"/>
          <w:numId w:val="1007"/>
        </w:numPr>
        <w:pStyle w:val="Compact"/>
      </w:pPr>
      <w:r>
        <w:rPr>
          <w:bCs/>
          <w:b/>
        </w:rPr>
        <w:t xml:space="preserve">Executive assistants</w:t>
      </w:r>
      <w:r>
        <w:t xml:space="preserve"> </w:t>
      </w:r>
      <w:r>
        <w:t xml:space="preserve">want a fast, one-off executive gift that cannot go wrong.</w:t>
      </w:r>
    </w:p>
    <w:p>
      <w:pPr>
        <w:numPr>
          <w:ilvl w:val="0"/>
          <w:numId w:val="1007"/>
        </w:numPr>
        <w:pStyle w:val="Compact"/>
      </w:pPr>
      <w:r>
        <w:rPr>
          <w:bCs/>
          <w:b/>
        </w:rPr>
        <w:t xml:space="preserve">Sales and marketing</w:t>
      </w:r>
      <w:r>
        <w:t xml:space="preserve"> </w:t>
      </w:r>
      <w:r>
        <w:t xml:space="preserve">want client gifting, campaign kits and proof of return.</w:t>
      </w:r>
    </w:p>
    <w:p>
      <w:pPr>
        <w:numPr>
          <w:ilvl w:val="0"/>
          <w:numId w:val="1007"/>
        </w:numPr>
        <w:pStyle w:val="Compact"/>
      </w:pPr>
      <w:r>
        <w:rPr>
          <w:bCs/>
          <w:b/>
        </w:rPr>
        <w:t xml:space="preserve">Finance and procurement</w:t>
      </w:r>
      <w:r>
        <w:t xml:space="preserve"> </w:t>
      </w:r>
      <w:r>
        <w:t xml:space="preserve">want budgets, approvals, valid invoices and an audit trail.</w:t>
      </w:r>
    </w:p>
    <w:p>
      <w:pPr>
        <w:numPr>
          <w:ilvl w:val="0"/>
          <w:numId w:val="1007"/>
        </w:numPr>
        <w:pStyle w:val="Compact"/>
      </w:pPr>
      <w:r>
        <w:rPr>
          <w:bCs/>
          <w:b/>
        </w:rPr>
        <w:t xml:space="preserve">Founders of small firms</w:t>
      </w:r>
      <w:r>
        <w:t xml:space="preserve"> </w:t>
      </w:r>
      <w:r>
        <w:t xml:space="preserve">want one simple screen and one M-Pesa payment.</w:t>
      </w:r>
    </w:p>
    <w:p>
      <w:pPr>
        <w:numPr>
          <w:ilvl w:val="0"/>
          <w:numId w:val="1007"/>
        </w:numPr>
        <w:pStyle w:val="Compact"/>
      </w:pPr>
      <w:r>
        <w:rPr>
          <w:bCs/>
          <w:b/>
        </w:rPr>
        <w:t xml:space="preserve">Recipients</w:t>
      </w:r>
      <w:r>
        <w:t xml:space="preserve">, staff and clients, want choice, speed and privacy.</w:t>
      </w:r>
    </w:p>
    <w:bookmarkEnd w:id="59"/>
    <w:bookmarkStart w:id="60" w:name="set-up-and-control"/>
    <w:p>
      <w:pPr>
        <w:pStyle w:val="Heading3"/>
      </w:pPr>
      <w:r>
        <w:t xml:space="preserve">Set up and control</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512"/>
        <w:gridCol w:w="3222"/>
        <w:gridCol w:w="2746"/>
        <w:gridCol w:w="1757"/>
        <w:gridCol w:w="652"/>
      </w:tblGrid>
      <w:tr>
        <w:trPr>
          <w:tblHeader w:val="true"/>
          <w:cantSplit/>
          <w:tblHeader/>
        </w:trPr>
        <w:tc>
          <w:tcPr>
            <w:tcW w:w="1512" w:type="dxa"/>
            <w:shd w:val="clear" w:color="auto" w:fill="1F3A5F"/>
          </w:tcPr>
          <w:p>
            <w:pPr>
              <w:pStyle w:val="Compact"/>
              <w:spacing w:after="40" w:before="40"/>
              <w:jc w:val="left"/>
            </w:pPr>
            <w:r>
              <w:rPr>
                <w:b/>
                <w:color w:val="FFFFFF"/>
                <w:sz w:val="17"/>
              </w:rPr>
              <w:t xml:space="preserve">Feature</w:t>
            </w:r>
          </w:p>
        </w:tc>
        <w:tc>
          <w:tcPr>
            <w:tcW w:w="3222" w:type="dxa"/>
            <w:shd w:val="clear" w:color="auto" w:fill="1F3A5F"/>
          </w:tcPr>
          <w:p>
            <w:pPr>
              <w:pStyle w:val="Compact"/>
              <w:spacing w:after="40" w:before="40"/>
              <w:jc w:val="left"/>
            </w:pPr>
            <w:r>
              <w:rPr>
                <w:b/>
                <w:color w:val="FFFFFF"/>
                <w:sz w:val="17"/>
              </w:rPr>
              <w:t xml:space="preserve">What it does</w:t>
            </w:r>
          </w:p>
        </w:tc>
        <w:tc>
          <w:tcPr>
            <w:tcW w:w="2746" w:type="dxa"/>
            <w:shd w:val="clear" w:color="auto" w:fill="1F3A5F"/>
          </w:tcPr>
          <w:p>
            <w:pPr>
              <w:pStyle w:val="Compact"/>
              <w:spacing w:after="40" w:before="40"/>
              <w:jc w:val="left"/>
            </w:pPr>
            <w:r>
              <w:rPr>
                <w:b/>
                <w:color w:val="FFFFFF"/>
                <w:sz w:val="17"/>
              </w:rPr>
              <w:t xml:space="preserve">Why</w:t>
            </w:r>
          </w:p>
        </w:tc>
        <w:tc>
          <w:tcPr>
            <w:tcW w:w="1757" w:type="dxa"/>
            <w:shd w:val="clear" w:color="auto" w:fill="1F3A5F"/>
          </w:tcPr>
          <w:p>
            <w:pPr>
              <w:pStyle w:val="Compact"/>
              <w:spacing w:after="40" w:before="40"/>
              <w:jc w:val="left"/>
            </w:pPr>
            <w:r>
              <w:rPr>
                <w:b/>
                <w:color w:val="FFFFFF"/>
                <w:sz w:val="17"/>
              </w:rPr>
              <w:t xml:space="preserve">Commercial angle</w:t>
            </w:r>
          </w:p>
        </w:tc>
        <w:tc>
          <w:tcPr>
            <w:tcW w:w="652" w:type="dxa"/>
            <w:shd w:val="clear" w:color="auto" w:fill="1F3A5F"/>
          </w:tcPr>
          <w:p>
            <w:pPr>
              <w:pStyle w:val="Compact"/>
              <w:spacing w:after="40" w:before="40"/>
              <w:jc w:val="left"/>
            </w:pPr>
            <w:r>
              <w:rPr>
                <w:b/>
                <w:color w:val="FFFFFF"/>
                <w:sz w:val="17"/>
              </w:rPr>
              <w:t xml:space="preserve">Pri · Effort</w:t>
            </w:r>
          </w:p>
        </w:tc>
      </w:tr>
      <w:tr>
        <w:trPr>
          <w:cantSplit/>
        </w:trPr>
        <w:tc>
          <w:tcPr>
            <w:tcW w:w="1512" w:type="dxa"/>
          </w:tcPr>
          <w:p>
            <w:pPr>
              <w:pStyle w:val="Compact"/>
              <w:spacing w:after="40" w:before="40"/>
              <w:jc w:val="left"/>
            </w:pPr>
            <w:r>
              <w:rPr>
                <w:sz w:val="17"/>
              </w:rPr>
              <w:t xml:space="preserve">C1 Company workspace and roles</w:t>
            </w:r>
          </w:p>
        </w:tc>
        <w:tc>
          <w:tcPr>
            <w:tcW w:w="3222" w:type="dxa"/>
          </w:tcPr>
          <w:p>
            <w:pPr>
              <w:pStyle w:val="Compact"/>
              <w:spacing w:after="40" w:before="40"/>
              <w:jc w:val="left"/>
            </w:pPr>
            <w:r>
              <w:rPr>
                <w:sz w:val="17"/>
              </w:rPr>
              <w:t xml:space="preserve">Roles for admin, HR, budget owner, approver and viewer; audit log; single sign-on later</w:t>
            </w:r>
          </w:p>
        </w:tc>
        <w:tc>
          <w:tcPr>
            <w:tcW w:w="2746" w:type="dxa"/>
          </w:tcPr>
          <w:p>
            <w:pPr>
              <w:pStyle w:val="Compact"/>
              <w:spacing w:after="40" w:before="40"/>
              <w:jc w:val="left"/>
            </w:pPr>
            <w:r>
              <w:rPr>
                <w:sz w:val="17"/>
              </w:rPr>
              <w:t xml:space="preserve">Jobs differ by role (jobs-to-be-done); accountability</w:t>
            </w:r>
          </w:p>
        </w:tc>
        <w:tc>
          <w:tcPr>
            <w:tcW w:w="1757" w:type="dxa"/>
          </w:tcPr>
          <w:p>
            <w:pPr>
              <w:pStyle w:val="Compact"/>
              <w:spacing w:after="40" w:before="40"/>
              <w:jc w:val="left"/>
            </w:pPr>
            <w:r>
              <w:rPr>
                <w:sz w:val="17"/>
              </w:rPr>
              <w:t xml:space="preserve">Shared workspace creates stickiness; seat-based pricing</w:t>
            </w:r>
          </w:p>
        </w:tc>
        <w:tc>
          <w:tcPr>
            <w:tcW w:w="652" w:type="dxa"/>
          </w:tcPr>
          <w:p>
            <w:pPr>
              <w:pStyle w:val="Compact"/>
              <w:spacing w:after="40" w:before="40"/>
              <w:jc w:val="left"/>
            </w:pPr>
            <w:r>
              <w:rPr>
                <w:sz w:val="17"/>
              </w:rPr>
              <w:t xml:space="preserve">P1 · M</w:t>
            </w:r>
          </w:p>
        </w:tc>
      </w:tr>
      <w:tr>
        <w:trPr>
          <w:cantSplit/>
        </w:trPr>
        <w:tc>
          <w:tcPr>
            <w:tcW w:w="1512" w:type="dxa"/>
            <w:shd w:val="clear" w:color="auto" w:fill="F4F6F9"/>
          </w:tcPr>
          <w:p>
            <w:pPr>
              <w:pStyle w:val="Compact"/>
              <w:spacing w:after="40" w:before="40"/>
              <w:jc w:val="left"/>
            </w:pPr>
            <w:r>
              <w:rPr>
                <w:sz w:val="17"/>
              </w:rPr>
              <w:t xml:space="preserve">C2 Budgets and approvals</w:t>
            </w:r>
          </w:p>
        </w:tc>
        <w:tc>
          <w:tcPr>
            <w:tcW w:w="3222" w:type="dxa"/>
            <w:shd w:val="clear" w:color="auto" w:fill="F4F6F9"/>
          </w:tcPr>
          <w:p>
            <w:pPr>
              <w:pStyle w:val="Compact"/>
              <w:spacing w:after="40" w:before="40"/>
              <w:jc w:val="left"/>
            </w:pPr>
            <w:r>
              <w:rPr>
                <w:sz w:val="17"/>
              </w:rPr>
              <w:t xml:space="preserve">Department budgets, per-gift caps, approval thresholds, spend alerts, forecast</w:t>
            </w:r>
          </w:p>
        </w:tc>
        <w:tc>
          <w:tcPr>
            <w:tcW w:w="2746" w:type="dxa"/>
            <w:shd w:val="clear" w:color="auto" w:fill="F4F6F9"/>
          </w:tcPr>
          <w:p>
            <w:pPr>
              <w:pStyle w:val="Compact"/>
              <w:spacing w:after="40" w:before="40"/>
              <w:jc w:val="left"/>
            </w:pPr>
            <w:r>
              <w:rPr>
                <w:sz w:val="17"/>
              </w:rPr>
              <w:t xml:space="preserve">User control; finance needs predictability</w:t>
            </w:r>
          </w:p>
        </w:tc>
        <w:tc>
          <w:tcPr>
            <w:tcW w:w="1757" w:type="dxa"/>
            <w:shd w:val="clear" w:color="auto" w:fill="F4F6F9"/>
          </w:tcPr>
          <w:p>
            <w:pPr>
              <w:pStyle w:val="Compact"/>
              <w:spacing w:after="40" w:before="40"/>
              <w:jc w:val="left"/>
            </w:pPr>
            <w:r>
              <w:rPr>
                <w:sz w:val="17"/>
              </w:rPr>
              <w:t xml:space="preserve">Unlocks larger accounts by removing fear of runaway spend</w:t>
            </w:r>
          </w:p>
        </w:tc>
        <w:tc>
          <w:tcPr>
            <w:tcW w:w="652" w:type="dxa"/>
            <w:shd w:val="clear" w:color="auto" w:fill="F4F6F9"/>
          </w:tcPr>
          <w:p>
            <w:pPr>
              <w:pStyle w:val="Compact"/>
              <w:spacing w:after="40" w:before="40"/>
              <w:jc w:val="left"/>
            </w:pPr>
            <w:r>
              <w:rPr>
                <w:sz w:val="17"/>
              </w:rPr>
              <w:t xml:space="preserve">P1 · M</w:t>
            </w:r>
          </w:p>
        </w:tc>
      </w:tr>
      <w:tr>
        <w:trPr>
          <w:cantSplit/>
        </w:trPr>
        <w:tc>
          <w:tcPr>
            <w:tcW w:w="1512" w:type="dxa"/>
          </w:tcPr>
          <w:p>
            <w:pPr>
              <w:pStyle w:val="Compact"/>
              <w:spacing w:after="40" w:before="40"/>
              <w:jc w:val="left"/>
            </w:pPr>
            <w:r>
              <w:rPr>
                <w:sz w:val="17"/>
              </w:rPr>
              <w:t xml:space="preserve">C3 Finance pack</w:t>
            </w:r>
          </w:p>
        </w:tc>
        <w:tc>
          <w:tcPr>
            <w:tcW w:w="3222" w:type="dxa"/>
          </w:tcPr>
          <w:p>
            <w:pPr>
              <w:pStyle w:val="Compact"/>
              <w:spacing w:after="40" w:before="40"/>
              <w:jc w:val="left"/>
            </w:pPr>
            <w:r>
              <w:rPr>
                <w:sz w:val="17"/>
              </w:rPr>
              <w:t xml:space="preserve">eTIMS-compliant invoice per order or monthly consolidated, PO or LPO number on the invoice, statements, credit terms for vetted clients, pay by M-Pesa or bank transfer</w:t>
            </w:r>
          </w:p>
        </w:tc>
        <w:tc>
          <w:tcPr>
            <w:tcW w:w="2746" w:type="dxa"/>
          </w:tcPr>
          <w:p>
            <w:pPr>
              <w:pStyle w:val="Compact"/>
              <w:spacing w:after="40" w:before="40"/>
              <w:jc w:val="left"/>
            </w:pPr>
            <w:r>
              <w:rPr>
                <w:sz w:val="17"/>
              </w:rPr>
              <w:t xml:space="preserve">eTIMS is mandatory and KRA checks expenses against supplier invoices (see market section); Tesler’s law: absorb the compliance work</w:t>
            </w:r>
          </w:p>
        </w:tc>
        <w:tc>
          <w:tcPr>
            <w:tcW w:w="1757" w:type="dxa"/>
          </w:tcPr>
          <w:p>
            <w:pPr>
              <w:pStyle w:val="Compact"/>
              <w:spacing w:after="40" w:before="40"/>
              <w:jc w:val="left"/>
            </w:pPr>
            <w:r>
              <w:rPr>
                <w:sz w:val="17"/>
              </w:rPr>
              <w:t xml:space="preserve">Wins procurement; credit terms raise order size but need credit-risk limits</w:t>
            </w:r>
          </w:p>
        </w:tc>
        <w:tc>
          <w:tcPr>
            <w:tcW w:w="652" w:type="dxa"/>
          </w:tcPr>
          <w:p>
            <w:pPr>
              <w:pStyle w:val="Compact"/>
              <w:spacing w:after="40" w:before="40"/>
              <w:jc w:val="left"/>
            </w:pPr>
            <w:r>
              <w:rPr>
                <w:sz w:val="17"/>
              </w:rPr>
              <w:t xml:space="preserve">P0 · M</w:t>
            </w:r>
          </w:p>
        </w:tc>
      </w:tr>
      <w:tr>
        <w:trPr>
          <w:cantSplit/>
        </w:trPr>
        <w:tc>
          <w:tcPr>
            <w:tcW w:w="1512" w:type="dxa"/>
            <w:shd w:val="clear" w:color="auto" w:fill="F4F6F9"/>
          </w:tcPr>
          <w:p>
            <w:pPr>
              <w:pStyle w:val="Compact"/>
              <w:spacing w:after="40" w:before="40"/>
              <w:jc w:val="left"/>
            </w:pPr>
            <w:r>
              <w:rPr>
                <w:sz w:val="17"/>
              </w:rPr>
              <w:t xml:space="preserve">C4 Procurement-ready hub</w:t>
            </w:r>
          </w:p>
        </w:tc>
        <w:tc>
          <w:tcPr>
            <w:tcW w:w="3222" w:type="dxa"/>
            <w:shd w:val="clear" w:color="auto" w:fill="F4F6F9"/>
          </w:tcPr>
          <w:p>
            <w:pPr>
              <w:pStyle w:val="Compact"/>
              <w:spacing w:after="40" w:before="40"/>
              <w:jc w:val="left"/>
            </w:pPr>
            <w:r>
              <w:rPr>
                <w:sz w:val="17"/>
              </w:rPr>
              <w:t xml:space="preserve">One page with company profile, tax compliance documents, incorporation certificate, supplier forms, SLA and insurance</w:t>
            </w:r>
          </w:p>
        </w:tc>
        <w:tc>
          <w:tcPr>
            <w:tcW w:w="2746" w:type="dxa"/>
            <w:shd w:val="clear" w:color="auto" w:fill="F4F6F9"/>
          </w:tcPr>
          <w:p>
            <w:pPr>
              <w:pStyle w:val="Compact"/>
              <w:spacing w:after="40" w:before="40"/>
              <w:jc w:val="left"/>
            </w:pPr>
            <w:r>
              <w:rPr>
                <w:sz w:val="17"/>
              </w:rPr>
              <w:t xml:space="preserve">Credibility; faster vendor onboarding</w:t>
            </w:r>
          </w:p>
        </w:tc>
        <w:tc>
          <w:tcPr>
            <w:tcW w:w="1757" w:type="dxa"/>
            <w:shd w:val="clear" w:color="auto" w:fill="F4F6F9"/>
          </w:tcPr>
          <w:p>
            <w:pPr>
              <w:pStyle w:val="Compact"/>
              <w:spacing w:after="40" w:before="40"/>
              <w:jc w:val="left"/>
            </w:pPr>
            <w:r>
              <w:rPr>
                <w:sz w:val="17"/>
              </w:rPr>
              <w:t xml:space="preserve">Shortens the sales cycle</w:t>
            </w:r>
          </w:p>
        </w:tc>
        <w:tc>
          <w:tcPr>
            <w:tcW w:w="652" w:type="dxa"/>
            <w:shd w:val="clear" w:color="auto" w:fill="F4F6F9"/>
          </w:tcPr>
          <w:p>
            <w:pPr>
              <w:pStyle w:val="Compact"/>
              <w:spacing w:after="40" w:before="40"/>
              <w:jc w:val="left"/>
            </w:pPr>
            <w:r>
              <w:rPr>
                <w:sz w:val="17"/>
              </w:rPr>
              <w:t xml:space="preserve">P0 · S</w:t>
            </w:r>
          </w:p>
        </w:tc>
      </w:tr>
    </w:tbl>
    <w:bookmarkEnd w:id="60"/>
    <w:bookmarkStart w:id="61" w:name="order-and-brand"/>
    <w:p>
      <w:pPr>
        <w:pStyle w:val="Heading3"/>
      </w:pPr>
      <w:r>
        <w:t xml:space="preserve">Order and brand</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512"/>
        <w:gridCol w:w="3838"/>
        <w:gridCol w:w="2160"/>
        <w:gridCol w:w="1727"/>
        <w:gridCol w:w="651"/>
      </w:tblGrid>
      <w:tr>
        <w:trPr>
          <w:tblHeader w:val="true"/>
          <w:cantSplit/>
          <w:tblHeader/>
        </w:trPr>
        <w:tc>
          <w:tcPr>
            <w:tcW w:w="1512" w:type="dxa"/>
            <w:shd w:val="clear" w:color="auto" w:fill="1F3A5F"/>
          </w:tcPr>
          <w:p>
            <w:pPr>
              <w:pStyle w:val="Compact"/>
              <w:spacing w:after="40" w:before="40"/>
              <w:jc w:val="left"/>
            </w:pPr>
            <w:r>
              <w:rPr>
                <w:b/>
                <w:color w:val="FFFFFF"/>
                <w:sz w:val="17"/>
              </w:rPr>
              <w:t xml:space="preserve">Feature</w:t>
            </w:r>
          </w:p>
        </w:tc>
        <w:tc>
          <w:tcPr>
            <w:tcW w:w="3838" w:type="dxa"/>
            <w:shd w:val="clear" w:color="auto" w:fill="1F3A5F"/>
          </w:tcPr>
          <w:p>
            <w:pPr>
              <w:pStyle w:val="Compact"/>
              <w:spacing w:after="40" w:before="40"/>
              <w:jc w:val="left"/>
            </w:pPr>
            <w:r>
              <w:rPr>
                <w:b/>
                <w:color w:val="FFFFFF"/>
                <w:sz w:val="17"/>
              </w:rPr>
              <w:t xml:space="preserve">What it does</w:t>
            </w:r>
          </w:p>
        </w:tc>
        <w:tc>
          <w:tcPr>
            <w:tcW w:w="2160" w:type="dxa"/>
            <w:shd w:val="clear" w:color="auto" w:fill="1F3A5F"/>
          </w:tcPr>
          <w:p>
            <w:pPr>
              <w:pStyle w:val="Compact"/>
              <w:spacing w:after="40" w:before="40"/>
              <w:jc w:val="left"/>
            </w:pPr>
            <w:r>
              <w:rPr>
                <w:b/>
                <w:color w:val="FFFFFF"/>
                <w:sz w:val="17"/>
              </w:rPr>
              <w:t xml:space="preserve">Why</w:t>
            </w:r>
          </w:p>
        </w:tc>
        <w:tc>
          <w:tcPr>
            <w:tcW w:w="1727" w:type="dxa"/>
            <w:shd w:val="clear" w:color="auto" w:fill="1F3A5F"/>
          </w:tcPr>
          <w:p>
            <w:pPr>
              <w:pStyle w:val="Compact"/>
              <w:spacing w:after="40" w:before="40"/>
              <w:jc w:val="left"/>
            </w:pPr>
            <w:r>
              <w:rPr>
                <w:b/>
                <w:color w:val="FFFFFF"/>
                <w:sz w:val="17"/>
              </w:rPr>
              <w:t xml:space="preserve">Commercial angle</w:t>
            </w:r>
          </w:p>
        </w:tc>
        <w:tc>
          <w:tcPr>
            <w:tcW w:w="651" w:type="dxa"/>
            <w:shd w:val="clear" w:color="auto" w:fill="1F3A5F"/>
          </w:tcPr>
          <w:p>
            <w:pPr>
              <w:pStyle w:val="Compact"/>
              <w:spacing w:after="40" w:before="40"/>
              <w:jc w:val="left"/>
            </w:pPr>
            <w:r>
              <w:rPr>
                <w:b/>
                <w:color w:val="FFFFFF"/>
                <w:sz w:val="17"/>
              </w:rPr>
              <w:t xml:space="preserve">Pri · Effort</w:t>
            </w:r>
          </w:p>
        </w:tc>
      </w:tr>
      <w:tr>
        <w:trPr>
          <w:cantSplit/>
        </w:trPr>
        <w:tc>
          <w:tcPr>
            <w:tcW w:w="1512" w:type="dxa"/>
          </w:tcPr>
          <w:p>
            <w:pPr>
              <w:pStyle w:val="Compact"/>
              <w:spacing w:after="40" w:before="40"/>
              <w:jc w:val="left"/>
            </w:pPr>
            <w:r>
              <w:rPr>
                <w:sz w:val="17"/>
              </w:rPr>
              <w:t xml:space="preserve">C5 Quote-to-cash</w:t>
            </w:r>
          </w:p>
        </w:tc>
        <w:tc>
          <w:tcPr>
            <w:tcW w:w="3838" w:type="dxa"/>
          </w:tcPr>
          <w:p>
            <w:pPr>
              <w:pStyle w:val="Compact"/>
              <w:spacing w:after="40" w:before="40"/>
              <w:jc w:val="left"/>
            </w:pPr>
            <w:r>
              <w:rPr>
                <w:sz w:val="17"/>
              </w:rPr>
              <w:t xml:space="preserve">Instant price calculator (quantity x branding x packaging), PDF quote, online acceptance, deposit by M-Pesa or bank, order tracking</w:t>
            </w:r>
          </w:p>
        </w:tc>
        <w:tc>
          <w:tcPr>
            <w:tcW w:w="2160" w:type="dxa"/>
          </w:tcPr>
          <w:p>
            <w:pPr>
              <w:pStyle w:val="Compact"/>
              <w:spacing w:after="40" w:before="40"/>
              <w:jc w:val="left"/>
            </w:pPr>
            <w:r>
              <w:rPr>
                <w:sz w:val="17"/>
              </w:rPr>
              <w:t xml:space="preserve">Replaces</w:t>
            </w:r>
            <w:r>
              <w:rPr>
                <w:sz w:val="17"/>
              </w:rPr>
              <w:t xml:space="preserve"> </w:t>
            </w:r>
            <w:r>
              <w:rPr>
                <w:sz w:val="17"/>
              </w:rPr>
              <w:t xml:space="preserve">“</w:t>
            </w:r>
            <w:r>
              <w:rPr>
                <w:sz w:val="17"/>
              </w:rPr>
              <w:t xml:space="preserve">talk to us first</w:t>
            </w:r>
            <w:r>
              <w:rPr>
                <w:sz w:val="17"/>
              </w:rPr>
              <w:t xml:space="preserve">”</w:t>
            </w:r>
            <w:r>
              <w:rPr>
                <w:sz w:val="17"/>
              </w:rPr>
              <w:t xml:space="preserve">; one testimonial already praises no back-and-forth</w:t>
            </w:r>
          </w:p>
        </w:tc>
        <w:tc>
          <w:tcPr>
            <w:tcW w:w="1727" w:type="dxa"/>
          </w:tcPr>
          <w:p>
            <w:pPr>
              <w:pStyle w:val="Compact"/>
              <w:spacing w:after="40" w:before="40"/>
              <w:jc w:val="left"/>
            </w:pPr>
            <w:r>
              <w:rPr>
                <w:sz w:val="17"/>
              </w:rPr>
              <w:t xml:space="preserve">Higher quote conversion; cash up front</w:t>
            </w:r>
          </w:p>
        </w:tc>
        <w:tc>
          <w:tcPr>
            <w:tcW w:w="651" w:type="dxa"/>
          </w:tcPr>
          <w:p>
            <w:pPr>
              <w:pStyle w:val="Compact"/>
              <w:spacing w:after="40" w:before="40"/>
              <w:jc w:val="left"/>
            </w:pPr>
            <w:r>
              <w:rPr>
                <w:sz w:val="17"/>
              </w:rPr>
              <w:t xml:space="preserve">P1 · M</w:t>
            </w:r>
          </w:p>
        </w:tc>
      </w:tr>
      <w:tr>
        <w:trPr>
          <w:cantSplit/>
        </w:trPr>
        <w:tc>
          <w:tcPr>
            <w:tcW w:w="1512" w:type="dxa"/>
            <w:shd w:val="clear" w:color="auto" w:fill="F4F6F9"/>
          </w:tcPr>
          <w:p>
            <w:pPr>
              <w:pStyle w:val="Compact"/>
              <w:spacing w:after="40" w:before="40"/>
              <w:jc w:val="left"/>
            </w:pPr>
            <w:r>
              <w:rPr>
                <w:sz w:val="17"/>
              </w:rPr>
              <w:t xml:space="preserve">C6 Branding studio</w:t>
            </w:r>
          </w:p>
        </w:tc>
        <w:tc>
          <w:tcPr>
            <w:tcW w:w="3838" w:type="dxa"/>
            <w:shd w:val="clear" w:color="auto" w:fill="F4F6F9"/>
          </w:tcPr>
          <w:p>
            <w:pPr>
              <w:pStyle w:val="Compact"/>
              <w:spacing w:after="40" w:before="40"/>
              <w:jc w:val="left"/>
            </w:pPr>
            <w:r>
              <w:rPr>
                <w:sz w:val="17"/>
              </w:rPr>
              <w:t xml:space="preserve">Upload a logo, preview it on engraving, print and embroidery zones across items, save a brand kit, approve a proof, see lead times</w:t>
            </w:r>
          </w:p>
        </w:tc>
        <w:tc>
          <w:tcPr>
            <w:tcW w:w="2160" w:type="dxa"/>
            <w:shd w:val="clear" w:color="auto" w:fill="F4F6F9"/>
          </w:tcPr>
          <w:p>
            <w:pPr>
              <w:pStyle w:val="Compact"/>
              <w:spacing w:after="40" w:before="40"/>
              <w:jc w:val="left"/>
            </w:pPr>
            <w:r>
              <w:rPr>
                <w:sz w:val="17"/>
              </w:rPr>
              <w:t xml:space="preserve">Visibility; recognition over recall; error prevention</w:t>
            </w:r>
          </w:p>
        </w:tc>
        <w:tc>
          <w:tcPr>
            <w:tcW w:w="1727" w:type="dxa"/>
            <w:shd w:val="clear" w:color="auto" w:fill="F4F6F9"/>
          </w:tcPr>
          <w:p>
            <w:pPr>
              <w:pStyle w:val="Compact"/>
              <w:spacing w:after="40" w:before="40"/>
              <w:jc w:val="left"/>
            </w:pPr>
            <w:r>
              <w:rPr>
                <w:sz w:val="17"/>
              </w:rPr>
              <w:t xml:space="preserve">Converts Solo branding and Bulk order items; fewer reprints</w:t>
            </w:r>
          </w:p>
        </w:tc>
        <w:tc>
          <w:tcPr>
            <w:tcW w:w="651" w:type="dxa"/>
            <w:shd w:val="clear" w:color="auto" w:fill="F4F6F9"/>
          </w:tcPr>
          <w:p>
            <w:pPr>
              <w:pStyle w:val="Compact"/>
              <w:spacing w:after="40" w:before="40"/>
              <w:jc w:val="left"/>
            </w:pPr>
            <w:r>
              <w:rPr>
                <w:sz w:val="17"/>
              </w:rPr>
              <w:t xml:space="preserve">P1 · L</w:t>
            </w:r>
          </w:p>
        </w:tc>
      </w:tr>
      <w:tr>
        <w:trPr>
          <w:cantSplit/>
        </w:trPr>
        <w:tc>
          <w:tcPr>
            <w:tcW w:w="1512" w:type="dxa"/>
          </w:tcPr>
          <w:p>
            <w:pPr>
              <w:pStyle w:val="Compact"/>
              <w:spacing w:after="40" w:before="40"/>
              <w:jc w:val="left"/>
            </w:pPr>
            <w:r>
              <w:rPr>
                <w:sz w:val="17"/>
              </w:rPr>
              <w:t xml:space="preserve">C7 Bulk upload 2.0</w:t>
            </w:r>
          </w:p>
        </w:tc>
        <w:tc>
          <w:tcPr>
            <w:tcW w:w="3838" w:type="dxa"/>
          </w:tcPr>
          <w:p>
            <w:pPr>
              <w:pStyle w:val="Compact"/>
              <w:spacing w:after="40" w:before="40"/>
              <w:jc w:val="left"/>
            </w:pPr>
            <w:r>
              <w:rPr>
                <w:sz w:val="17"/>
              </w:rPr>
              <w:t xml:space="preserve">Column mapping, +254 phone normalisation, duplicate and missing-address flags, per-row gift tier or size, cost preview before payment, error report, saved audiences, Google Sheets import</w:t>
            </w:r>
          </w:p>
        </w:tc>
        <w:tc>
          <w:tcPr>
            <w:tcW w:w="2160" w:type="dxa"/>
          </w:tcPr>
          <w:p>
            <w:pPr>
              <w:pStyle w:val="Compact"/>
              <w:spacing w:after="40" w:before="40"/>
              <w:jc w:val="left"/>
            </w:pPr>
            <w:r>
              <w:rPr>
                <w:sz w:val="17"/>
              </w:rPr>
              <w:t xml:space="preserve">Postel’s law; error prevention; efficiency</w:t>
            </w:r>
          </w:p>
        </w:tc>
        <w:tc>
          <w:tcPr>
            <w:tcW w:w="1727" w:type="dxa"/>
          </w:tcPr>
          <w:p>
            <w:pPr>
              <w:pStyle w:val="Compact"/>
              <w:spacing w:after="40" w:before="40"/>
              <w:jc w:val="left"/>
            </w:pPr>
            <w:r>
              <w:rPr>
                <w:sz w:val="17"/>
              </w:rPr>
              <w:t xml:space="preserve">Faster large orders; saved audiences drive repeat campaigns</w:t>
            </w:r>
          </w:p>
        </w:tc>
        <w:tc>
          <w:tcPr>
            <w:tcW w:w="651" w:type="dxa"/>
          </w:tcPr>
          <w:p>
            <w:pPr>
              <w:pStyle w:val="Compact"/>
              <w:spacing w:after="40" w:before="40"/>
              <w:jc w:val="left"/>
            </w:pPr>
            <w:r>
              <w:rPr>
                <w:sz w:val="17"/>
              </w:rPr>
              <w:t xml:space="preserve">P1 · M</w:t>
            </w:r>
          </w:p>
        </w:tc>
      </w:tr>
      <w:tr>
        <w:trPr>
          <w:cantSplit/>
        </w:trPr>
        <w:tc>
          <w:tcPr>
            <w:tcW w:w="1512" w:type="dxa"/>
            <w:shd w:val="clear" w:color="auto" w:fill="F4F6F9"/>
          </w:tcPr>
          <w:p>
            <w:pPr>
              <w:pStyle w:val="Compact"/>
              <w:spacing w:after="40" w:before="40"/>
              <w:jc w:val="left"/>
            </w:pPr>
            <w:r>
              <w:rPr>
                <w:sz w:val="17"/>
              </w:rPr>
              <w:t xml:space="preserve">C8 Catalogue controls</w:t>
            </w:r>
          </w:p>
        </w:tc>
        <w:tc>
          <w:tcPr>
            <w:tcW w:w="3838" w:type="dxa"/>
            <w:shd w:val="clear" w:color="auto" w:fill="F4F6F9"/>
          </w:tcPr>
          <w:p>
            <w:pPr>
              <w:pStyle w:val="Compact"/>
              <w:spacing w:after="40" w:before="40"/>
              <w:jc w:val="left"/>
            </w:pPr>
            <w:r>
              <w:rPr>
                <w:sz w:val="17"/>
              </w:rPr>
              <w:t xml:space="preserve">Company-approved catalogue, price caps, non-alcoholic default, dietary and cultural filters; the three order modes as filters with lead times</w:t>
            </w:r>
          </w:p>
        </w:tc>
        <w:tc>
          <w:tcPr>
            <w:tcW w:w="2160" w:type="dxa"/>
            <w:shd w:val="clear" w:color="auto" w:fill="F4F6F9"/>
          </w:tcPr>
          <w:p>
            <w:pPr>
              <w:pStyle w:val="Compact"/>
              <w:spacing w:after="40" w:before="40"/>
              <w:jc w:val="left"/>
            </w:pPr>
            <w:r>
              <w:rPr>
                <w:sz w:val="17"/>
              </w:rPr>
              <w:t xml:space="preserve">Hick’s law; fit with company policy</w:t>
            </w:r>
          </w:p>
        </w:tc>
        <w:tc>
          <w:tcPr>
            <w:tcW w:w="1727" w:type="dxa"/>
            <w:shd w:val="clear" w:color="auto" w:fill="F4F6F9"/>
          </w:tcPr>
          <w:p>
            <w:pPr>
              <w:pStyle w:val="Compact"/>
              <w:spacing w:after="40" w:before="40"/>
              <w:jc w:val="left"/>
            </w:pPr>
            <w:r>
              <w:rPr>
                <w:sz w:val="17"/>
              </w:rPr>
              <w:t xml:space="preserve">Fewer mistakes; helps HR enforce policy</w:t>
            </w:r>
          </w:p>
        </w:tc>
        <w:tc>
          <w:tcPr>
            <w:tcW w:w="651" w:type="dxa"/>
            <w:shd w:val="clear" w:color="auto" w:fill="F4F6F9"/>
          </w:tcPr>
          <w:p>
            <w:pPr>
              <w:pStyle w:val="Compact"/>
              <w:spacing w:after="40" w:before="40"/>
              <w:jc w:val="left"/>
            </w:pPr>
            <w:r>
              <w:rPr>
                <w:sz w:val="17"/>
              </w:rPr>
              <w:t xml:space="preserve">P1 · S</w:t>
            </w:r>
          </w:p>
        </w:tc>
      </w:tr>
    </w:tbl>
    <w:bookmarkEnd w:id="61"/>
    <w:bookmarkStart w:id="62" w:name="deliver"/>
    <w:p>
      <w:pPr>
        <w:pStyle w:val="Heading3"/>
      </w:pPr>
      <w:r>
        <w:t xml:space="preserve">Deliver</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512"/>
        <w:gridCol w:w="3752"/>
        <w:gridCol w:w="1802"/>
        <w:gridCol w:w="2133"/>
        <w:gridCol w:w="688"/>
      </w:tblGrid>
      <w:tr>
        <w:trPr>
          <w:tblHeader w:val="true"/>
          <w:cantSplit/>
          <w:tblHeader/>
        </w:trPr>
        <w:tc>
          <w:tcPr>
            <w:tcW w:w="1512" w:type="dxa"/>
            <w:shd w:val="clear" w:color="auto" w:fill="1F3A5F"/>
          </w:tcPr>
          <w:p>
            <w:pPr>
              <w:pStyle w:val="Compact"/>
              <w:spacing w:after="40" w:before="40"/>
              <w:jc w:val="left"/>
            </w:pPr>
            <w:r>
              <w:rPr>
                <w:b/>
                <w:color w:val="FFFFFF"/>
                <w:sz w:val="17"/>
              </w:rPr>
              <w:t xml:space="preserve">Feature</w:t>
            </w:r>
          </w:p>
        </w:tc>
        <w:tc>
          <w:tcPr>
            <w:tcW w:w="3752" w:type="dxa"/>
            <w:shd w:val="clear" w:color="auto" w:fill="1F3A5F"/>
          </w:tcPr>
          <w:p>
            <w:pPr>
              <w:pStyle w:val="Compact"/>
              <w:spacing w:after="40" w:before="40"/>
              <w:jc w:val="left"/>
            </w:pPr>
            <w:r>
              <w:rPr>
                <w:b/>
                <w:color w:val="FFFFFF"/>
                <w:sz w:val="17"/>
              </w:rPr>
              <w:t xml:space="preserve">What it does</w:t>
            </w:r>
          </w:p>
        </w:tc>
        <w:tc>
          <w:tcPr>
            <w:tcW w:w="1802" w:type="dxa"/>
            <w:shd w:val="clear" w:color="auto" w:fill="1F3A5F"/>
          </w:tcPr>
          <w:p>
            <w:pPr>
              <w:pStyle w:val="Compact"/>
              <w:spacing w:after="40" w:before="40"/>
              <w:jc w:val="left"/>
            </w:pPr>
            <w:r>
              <w:rPr>
                <w:b/>
                <w:color w:val="FFFFFF"/>
                <w:sz w:val="17"/>
              </w:rPr>
              <w:t xml:space="preserve">Why</w:t>
            </w:r>
          </w:p>
        </w:tc>
        <w:tc>
          <w:tcPr>
            <w:tcW w:w="2133" w:type="dxa"/>
            <w:shd w:val="clear" w:color="auto" w:fill="1F3A5F"/>
          </w:tcPr>
          <w:p>
            <w:pPr>
              <w:pStyle w:val="Compact"/>
              <w:spacing w:after="40" w:before="40"/>
              <w:jc w:val="left"/>
            </w:pPr>
            <w:r>
              <w:rPr>
                <w:b/>
                <w:color w:val="FFFFFF"/>
                <w:sz w:val="17"/>
              </w:rPr>
              <w:t xml:space="preserve">Commercial angle</w:t>
            </w:r>
          </w:p>
        </w:tc>
        <w:tc>
          <w:tcPr>
            <w:tcW w:w="688" w:type="dxa"/>
            <w:shd w:val="clear" w:color="auto" w:fill="1F3A5F"/>
          </w:tcPr>
          <w:p>
            <w:pPr>
              <w:pStyle w:val="Compact"/>
              <w:spacing w:after="40" w:before="40"/>
              <w:jc w:val="left"/>
            </w:pPr>
            <w:r>
              <w:rPr>
                <w:b/>
                <w:color w:val="FFFFFF"/>
                <w:sz w:val="17"/>
              </w:rPr>
              <w:t xml:space="preserve">Pri · Effort</w:t>
            </w:r>
          </w:p>
        </w:tc>
      </w:tr>
      <w:tr>
        <w:trPr>
          <w:cantSplit/>
        </w:trPr>
        <w:tc>
          <w:tcPr>
            <w:tcW w:w="1512" w:type="dxa"/>
          </w:tcPr>
          <w:p>
            <w:pPr>
              <w:pStyle w:val="Compact"/>
              <w:spacing w:after="40" w:before="40"/>
              <w:jc w:val="left"/>
            </w:pPr>
            <w:r>
              <w:rPr>
                <w:sz w:val="17"/>
              </w:rPr>
              <w:t xml:space="preserve">C9 Recipient-confirmed delivery on WhatsApp</w:t>
            </w:r>
          </w:p>
        </w:tc>
        <w:tc>
          <w:tcPr>
            <w:tcW w:w="3752" w:type="dxa"/>
          </w:tcPr>
          <w:p>
            <w:pPr>
              <w:pStyle w:val="Compact"/>
              <w:spacing w:after="40" w:before="40"/>
              <w:jc w:val="left"/>
            </w:pPr>
            <w:r>
              <w:rPr>
                <w:sz w:val="17"/>
              </w:rPr>
              <w:t xml:space="preserve">The recipient gets a message in the company’s name: accept, pick one of two or three gifts or a size, share a location pin, choose a slot. The sender sees status; HR never sees home addresses</w:t>
            </w:r>
          </w:p>
        </w:tc>
        <w:tc>
          <w:tcPr>
            <w:tcW w:w="1802" w:type="dxa"/>
          </w:tcPr>
          <w:p>
            <w:pPr>
              <w:pStyle w:val="Compact"/>
              <w:spacing w:after="40" w:before="40"/>
              <w:jc w:val="left"/>
            </w:pPr>
            <w:r>
              <w:rPr>
                <w:sz w:val="17"/>
              </w:rPr>
              <w:t xml:space="preserve">Addresses are the main friction; privacy by design; Tesler’s law</w:t>
            </w:r>
          </w:p>
        </w:tc>
        <w:tc>
          <w:tcPr>
            <w:tcW w:w="2133" w:type="dxa"/>
          </w:tcPr>
          <w:p>
            <w:pPr>
              <w:pStyle w:val="Compact"/>
              <w:spacing w:after="40" w:before="40"/>
              <w:jc w:val="left"/>
            </w:pPr>
            <w:r>
              <w:rPr>
                <w:sz w:val="17"/>
              </w:rPr>
              <w:t xml:space="preserve">Higher first-attempt delivery, fewer re-delivery costs, less personal data held</w:t>
            </w:r>
          </w:p>
        </w:tc>
        <w:tc>
          <w:tcPr>
            <w:tcW w:w="688" w:type="dxa"/>
          </w:tcPr>
          <w:p>
            <w:pPr>
              <w:pStyle w:val="Compact"/>
              <w:spacing w:after="40" w:before="40"/>
              <w:jc w:val="left"/>
            </w:pPr>
            <w:r>
              <w:rPr>
                <w:sz w:val="17"/>
              </w:rPr>
              <w:t xml:space="preserve">P1 · M</w:t>
            </w:r>
          </w:p>
        </w:tc>
      </w:tr>
      <w:tr>
        <w:trPr>
          <w:cantSplit/>
        </w:trPr>
        <w:tc>
          <w:tcPr>
            <w:tcW w:w="1512" w:type="dxa"/>
            <w:shd w:val="clear" w:color="auto" w:fill="F4F6F9"/>
          </w:tcPr>
          <w:p>
            <w:pPr>
              <w:pStyle w:val="Compact"/>
              <w:spacing w:after="40" w:before="40"/>
              <w:jc w:val="left"/>
            </w:pPr>
            <w:r>
              <w:rPr>
                <w:sz w:val="17"/>
              </w:rPr>
              <w:t xml:space="preserve">C10 Delivery proof and SLA report</w:t>
            </w:r>
          </w:p>
        </w:tc>
        <w:tc>
          <w:tcPr>
            <w:tcW w:w="3752" w:type="dxa"/>
            <w:shd w:val="clear" w:color="auto" w:fill="F4F6F9"/>
          </w:tcPr>
          <w:p>
            <w:pPr>
              <w:pStyle w:val="Compact"/>
              <w:spacing w:after="40" w:before="40"/>
              <w:jc w:val="left"/>
            </w:pPr>
            <w:r>
              <w:rPr>
                <w:sz w:val="17"/>
              </w:rPr>
              <w:t xml:space="preserve">Downloadable photo proof and timestamps per recipient; on-time rate per campaign; extend the on-time guarantee to a corporate SLA</w:t>
            </w:r>
          </w:p>
        </w:tc>
        <w:tc>
          <w:tcPr>
            <w:tcW w:w="1802" w:type="dxa"/>
            <w:shd w:val="clear" w:color="auto" w:fill="F4F6F9"/>
          </w:tcPr>
          <w:p>
            <w:pPr>
              <w:pStyle w:val="Compact"/>
              <w:spacing w:after="40" w:before="40"/>
              <w:jc w:val="left"/>
            </w:pPr>
            <w:r>
              <w:rPr>
                <w:sz w:val="17"/>
              </w:rPr>
              <w:t xml:space="preserve">Visibility; audit trail for finance</w:t>
            </w:r>
          </w:p>
        </w:tc>
        <w:tc>
          <w:tcPr>
            <w:tcW w:w="2133" w:type="dxa"/>
            <w:shd w:val="clear" w:color="auto" w:fill="F4F6F9"/>
          </w:tcPr>
          <w:p>
            <w:pPr>
              <w:pStyle w:val="Compact"/>
              <w:spacing w:after="40" w:before="40"/>
              <w:jc w:val="left"/>
            </w:pPr>
            <w:r>
              <w:rPr>
                <w:sz w:val="17"/>
              </w:rPr>
              <w:t xml:space="preserve">A renewal argument</w:t>
            </w:r>
          </w:p>
        </w:tc>
        <w:tc>
          <w:tcPr>
            <w:tcW w:w="688" w:type="dxa"/>
            <w:shd w:val="clear" w:color="auto" w:fill="F4F6F9"/>
          </w:tcPr>
          <w:p>
            <w:pPr>
              <w:pStyle w:val="Compact"/>
              <w:spacing w:after="40" w:before="40"/>
              <w:jc w:val="left"/>
            </w:pPr>
            <w:r>
              <w:rPr>
                <w:sz w:val="17"/>
              </w:rPr>
              <w:t xml:space="preserve">P1 · S</w:t>
            </w:r>
          </w:p>
        </w:tc>
      </w:tr>
    </w:tbl>
    <w:bookmarkEnd w:id="62"/>
    <w:bookmarkStart w:id="63" w:name="automate-and-recognise"/>
    <w:p>
      <w:pPr>
        <w:pStyle w:val="Heading3"/>
      </w:pPr>
      <w:r>
        <w:t xml:space="preserve">Automate and recognise</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512"/>
        <w:gridCol w:w="3242"/>
        <w:gridCol w:w="2711"/>
        <w:gridCol w:w="1768"/>
        <w:gridCol w:w="656"/>
      </w:tblGrid>
      <w:tr>
        <w:trPr>
          <w:tblHeader w:val="true"/>
          <w:cantSplit/>
          <w:tblHeader/>
        </w:trPr>
        <w:tc>
          <w:tcPr>
            <w:tcW w:w="1512" w:type="dxa"/>
            <w:shd w:val="clear" w:color="auto" w:fill="1F3A5F"/>
          </w:tcPr>
          <w:p>
            <w:pPr>
              <w:pStyle w:val="Compact"/>
              <w:spacing w:after="40" w:before="40"/>
              <w:jc w:val="left"/>
            </w:pPr>
            <w:r>
              <w:rPr>
                <w:b/>
                <w:color w:val="FFFFFF"/>
                <w:sz w:val="17"/>
              </w:rPr>
              <w:t xml:space="preserve">Feature</w:t>
            </w:r>
          </w:p>
        </w:tc>
        <w:tc>
          <w:tcPr>
            <w:tcW w:w="3242" w:type="dxa"/>
            <w:shd w:val="clear" w:color="auto" w:fill="1F3A5F"/>
          </w:tcPr>
          <w:p>
            <w:pPr>
              <w:pStyle w:val="Compact"/>
              <w:spacing w:after="40" w:before="40"/>
              <w:jc w:val="left"/>
            </w:pPr>
            <w:r>
              <w:rPr>
                <w:b/>
                <w:color w:val="FFFFFF"/>
                <w:sz w:val="17"/>
              </w:rPr>
              <w:t xml:space="preserve">What it does</w:t>
            </w:r>
          </w:p>
        </w:tc>
        <w:tc>
          <w:tcPr>
            <w:tcW w:w="2711" w:type="dxa"/>
            <w:shd w:val="clear" w:color="auto" w:fill="1F3A5F"/>
          </w:tcPr>
          <w:p>
            <w:pPr>
              <w:pStyle w:val="Compact"/>
              <w:spacing w:after="40" w:before="40"/>
              <w:jc w:val="left"/>
            </w:pPr>
            <w:r>
              <w:rPr>
                <w:b/>
                <w:color w:val="FFFFFF"/>
                <w:sz w:val="17"/>
              </w:rPr>
              <w:t xml:space="preserve">Why</w:t>
            </w:r>
          </w:p>
        </w:tc>
        <w:tc>
          <w:tcPr>
            <w:tcW w:w="1768" w:type="dxa"/>
            <w:shd w:val="clear" w:color="auto" w:fill="1F3A5F"/>
          </w:tcPr>
          <w:p>
            <w:pPr>
              <w:pStyle w:val="Compact"/>
              <w:spacing w:after="40" w:before="40"/>
              <w:jc w:val="left"/>
            </w:pPr>
            <w:r>
              <w:rPr>
                <w:b/>
                <w:color w:val="FFFFFF"/>
                <w:sz w:val="17"/>
              </w:rPr>
              <w:t xml:space="preserve">Commercial angle</w:t>
            </w:r>
          </w:p>
        </w:tc>
        <w:tc>
          <w:tcPr>
            <w:tcW w:w="656" w:type="dxa"/>
            <w:shd w:val="clear" w:color="auto" w:fill="1F3A5F"/>
          </w:tcPr>
          <w:p>
            <w:pPr>
              <w:pStyle w:val="Compact"/>
              <w:spacing w:after="40" w:before="40"/>
              <w:jc w:val="left"/>
            </w:pPr>
            <w:r>
              <w:rPr>
                <w:b/>
                <w:color w:val="FFFFFF"/>
                <w:sz w:val="17"/>
              </w:rPr>
              <w:t xml:space="preserve">Pri · Effort</w:t>
            </w:r>
          </w:p>
        </w:tc>
      </w:tr>
      <w:tr>
        <w:trPr>
          <w:cantSplit/>
        </w:trPr>
        <w:tc>
          <w:tcPr>
            <w:tcW w:w="1512" w:type="dxa"/>
          </w:tcPr>
          <w:p>
            <w:pPr>
              <w:pStyle w:val="Compact"/>
              <w:spacing w:after="40" w:before="40"/>
              <w:jc w:val="left"/>
            </w:pPr>
            <w:r>
              <w:rPr>
                <w:sz w:val="17"/>
              </w:rPr>
              <w:t xml:space="preserve">C11 Milestones v2</w:t>
            </w:r>
          </w:p>
        </w:tc>
        <w:tc>
          <w:tcPr>
            <w:tcW w:w="3242" w:type="dxa"/>
          </w:tcPr>
          <w:p>
            <w:pPr>
              <w:pStyle w:val="Compact"/>
              <w:spacing w:after="40" w:before="40"/>
              <w:jc w:val="left"/>
            </w:pPr>
            <w:r>
              <w:rPr>
                <w:sz w:val="17"/>
              </w:rPr>
              <w:t xml:space="preserve">Sync from an HR system or CSV; rules for birthdays, work anniversaries, promotions, new baby, day-one kit, retirement and condolence; per-rule budget and gift tier; a manager nudge to add a personal note; 90-day calendar with spend forecast</w:t>
            </w:r>
          </w:p>
        </w:tc>
        <w:tc>
          <w:tcPr>
            <w:tcW w:w="2711" w:type="dxa"/>
          </w:tcPr>
          <w:p>
            <w:pPr>
              <w:pStyle w:val="Compact"/>
              <w:spacing w:after="40" w:before="40"/>
              <w:jc w:val="left"/>
            </w:pPr>
            <w:r>
              <w:rPr>
                <w:sz w:val="17"/>
              </w:rPr>
              <w:t xml:space="preserve">Fogg prompt for people who forget; keeps the human touch</w:t>
            </w:r>
          </w:p>
        </w:tc>
        <w:tc>
          <w:tcPr>
            <w:tcW w:w="1768" w:type="dxa"/>
          </w:tcPr>
          <w:p>
            <w:pPr>
              <w:pStyle w:val="Compact"/>
              <w:spacing w:after="40" w:before="40"/>
              <w:jc w:val="left"/>
            </w:pPr>
            <w:r>
              <w:rPr>
                <w:sz w:val="17"/>
              </w:rPr>
              <w:t xml:space="preserve">Recurring revenue and high retention</w:t>
            </w:r>
          </w:p>
        </w:tc>
        <w:tc>
          <w:tcPr>
            <w:tcW w:w="656" w:type="dxa"/>
          </w:tcPr>
          <w:p>
            <w:pPr>
              <w:pStyle w:val="Compact"/>
              <w:spacing w:after="40" w:before="40"/>
              <w:jc w:val="left"/>
            </w:pPr>
            <w:r>
              <w:rPr>
                <w:sz w:val="17"/>
              </w:rPr>
              <w:t xml:space="preserve">P1 · L</w:t>
            </w:r>
          </w:p>
        </w:tc>
      </w:tr>
      <w:tr>
        <w:trPr>
          <w:cantSplit/>
        </w:trPr>
        <w:tc>
          <w:tcPr>
            <w:tcW w:w="1512" w:type="dxa"/>
            <w:shd w:val="clear" w:color="auto" w:fill="F4F6F9"/>
          </w:tcPr>
          <w:p>
            <w:pPr>
              <w:pStyle w:val="Compact"/>
              <w:spacing w:after="40" w:before="40"/>
              <w:jc w:val="left"/>
            </w:pPr>
            <w:r>
              <w:rPr>
                <w:sz w:val="17"/>
              </w:rPr>
              <w:t xml:space="preserve">C12 Recognition points and cards</w:t>
            </w:r>
          </w:p>
        </w:tc>
        <w:tc>
          <w:tcPr>
            <w:tcW w:w="3242" w:type="dxa"/>
            <w:shd w:val="clear" w:color="auto" w:fill="F4F6F9"/>
          </w:tcPr>
          <w:p>
            <w:pPr>
              <w:pStyle w:val="Compact"/>
              <w:spacing w:after="40" w:before="40"/>
              <w:jc w:val="left"/>
            </w:pPr>
            <w:r>
              <w:rPr>
                <w:sz w:val="17"/>
              </w:rPr>
              <w:t xml:space="preserve">Managers and peers award points; staff redeem in the catalogue or as e-vouchers by WhatsApp or SMS; physical reward cards for deskless staff</w:t>
            </w:r>
          </w:p>
        </w:tc>
        <w:tc>
          <w:tcPr>
            <w:tcW w:w="2711" w:type="dxa"/>
            <w:shd w:val="clear" w:color="auto" w:fill="F4F6F9"/>
          </w:tcPr>
          <w:p>
            <w:pPr>
              <w:pStyle w:val="Compact"/>
              <w:spacing w:after="40" w:before="40"/>
              <w:jc w:val="left"/>
            </w:pPr>
            <w:r>
              <w:rPr>
                <w:sz w:val="17"/>
              </w:rPr>
              <w:t xml:space="preserve">Deskless staff may lack company email; benchmarked on Awardco</w:t>
            </w:r>
          </w:p>
        </w:tc>
        <w:tc>
          <w:tcPr>
            <w:tcW w:w="1768" w:type="dxa"/>
            <w:shd w:val="clear" w:color="auto" w:fill="F4F6F9"/>
          </w:tcPr>
          <w:p>
            <w:pPr>
              <w:pStyle w:val="Compact"/>
              <w:spacing w:after="40" w:before="40"/>
              <w:jc w:val="left"/>
            </w:pPr>
            <w:r>
              <w:rPr>
                <w:sz w:val="17"/>
              </w:rPr>
              <w:t xml:space="preserve">Software fee plus catalogue sales; check the tax treatment of staff rewards</w:t>
            </w:r>
          </w:p>
        </w:tc>
        <w:tc>
          <w:tcPr>
            <w:tcW w:w="656" w:type="dxa"/>
            <w:shd w:val="clear" w:color="auto" w:fill="F4F6F9"/>
          </w:tcPr>
          <w:p>
            <w:pPr>
              <w:pStyle w:val="Compact"/>
              <w:spacing w:after="40" w:before="40"/>
              <w:jc w:val="left"/>
            </w:pPr>
            <w:r>
              <w:rPr>
                <w:sz w:val="17"/>
              </w:rPr>
              <w:t xml:space="preserve">P2 · L</w:t>
            </w:r>
          </w:p>
        </w:tc>
      </w:tr>
      <w:tr>
        <w:trPr>
          <w:cantSplit/>
        </w:trPr>
        <w:tc>
          <w:tcPr>
            <w:tcW w:w="1512" w:type="dxa"/>
          </w:tcPr>
          <w:p>
            <w:pPr>
              <w:pStyle w:val="Compact"/>
              <w:spacing w:after="40" w:before="40"/>
              <w:jc w:val="left"/>
            </w:pPr>
            <w:r>
              <w:rPr>
                <w:sz w:val="17"/>
              </w:rPr>
              <w:t xml:space="preserve">C13 Client gifting register</w:t>
            </w:r>
          </w:p>
        </w:tc>
        <w:tc>
          <w:tcPr>
            <w:tcW w:w="3242" w:type="dxa"/>
          </w:tcPr>
          <w:p>
            <w:pPr>
              <w:pStyle w:val="Compact"/>
              <w:spacing w:after="40" w:before="40"/>
              <w:jc w:val="left"/>
            </w:pPr>
            <w:r>
              <w:rPr>
                <w:sz w:val="17"/>
              </w:rPr>
              <w:t xml:space="preserve">Client tiers, a gift policy per tier, gift history per client, approval above a threshold, export for compliance, CRM link</w:t>
            </w:r>
          </w:p>
        </w:tc>
        <w:tc>
          <w:tcPr>
            <w:tcW w:w="2711" w:type="dxa"/>
          </w:tcPr>
          <w:p>
            <w:pPr>
              <w:pStyle w:val="Compact"/>
              <w:spacing w:after="40" w:before="40"/>
              <w:jc w:val="left"/>
            </w:pPr>
            <w:r>
              <w:rPr>
                <w:sz w:val="17"/>
              </w:rPr>
              <w:t xml:space="preserve">Visibility and control for sales leaders; helps with anti-bribery rules such as Kenya’s Bribery Act, 2016 (confirm with counsel)</w:t>
            </w:r>
          </w:p>
        </w:tc>
        <w:tc>
          <w:tcPr>
            <w:tcW w:w="1768" w:type="dxa"/>
          </w:tcPr>
          <w:p>
            <w:pPr>
              <w:pStyle w:val="Compact"/>
              <w:spacing w:after="40" w:before="40"/>
              <w:jc w:val="left"/>
            </w:pPr>
            <w:r>
              <w:rPr>
                <w:sz w:val="17"/>
              </w:rPr>
              <w:t xml:space="preserve">Sales teams buy repeatedly; ROI tracking supports renewal</w:t>
            </w:r>
          </w:p>
        </w:tc>
        <w:tc>
          <w:tcPr>
            <w:tcW w:w="656" w:type="dxa"/>
          </w:tcPr>
          <w:p>
            <w:pPr>
              <w:pStyle w:val="Compact"/>
              <w:spacing w:after="40" w:before="40"/>
              <w:jc w:val="left"/>
            </w:pPr>
            <w:r>
              <w:rPr>
                <w:sz w:val="17"/>
              </w:rPr>
              <w:t xml:space="preserve">P2 · M</w:t>
            </w:r>
          </w:p>
        </w:tc>
      </w:tr>
      <w:tr>
        <w:trPr>
          <w:cantSplit/>
        </w:trPr>
        <w:tc>
          <w:tcPr>
            <w:tcW w:w="1512" w:type="dxa"/>
            <w:shd w:val="clear" w:color="auto" w:fill="F4F6F9"/>
          </w:tcPr>
          <w:p>
            <w:pPr>
              <w:pStyle w:val="Compact"/>
              <w:spacing w:after="40" w:before="40"/>
              <w:jc w:val="left"/>
            </w:pPr>
            <w:r>
              <w:rPr>
                <w:sz w:val="17"/>
              </w:rPr>
              <w:t xml:space="preserve">C14 Campaign and event kits</w:t>
            </w:r>
          </w:p>
        </w:tc>
        <w:tc>
          <w:tcPr>
            <w:tcW w:w="3242" w:type="dxa"/>
            <w:shd w:val="clear" w:color="auto" w:fill="F4F6F9"/>
          </w:tcPr>
          <w:p>
            <w:pPr>
              <w:pStyle w:val="Compact"/>
              <w:spacing w:after="40" w:before="40"/>
              <w:jc w:val="left"/>
            </w:pPr>
            <w:r>
              <w:rPr>
                <w:sz w:val="17"/>
              </w:rPr>
              <w:t xml:space="preserve">Delegate bags, hotel and venue delivery, QR pick-up, post-event follow-up gifts from an attendee list, outreach gifts after a booked meeting</w:t>
            </w:r>
          </w:p>
        </w:tc>
        <w:tc>
          <w:tcPr>
            <w:tcW w:w="2711" w:type="dxa"/>
            <w:shd w:val="clear" w:color="auto" w:fill="F4F6F9"/>
          </w:tcPr>
          <w:p>
            <w:pPr>
              <w:pStyle w:val="Compact"/>
              <w:spacing w:after="40" w:before="40"/>
              <w:jc w:val="left"/>
            </w:pPr>
            <w:r>
              <w:rPr>
                <w:sz w:val="17"/>
              </w:rPr>
              <w:t xml:space="preserve">Prompt at the right moment; local speed beats global platforms</w:t>
            </w:r>
          </w:p>
        </w:tc>
        <w:tc>
          <w:tcPr>
            <w:tcW w:w="1768" w:type="dxa"/>
            <w:shd w:val="clear" w:color="auto" w:fill="F4F6F9"/>
          </w:tcPr>
          <w:p>
            <w:pPr>
              <w:pStyle w:val="Compact"/>
              <w:spacing w:after="40" w:before="40"/>
              <w:jc w:val="left"/>
            </w:pPr>
            <w:r>
              <w:rPr>
                <w:sz w:val="17"/>
              </w:rPr>
              <w:t xml:space="preserve">Draws on marketing budgets</w:t>
            </w:r>
          </w:p>
        </w:tc>
        <w:tc>
          <w:tcPr>
            <w:tcW w:w="656" w:type="dxa"/>
            <w:shd w:val="clear" w:color="auto" w:fill="F4F6F9"/>
          </w:tcPr>
          <w:p>
            <w:pPr>
              <w:pStyle w:val="Compact"/>
              <w:spacing w:after="40" w:before="40"/>
              <w:jc w:val="left"/>
            </w:pPr>
            <w:r>
              <w:rPr>
                <w:sz w:val="17"/>
              </w:rPr>
              <w:t xml:space="preserve">P2 · M</w:t>
            </w:r>
          </w:p>
        </w:tc>
      </w:tr>
      <w:tr>
        <w:trPr>
          <w:cantSplit/>
        </w:trPr>
        <w:tc>
          <w:tcPr>
            <w:tcW w:w="1512" w:type="dxa"/>
          </w:tcPr>
          <w:p>
            <w:pPr>
              <w:pStyle w:val="Compact"/>
              <w:spacing w:after="40" w:before="40"/>
              <w:jc w:val="left"/>
            </w:pPr>
            <w:r>
              <w:rPr>
                <w:sz w:val="17"/>
              </w:rPr>
              <w:t xml:space="preserve">C15 Holiday planner</w:t>
            </w:r>
          </w:p>
        </w:tc>
        <w:tc>
          <w:tcPr>
            <w:tcW w:w="3242" w:type="dxa"/>
          </w:tcPr>
          <w:p>
            <w:pPr>
              <w:pStyle w:val="Compact"/>
              <w:spacing w:after="40" w:before="40"/>
              <w:jc w:val="left"/>
            </w:pPr>
            <w:r>
              <w:rPr>
                <w:sz w:val="17"/>
              </w:rPr>
              <w:t xml:space="preserve">Start with last-order dates and a lead-time calendar for branded items; later price-lock pre-orders from August, capacity slots and deposits</w:t>
            </w:r>
          </w:p>
        </w:tc>
        <w:tc>
          <w:tcPr>
            <w:tcW w:w="2711" w:type="dxa"/>
          </w:tcPr>
          <w:p>
            <w:pPr>
              <w:pStyle w:val="Compact"/>
              <w:spacing w:after="40" w:before="40"/>
              <w:jc w:val="left"/>
            </w:pPr>
            <w:r>
              <w:rPr>
                <w:sz w:val="17"/>
              </w:rPr>
              <w:t xml:space="preserve">Visibility; avoids peak-season surprises</w:t>
            </w:r>
          </w:p>
        </w:tc>
        <w:tc>
          <w:tcPr>
            <w:tcW w:w="1768" w:type="dxa"/>
          </w:tcPr>
          <w:p>
            <w:pPr>
              <w:pStyle w:val="Compact"/>
              <w:spacing w:after="40" w:before="40"/>
              <w:jc w:val="left"/>
            </w:pPr>
            <w:r>
              <w:rPr>
                <w:sz w:val="17"/>
              </w:rPr>
              <w:t xml:space="preserve">Deposits improve cash flow; smoother operations</w:t>
            </w:r>
          </w:p>
        </w:tc>
        <w:tc>
          <w:tcPr>
            <w:tcW w:w="656" w:type="dxa"/>
          </w:tcPr>
          <w:p>
            <w:pPr>
              <w:pStyle w:val="Compact"/>
              <w:spacing w:after="40" w:before="40"/>
              <w:jc w:val="left"/>
            </w:pPr>
            <w:r>
              <w:rPr>
                <w:sz w:val="17"/>
              </w:rPr>
              <w:t xml:space="preserve">P0 · S</w:t>
            </w:r>
          </w:p>
        </w:tc>
      </w:tr>
    </w:tbl>
    <w:bookmarkEnd w:id="63"/>
    <w:bookmarkStart w:id="64" w:name="prove-and-grow"/>
    <w:p>
      <w:pPr>
        <w:pStyle w:val="Heading3"/>
      </w:pPr>
      <w:r>
        <w:t xml:space="preserve">Prove and grow</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512"/>
        <w:gridCol w:w="4669"/>
        <w:gridCol w:w="1570"/>
        <w:gridCol w:w="1446"/>
        <w:gridCol w:w="691"/>
      </w:tblGrid>
      <w:tr>
        <w:trPr>
          <w:tblHeader w:val="true"/>
          <w:cantSplit/>
          <w:tblHeader/>
        </w:trPr>
        <w:tc>
          <w:tcPr>
            <w:tcW w:w="1512" w:type="dxa"/>
            <w:shd w:val="clear" w:color="auto" w:fill="1F3A5F"/>
          </w:tcPr>
          <w:p>
            <w:pPr>
              <w:pStyle w:val="Compact"/>
              <w:spacing w:after="40" w:before="40"/>
              <w:jc w:val="left"/>
            </w:pPr>
            <w:r>
              <w:rPr>
                <w:b/>
                <w:color w:val="FFFFFF"/>
                <w:sz w:val="17"/>
              </w:rPr>
              <w:t xml:space="preserve">Feature</w:t>
            </w:r>
          </w:p>
        </w:tc>
        <w:tc>
          <w:tcPr>
            <w:tcW w:w="4669" w:type="dxa"/>
            <w:shd w:val="clear" w:color="auto" w:fill="1F3A5F"/>
          </w:tcPr>
          <w:p>
            <w:pPr>
              <w:pStyle w:val="Compact"/>
              <w:spacing w:after="40" w:before="40"/>
              <w:jc w:val="left"/>
            </w:pPr>
            <w:r>
              <w:rPr>
                <w:b/>
                <w:color w:val="FFFFFF"/>
                <w:sz w:val="17"/>
              </w:rPr>
              <w:t xml:space="preserve">What it does</w:t>
            </w:r>
          </w:p>
        </w:tc>
        <w:tc>
          <w:tcPr>
            <w:tcW w:w="1570" w:type="dxa"/>
            <w:shd w:val="clear" w:color="auto" w:fill="1F3A5F"/>
          </w:tcPr>
          <w:p>
            <w:pPr>
              <w:pStyle w:val="Compact"/>
              <w:spacing w:after="40" w:before="40"/>
              <w:jc w:val="left"/>
            </w:pPr>
            <w:r>
              <w:rPr>
                <w:b/>
                <w:color w:val="FFFFFF"/>
                <w:sz w:val="17"/>
              </w:rPr>
              <w:t xml:space="preserve">Why</w:t>
            </w:r>
          </w:p>
        </w:tc>
        <w:tc>
          <w:tcPr>
            <w:tcW w:w="1446" w:type="dxa"/>
            <w:shd w:val="clear" w:color="auto" w:fill="1F3A5F"/>
          </w:tcPr>
          <w:p>
            <w:pPr>
              <w:pStyle w:val="Compact"/>
              <w:spacing w:after="40" w:before="40"/>
              <w:jc w:val="left"/>
            </w:pPr>
            <w:r>
              <w:rPr>
                <w:b/>
                <w:color w:val="FFFFFF"/>
                <w:sz w:val="17"/>
              </w:rPr>
              <w:t xml:space="preserve">Commercial angle</w:t>
            </w:r>
          </w:p>
        </w:tc>
        <w:tc>
          <w:tcPr>
            <w:tcW w:w="691" w:type="dxa"/>
            <w:shd w:val="clear" w:color="auto" w:fill="1F3A5F"/>
          </w:tcPr>
          <w:p>
            <w:pPr>
              <w:pStyle w:val="Compact"/>
              <w:spacing w:after="40" w:before="40"/>
              <w:jc w:val="left"/>
            </w:pPr>
            <w:r>
              <w:rPr>
                <w:b/>
                <w:color w:val="FFFFFF"/>
                <w:sz w:val="17"/>
              </w:rPr>
              <w:t xml:space="preserve">Pri · Effort</w:t>
            </w:r>
          </w:p>
        </w:tc>
      </w:tr>
      <w:tr>
        <w:trPr>
          <w:cantSplit/>
        </w:trPr>
        <w:tc>
          <w:tcPr>
            <w:tcW w:w="1512" w:type="dxa"/>
          </w:tcPr>
          <w:p>
            <w:pPr>
              <w:pStyle w:val="Compact"/>
              <w:spacing w:after="40" w:before="40"/>
              <w:jc w:val="left"/>
            </w:pPr>
            <w:r>
              <w:rPr>
                <w:sz w:val="17"/>
              </w:rPr>
              <w:t xml:space="preserve">C16 Spend and impact analytics</w:t>
            </w:r>
          </w:p>
        </w:tc>
        <w:tc>
          <w:tcPr>
            <w:tcW w:w="4669" w:type="dxa"/>
          </w:tcPr>
          <w:p>
            <w:pPr>
              <w:pStyle w:val="Compact"/>
              <w:spacing w:after="40" w:before="40"/>
              <w:jc w:val="left"/>
            </w:pPr>
            <w:r>
              <w:rPr>
                <w:sz w:val="17"/>
              </w:rPr>
              <w:t xml:space="preserve">Spend by department and occasion, delivery success, one-tap recipient rating over WhatsApp, cost per gift, share of local items, downloadable for HR, finance and CSR</w:t>
            </w:r>
          </w:p>
        </w:tc>
        <w:tc>
          <w:tcPr>
            <w:tcW w:w="1570" w:type="dxa"/>
          </w:tcPr>
          <w:p>
            <w:pPr>
              <w:pStyle w:val="Compact"/>
              <w:spacing w:after="40" w:before="40"/>
              <w:jc w:val="left"/>
            </w:pPr>
            <w:r>
              <w:rPr>
                <w:sz w:val="17"/>
              </w:rPr>
              <w:t xml:space="preserve">Visibility of results</w:t>
            </w:r>
          </w:p>
        </w:tc>
        <w:tc>
          <w:tcPr>
            <w:tcW w:w="1446" w:type="dxa"/>
          </w:tcPr>
          <w:p>
            <w:pPr>
              <w:pStyle w:val="Compact"/>
              <w:spacing w:after="40" w:before="40"/>
              <w:jc w:val="left"/>
            </w:pPr>
            <w:r>
              <w:rPr>
                <w:sz w:val="17"/>
              </w:rPr>
              <w:t xml:space="preserve">Justifies renewals and upsell</w:t>
            </w:r>
          </w:p>
        </w:tc>
        <w:tc>
          <w:tcPr>
            <w:tcW w:w="691" w:type="dxa"/>
          </w:tcPr>
          <w:p>
            <w:pPr>
              <w:pStyle w:val="Compact"/>
              <w:spacing w:after="40" w:before="40"/>
              <w:jc w:val="left"/>
            </w:pPr>
            <w:r>
              <w:rPr>
                <w:sz w:val="17"/>
              </w:rPr>
              <w:t xml:space="preserve">P2 · M</w:t>
            </w:r>
          </w:p>
        </w:tc>
      </w:tr>
      <w:tr>
        <w:trPr>
          <w:cantSplit/>
        </w:trPr>
        <w:tc>
          <w:tcPr>
            <w:tcW w:w="1512" w:type="dxa"/>
            <w:shd w:val="clear" w:color="auto" w:fill="F4F6F9"/>
          </w:tcPr>
          <w:p>
            <w:pPr>
              <w:pStyle w:val="Compact"/>
              <w:spacing w:after="40" w:before="40"/>
              <w:jc w:val="left"/>
            </w:pPr>
            <w:r>
              <w:rPr>
                <w:sz w:val="17"/>
              </w:rPr>
              <w:t xml:space="preserve">C17 White-label 2.0</w:t>
            </w:r>
          </w:p>
        </w:tc>
        <w:tc>
          <w:tcPr>
            <w:tcW w:w="4669" w:type="dxa"/>
            <w:shd w:val="clear" w:color="auto" w:fill="F4F6F9"/>
          </w:tcPr>
          <w:p>
            <w:pPr>
              <w:pStyle w:val="Compact"/>
              <w:spacing w:after="40" w:before="40"/>
              <w:jc w:val="left"/>
            </w:pPr>
            <w:r>
              <w:rPr>
                <w:sz w:val="17"/>
              </w:rPr>
              <w:t xml:space="preserve">Keep logo, colours and domain; add a company-approved catalogue, per-employee allowance wallets, branded WhatsApp sender, single sign-on, reseller mode for agencies with margin settings</w:t>
            </w:r>
          </w:p>
        </w:tc>
        <w:tc>
          <w:tcPr>
            <w:tcW w:w="1570" w:type="dxa"/>
            <w:shd w:val="clear" w:color="auto" w:fill="F4F6F9"/>
          </w:tcPr>
          <w:p>
            <w:pPr>
              <w:pStyle w:val="Compact"/>
              <w:spacing w:after="40" w:before="40"/>
              <w:jc w:val="left"/>
            </w:pPr>
            <w:r>
              <w:rPr>
                <w:sz w:val="17"/>
              </w:rPr>
              <w:t xml:space="preserve">User control for recipients; stickiness</w:t>
            </w:r>
          </w:p>
        </w:tc>
        <w:tc>
          <w:tcPr>
            <w:tcW w:w="1446" w:type="dxa"/>
            <w:shd w:val="clear" w:color="auto" w:fill="F4F6F9"/>
          </w:tcPr>
          <w:p>
            <w:pPr>
              <w:pStyle w:val="Compact"/>
              <w:spacing w:after="40" w:before="40"/>
              <w:jc w:val="left"/>
            </w:pPr>
            <w:r>
              <w:rPr>
                <w:sz w:val="17"/>
              </w:rPr>
              <w:t xml:space="preserve">Software fee plus margin; B2B2C reach</w:t>
            </w:r>
          </w:p>
        </w:tc>
        <w:tc>
          <w:tcPr>
            <w:tcW w:w="691" w:type="dxa"/>
            <w:shd w:val="clear" w:color="auto" w:fill="F4F6F9"/>
          </w:tcPr>
          <w:p>
            <w:pPr>
              <w:pStyle w:val="Compact"/>
              <w:spacing w:after="40" w:before="40"/>
              <w:jc w:val="left"/>
            </w:pPr>
            <w:r>
              <w:rPr>
                <w:sz w:val="17"/>
              </w:rPr>
              <w:t xml:space="preserve">P2 · L</w:t>
            </w:r>
          </w:p>
        </w:tc>
      </w:tr>
      <w:tr>
        <w:trPr>
          <w:cantSplit/>
        </w:trPr>
        <w:tc>
          <w:tcPr>
            <w:tcW w:w="1512" w:type="dxa"/>
          </w:tcPr>
          <w:p>
            <w:pPr>
              <w:pStyle w:val="Compact"/>
              <w:spacing w:after="40" w:before="40"/>
              <w:jc w:val="left"/>
            </w:pPr>
            <w:r>
              <w:rPr>
                <w:sz w:val="17"/>
              </w:rPr>
              <w:t xml:space="preserve">C18 Integrations</w:t>
            </w:r>
          </w:p>
        </w:tc>
        <w:tc>
          <w:tcPr>
            <w:tcW w:w="4669" w:type="dxa"/>
          </w:tcPr>
          <w:p>
            <w:pPr>
              <w:pStyle w:val="Compact"/>
              <w:spacing w:after="40" w:before="40"/>
              <w:jc w:val="left"/>
            </w:pPr>
            <w:r>
              <w:rPr>
                <w:sz w:val="17"/>
              </w:rPr>
              <w:t xml:space="preserve">Google Workspace and Microsoft 365 calendars, Slack and Teams, HR systems, accounting packages, CRM</w:t>
            </w:r>
          </w:p>
        </w:tc>
        <w:tc>
          <w:tcPr>
            <w:tcW w:w="1570" w:type="dxa"/>
          </w:tcPr>
          <w:p>
            <w:pPr>
              <w:pStyle w:val="Compact"/>
              <w:spacing w:after="40" w:before="40"/>
              <w:jc w:val="left"/>
            </w:pPr>
            <w:r>
              <w:rPr>
                <w:sz w:val="17"/>
              </w:rPr>
              <w:t xml:space="preserve">Jakob’s law: work where users already are</w:t>
            </w:r>
          </w:p>
        </w:tc>
        <w:tc>
          <w:tcPr>
            <w:tcW w:w="1446" w:type="dxa"/>
          </w:tcPr>
          <w:p>
            <w:pPr>
              <w:pStyle w:val="Compact"/>
              <w:spacing w:after="40" w:before="40"/>
              <w:jc w:val="left"/>
            </w:pPr>
            <w:r>
              <w:rPr>
                <w:sz w:val="17"/>
              </w:rPr>
              <w:t xml:space="preserve">Stickiness</w:t>
            </w:r>
          </w:p>
        </w:tc>
        <w:tc>
          <w:tcPr>
            <w:tcW w:w="691" w:type="dxa"/>
          </w:tcPr>
          <w:p>
            <w:pPr>
              <w:pStyle w:val="Compact"/>
              <w:spacing w:after="40" w:before="40"/>
              <w:jc w:val="left"/>
            </w:pPr>
            <w:r>
              <w:rPr>
                <w:sz w:val="17"/>
              </w:rPr>
              <w:t xml:space="preserve">P2 · L</w:t>
            </w:r>
          </w:p>
        </w:tc>
      </w:tr>
      <w:tr>
        <w:trPr>
          <w:cantSplit/>
        </w:trPr>
        <w:tc>
          <w:tcPr>
            <w:tcW w:w="1512" w:type="dxa"/>
            <w:shd w:val="clear" w:color="auto" w:fill="F4F6F9"/>
          </w:tcPr>
          <w:p>
            <w:pPr>
              <w:pStyle w:val="Compact"/>
              <w:spacing w:after="40" w:before="40"/>
              <w:jc w:val="left"/>
            </w:pPr>
            <w:r>
              <w:rPr>
                <w:sz w:val="17"/>
              </w:rPr>
              <w:t xml:space="preserve">C19 Corporate search and proof</w:t>
            </w:r>
          </w:p>
        </w:tc>
        <w:tc>
          <w:tcPr>
            <w:tcW w:w="4669" w:type="dxa"/>
            <w:shd w:val="clear" w:color="auto" w:fill="F4F6F9"/>
          </w:tcPr>
          <w:p>
            <w:pPr>
              <w:pStyle w:val="Compact"/>
              <w:spacing w:after="40" w:before="40"/>
              <w:jc w:val="left"/>
            </w:pPr>
            <w:r>
              <w:rPr>
                <w:sz w:val="17"/>
              </w:rPr>
              <w:t xml:space="preserve">Unique titles and canonicals, case studies, client logos, gifting-policy templates, ROI calculator</w:t>
            </w:r>
          </w:p>
        </w:tc>
        <w:tc>
          <w:tcPr>
            <w:tcW w:w="1570" w:type="dxa"/>
            <w:shd w:val="clear" w:color="auto" w:fill="F4F6F9"/>
          </w:tcPr>
          <w:p>
            <w:pPr>
              <w:pStyle w:val="Compact"/>
              <w:spacing w:after="40" w:before="40"/>
              <w:jc w:val="left"/>
            </w:pPr>
            <w:r>
              <w:rPr>
                <w:sz w:val="17"/>
              </w:rPr>
              <w:t xml:space="preserve">Credibility</w:t>
            </w:r>
          </w:p>
        </w:tc>
        <w:tc>
          <w:tcPr>
            <w:tcW w:w="1446" w:type="dxa"/>
            <w:shd w:val="clear" w:color="auto" w:fill="F4F6F9"/>
          </w:tcPr>
          <w:p>
            <w:pPr>
              <w:pStyle w:val="Compact"/>
              <w:spacing w:after="40" w:before="40"/>
              <w:jc w:val="left"/>
            </w:pPr>
            <w:r>
              <w:rPr>
                <w:sz w:val="17"/>
              </w:rPr>
              <w:t xml:space="preserve">Inbound B2B leads</w:t>
            </w:r>
          </w:p>
        </w:tc>
        <w:tc>
          <w:tcPr>
            <w:tcW w:w="691" w:type="dxa"/>
            <w:shd w:val="clear" w:color="auto" w:fill="F4F6F9"/>
          </w:tcPr>
          <w:p>
            <w:pPr>
              <w:pStyle w:val="Compact"/>
              <w:spacing w:after="40" w:before="40"/>
              <w:jc w:val="left"/>
            </w:pPr>
            <w:r>
              <w:rPr>
                <w:sz w:val="17"/>
              </w:rPr>
              <w:t xml:space="preserve">P0 · S</w:t>
            </w:r>
          </w:p>
        </w:tc>
      </w:tr>
    </w:tbl>
    <w:bookmarkEnd w:id="64"/>
    <w:bookmarkEnd w:id="65"/>
    <w:bookmarkStart w:id="66" w:name="shared-features-main-and-corporate"/>
    <w:p>
      <w:pPr>
        <w:pStyle w:val="Heading2"/>
      </w:pPr>
      <w:r>
        <w:t xml:space="preserve">Shared features: main and corporate</w:t>
      </w:r>
    </w:p>
    <w:p>
      <w:pPr>
        <w:pStyle w:val="FirstParagraph"/>
      </w:pPr>
      <w:r>
        <w:t xml:space="preserve">Thirteen features appear on both sides with different faces, so build each once as a shared service and expose it twice. Three services unlock most of them: the pool engine, the messaging service and the occasion engine.</w:t>
      </w:r>
    </w:p>
    <w:p>
      <w:pPr>
        <w:pStyle w:val="BodyText"/>
      </w:pPr>
      <w:r>
        <w:rPr>
          <w:bCs/>
          <w:b/>
        </w:rPr>
        <w:t xml:space="preserve">Architecture: one shared core, two storefronts</w:t>
      </w:r>
    </w:p>
    <w:p>
      <w:pPr>
        <w:numPr>
          <w:ilvl w:val="0"/>
          <w:numId w:val="1008"/>
        </w:numPr>
        <w:pStyle w:val="Compact"/>
      </w:pPr>
      <w:r>
        <w:rPr>
          <w:bCs/>
          <w:b/>
        </w:rPr>
        <w:t xml:space="preserve">Consumer storefront:</w:t>
      </w:r>
      <w:r>
        <w:t xml:space="preserve"> </w:t>
      </w:r>
      <w:r>
        <w:t xml:space="preserve">shop, Gift Finder, Gift Lab, Pool a Gift, wishlists, reminders, checkout, gift cards, tracking.</w:t>
      </w:r>
    </w:p>
    <w:p>
      <w:pPr>
        <w:numPr>
          <w:ilvl w:val="0"/>
          <w:numId w:val="1008"/>
        </w:numPr>
        <w:pStyle w:val="Compact"/>
      </w:pPr>
      <w:r>
        <w:rPr>
          <w:bCs/>
          <w:b/>
        </w:rPr>
        <w:t xml:space="preserve">Corporate platform:</w:t>
      </w:r>
      <w:r>
        <w:t xml:space="preserve"> </w:t>
      </w:r>
      <w:r>
        <w:t xml:space="preserve">workspace, budgets, approvals, bulk upload, branding, quotes, milestones, white-label, analytics.</w:t>
      </w:r>
    </w:p>
    <w:p>
      <w:pPr>
        <w:numPr>
          <w:ilvl w:val="0"/>
          <w:numId w:val="1008"/>
        </w:numPr>
        <w:pStyle w:val="Compact"/>
      </w:pPr>
      <w:r>
        <w:rPr>
          <w:bCs/>
          <w:b/>
        </w:rPr>
        <w:t xml:space="preserve">Shared core services (used by both):</w:t>
      </w:r>
      <w:r>
        <w:t xml:space="preserve"> </w:t>
      </w:r>
      <w:r>
        <w:t xml:space="preserve">pool engine (ledger, refunds, shortfalls); messaging service (WhatsApp flows by audience); occasion engine (dates, milestones, calendars); recipient profiles (preferences and consent flags); payments and invoicing (M-Pesa, cards, eTIMS invoices); fulfilment and proof (riders, photo proof, tracking).</w:t>
      </w:r>
    </w:p>
    <w:p>
      <w:pPr>
        <w:numPr>
          <w:ilvl w:val="0"/>
          <w:numId w:val="1008"/>
        </w:numPr>
        <w:pStyle w:val="Compact"/>
      </w:pPr>
      <w:r>
        <w:rPr>
          <w:bCs/>
          <w:b/>
        </w:rPr>
        <w:t xml:space="preserve">Foundation:</w:t>
      </w:r>
      <w:r>
        <w:t xml:space="preserve"> </w:t>
      </w:r>
      <w:r>
        <w:t xml:space="preserve">catalogue, inventory and suppliers.</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710"/>
        <w:gridCol w:w="2128"/>
        <w:gridCol w:w="3247"/>
        <w:gridCol w:w="2806"/>
      </w:tblGrid>
      <w:tr>
        <w:trPr>
          <w:tblHeader w:val="true"/>
          <w:cantSplit/>
          <w:tblHeader/>
        </w:trPr>
        <w:tc>
          <w:tcPr>
            <w:tcW w:w="1710" w:type="dxa"/>
            <w:shd w:val="clear" w:color="auto" w:fill="1F3A5F"/>
          </w:tcPr>
          <w:p>
            <w:pPr>
              <w:pStyle w:val="Compact"/>
              <w:spacing w:after="40" w:before="40"/>
              <w:jc w:val="left"/>
            </w:pPr>
            <w:r>
              <w:rPr>
                <w:b/>
                <w:color w:val="FFFFFF"/>
                <w:sz w:val="18"/>
              </w:rPr>
              <w:t xml:space="preserve">Shared feature</w:t>
            </w:r>
          </w:p>
        </w:tc>
        <w:tc>
          <w:tcPr>
            <w:tcW w:w="2128" w:type="dxa"/>
            <w:shd w:val="clear" w:color="auto" w:fill="1F3A5F"/>
          </w:tcPr>
          <w:p>
            <w:pPr>
              <w:pStyle w:val="Compact"/>
              <w:spacing w:after="40" w:before="40"/>
              <w:jc w:val="left"/>
            </w:pPr>
            <w:r>
              <w:rPr>
                <w:b/>
                <w:color w:val="FFFFFF"/>
                <w:sz w:val="18"/>
              </w:rPr>
              <w:t xml:space="preserve">Main platform version</w:t>
            </w:r>
          </w:p>
        </w:tc>
        <w:tc>
          <w:tcPr>
            <w:tcW w:w="3247" w:type="dxa"/>
            <w:shd w:val="clear" w:color="auto" w:fill="1F3A5F"/>
          </w:tcPr>
          <w:p>
            <w:pPr>
              <w:pStyle w:val="Compact"/>
              <w:spacing w:after="40" w:before="40"/>
              <w:jc w:val="left"/>
            </w:pPr>
            <w:r>
              <w:rPr>
                <w:b/>
                <w:color w:val="FFFFFF"/>
                <w:sz w:val="18"/>
              </w:rPr>
              <w:t xml:space="preserve">Corporate version</w:t>
            </w:r>
          </w:p>
        </w:tc>
        <w:tc>
          <w:tcPr>
            <w:tcW w:w="2806" w:type="dxa"/>
            <w:shd w:val="clear" w:color="auto" w:fill="1F3A5F"/>
          </w:tcPr>
          <w:p>
            <w:pPr>
              <w:pStyle w:val="Compact"/>
              <w:spacing w:after="40" w:before="40"/>
              <w:jc w:val="left"/>
            </w:pPr>
            <w:r>
              <w:rPr>
                <w:b/>
                <w:color w:val="FFFFFF"/>
                <w:sz w:val="18"/>
              </w:rPr>
              <w:t xml:space="preserve">Build once as</w:t>
            </w:r>
          </w:p>
        </w:tc>
      </w:tr>
      <w:tr>
        <w:trPr>
          <w:cantSplit/>
        </w:trPr>
        <w:tc>
          <w:tcPr>
            <w:tcW w:w="1710" w:type="dxa"/>
          </w:tcPr>
          <w:p>
            <w:pPr>
              <w:pStyle w:val="Compact"/>
              <w:spacing w:after="40" w:before="40"/>
              <w:jc w:val="left"/>
            </w:pPr>
            <w:r>
              <w:rPr>
                <w:sz w:val="18"/>
              </w:rPr>
              <w:t xml:space="preserve">Pool gifting (P1 to P14)</w:t>
            </w:r>
          </w:p>
        </w:tc>
        <w:tc>
          <w:tcPr>
            <w:tcW w:w="2128" w:type="dxa"/>
          </w:tcPr>
          <w:p>
            <w:pPr>
              <w:pStyle w:val="Compact"/>
              <w:spacing w:after="40" w:before="40"/>
              <w:jc w:val="left"/>
            </w:pPr>
            <w:r>
              <w:rPr>
                <w:sz w:val="18"/>
              </w:rPr>
              <w:t xml:space="preserve">Friends, family, weddings, birthdays</w:t>
            </w:r>
          </w:p>
        </w:tc>
        <w:tc>
          <w:tcPr>
            <w:tcW w:w="3247" w:type="dxa"/>
          </w:tcPr>
          <w:p>
            <w:pPr>
              <w:pStyle w:val="Compact"/>
              <w:spacing w:after="40" w:before="40"/>
              <w:jc w:val="left"/>
            </w:pPr>
            <w:r>
              <w:rPr>
                <w:sz w:val="18"/>
              </w:rPr>
              <w:t xml:space="preserve">Farewells and boss’s day, with employer matching and policy caps</w:t>
            </w:r>
          </w:p>
        </w:tc>
        <w:tc>
          <w:tcPr>
            <w:tcW w:w="2806" w:type="dxa"/>
          </w:tcPr>
          <w:p>
            <w:pPr>
              <w:pStyle w:val="Compact"/>
              <w:spacing w:after="40" w:before="40"/>
              <w:jc w:val="left"/>
            </w:pPr>
            <w:r>
              <w:rPr>
                <w:sz w:val="18"/>
              </w:rPr>
              <w:t xml:space="preserve">Pool engine: ledger, refunds, shortfall rules</w:t>
            </w:r>
          </w:p>
        </w:tc>
      </w:tr>
      <w:tr>
        <w:trPr>
          <w:cantSplit/>
        </w:trPr>
        <w:tc>
          <w:tcPr>
            <w:tcW w:w="1710" w:type="dxa"/>
            <w:shd w:val="clear" w:color="auto" w:fill="F4F6F9"/>
          </w:tcPr>
          <w:p>
            <w:pPr>
              <w:pStyle w:val="Compact"/>
              <w:spacing w:after="40" w:before="40"/>
              <w:jc w:val="left"/>
            </w:pPr>
            <w:r>
              <w:rPr>
                <w:sz w:val="18"/>
              </w:rPr>
              <w:t xml:space="preserve">Gift Finder (M2)</w:t>
            </w:r>
          </w:p>
        </w:tc>
        <w:tc>
          <w:tcPr>
            <w:tcW w:w="2128" w:type="dxa"/>
            <w:shd w:val="clear" w:color="auto" w:fill="F4F6F9"/>
          </w:tcPr>
          <w:p>
            <w:pPr>
              <w:pStyle w:val="Compact"/>
              <w:spacing w:after="40" w:before="40"/>
              <w:jc w:val="left"/>
            </w:pPr>
            <w:r>
              <w:rPr>
                <w:sz w:val="18"/>
              </w:rPr>
              <w:t xml:space="preserve">Quiz or chat by recipient, occasion and budget</w:t>
            </w:r>
          </w:p>
        </w:tc>
        <w:tc>
          <w:tcPr>
            <w:tcW w:w="3247" w:type="dxa"/>
            <w:shd w:val="clear" w:color="auto" w:fill="F4F6F9"/>
          </w:tcPr>
          <w:p>
            <w:pPr>
              <w:pStyle w:val="Compact"/>
              <w:spacing w:after="40" w:before="40"/>
              <w:jc w:val="left"/>
            </w:pPr>
            <w:r>
              <w:rPr>
                <w:sz w:val="18"/>
              </w:rPr>
              <w:t xml:space="preserve">Form or chat by client tier, seniority, company policy and cultural filters</w:t>
            </w:r>
          </w:p>
        </w:tc>
        <w:tc>
          <w:tcPr>
            <w:tcW w:w="2806" w:type="dxa"/>
            <w:shd w:val="clear" w:color="auto" w:fill="F4F6F9"/>
          </w:tcPr>
          <w:p>
            <w:pPr>
              <w:pStyle w:val="Compact"/>
              <w:spacing w:after="40" w:before="40"/>
              <w:jc w:val="left"/>
            </w:pPr>
            <w:r>
              <w:rPr>
                <w:sz w:val="18"/>
              </w:rPr>
              <w:t xml:space="preserve">Recommendation service over recipient profiles and catalogue tags</w:t>
            </w:r>
          </w:p>
        </w:tc>
      </w:tr>
      <w:tr>
        <w:trPr>
          <w:cantSplit/>
        </w:trPr>
        <w:tc>
          <w:tcPr>
            <w:tcW w:w="1710" w:type="dxa"/>
          </w:tcPr>
          <w:p>
            <w:pPr>
              <w:pStyle w:val="Compact"/>
              <w:spacing w:after="40" w:before="40"/>
              <w:jc w:val="left"/>
            </w:pPr>
            <w:r>
              <w:rPr>
                <w:sz w:val="18"/>
              </w:rPr>
              <w:t xml:space="preserve">Recipient-led choice (M9, C9)</w:t>
            </w:r>
          </w:p>
        </w:tc>
        <w:tc>
          <w:tcPr>
            <w:tcW w:w="2128" w:type="dxa"/>
          </w:tcPr>
          <w:p>
            <w:pPr>
              <w:pStyle w:val="Compact"/>
              <w:spacing w:after="40" w:before="40"/>
              <w:jc w:val="left"/>
            </w:pPr>
            <w:r>
              <w:rPr>
                <w:sz w:val="18"/>
              </w:rPr>
              <w:t xml:space="preserve">Gift link from a friend</w:t>
            </w:r>
          </w:p>
        </w:tc>
        <w:tc>
          <w:tcPr>
            <w:tcW w:w="3247" w:type="dxa"/>
          </w:tcPr>
          <w:p>
            <w:pPr>
              <w:pStyle w:val="Compact"/>
              <w:spacing w:after="40" w:before="40"/>
              <w:jc w:val="left"/>
            </w:pPr>
            <w:r>
              <w:rPr>
                <w:sz w:val="18"/>
              </w:rPr>
              <w:t xml:space="preserve">Company-branded choice of two or three gifts, or an allowance</w:t>
            </w:r>
          </w:p>
        </w:tc>
        <w:tc>
          <w:tcPr>
            <w:tcW w:w="2806" w:type="dxa"/>
          </w:tcPr>
          <w:p>
            <w:pPr>
              <w:pStyle w:val="Compact"/>
              <w:spacing w:after="40" w:before="40"/>
              <w:jc w:val="left"/>
            </w:pPr>
            <w:r>
              <w:rPr>
                <w:sz w:val="18"/>
              </w:rPr>
              <w:t xml:space="preserve">Choice link and slot-picking service</w:t>
            </w:r>
          </w:p>
        </w:tc>
      </w:tr>
      <w:tr>
        <w:trPr>
          <w:cantSplit/>
        </w:trPr>
        <w:tc>
          <w:tcPr>
            <w:tcW w:w="1710" w:type="dxa"/>
            <w:shd w:val="clear" w:color="auto" w:fill="F4F6F9"/>
          </w:tcPr>
          <w:p>
            <w:pPr>
              <w:pStyle w:val="Compact"/>
              <w:spacing w:after="40" w:before="40"/>
              <w:jc w:val="left"/>
            </w:pPr>
            <w:r>
              <w:rPr>
                <w:sz w:val="18"/>
              </w:rPr>
              <w:t xml:space="preserve">WhatsApp layer (M13, C9)</w:t>
            </w:r>
          </w:p>
        </w:tc>
        <w:tc>
          <w:tcPr>
            <w:tcW w:w="2128" w:type="dxa"/>
            <w:shd w:val="clear" w:color="auto" w:fill="F4F6F9"/>
          </w:tcPr>
          <w:p>
            <w:pPr>
              <w:pStyle w:val="Compact"/>
              <w:spacing w:after="40" w:before="40"/>
              <w:jc w:val="left"/>
            </w:pPr>
            <w:r>
              <w:rPr>
                <w:sz w:val="18"/>
              </w:rPr>
              <w:t xml:space="preserve">Concierge, reminders, contributions</w:t>
            </w:r>
          </w:p>
        </w:tc>
        <w:tc>
          <w:tcPr>
            <w:tcW w:w="3247" w:type="dxa"/>
            <w:shd w:val="clear" w:color="auto" w:fill="F4F6F9"/>
          </w:tcPr>
          <w:p>
            <w:pPr>
              <w:pStyle w:val="Compact"/>
              <w:spacing w:after="40" w:before="40"/>
              <w:jc w:val="left"/>
            </w:pPr>
            <w:r>
              <w:rPr>
                <w:sz w:val="18"/>
              </w:rPr>
              <w:t xml:space="preserve">Address confirmation, approvals, milestone alerts</w:t>
            </w:r>
          </w:p>
        </w:tc>
        <w:tc>
          <w:tcPr>
            <w:tcW w:w="2806" w:type="dxa"/>
            <w:shd w:val="clear" w:color="auto" w:fill="F4F6F9"/>
          </w:tcPr>
          <w:p>
            <w:pPr>
              <w:pStyle w:val="Compact"/>
              <w:spacing w:after="40" w:before="40"/>
              <w:jc w:val="left"/>
            </w:pPr>
            <w:r>
              <w:rPr>
                <w:sz w:val="18"/>
              </w:rPr>
              <w:t xml:space="preserve">One messaging service with templates per audience</w:t>
            </w:r>
          </w:p>
        </w:tc>
      </w:tr>
      <w:tr>
        <w:trPr>
          <w:cantSplit/>
        </w:trPr>
        <w:tc>
          <w:tcPr>
            <w:tcW w:w="1710" w:type="dxa"/>
          </w:tcPr>
          <w:p>
            <w:pPr>
              <w:pStyle w:val="Compact"/>
              <w:spacing w:after="40" w:before="40"/>
              <w:jc w:val="left"/>
            </w:pPr>
            <w:r>
              <w:rPr>
                <w:sz w:val="18"/>
              </w:rPr>
              <w:t xml:space="preserve">Scheduling and subscriptions</w:t>
            </w:r>
          </w:p>
        </w:tc>
        <w:tc>
          <w:tcPr>
            <w:tcW w:w="2128" w:type="dxa"/>
          </w:tcPr>
          <w:p>
            <w:pPr>
              <w:pStyle w:val="Compact"/>
              <w:spacing w:after="40" w:before="40"/>
              <w:jc w:val="left"/>
            </w:pPr>
            <w:r>
              <w:rPr>
                <w:sz w:val="18"/>
              </w:rPr>
              <w:t xml:space="preserve">Personal birthdays and anniversaries</w:t>
            </w:r>
          </w:p>
        </w:tc>
        <w:tc>
          <w:tcPr>
            <w:tcW w:w="3247" w:type="dxa"/>
          </w:tcPr>
          <w:p>
            <w:pPr>
              <w:pStyle w:val="Compact"/>
              <w:spacing w:after="40" w:before="40"/>
              <w:jc w:val="left"/>
            </w:pPr>
            <w:r>
              <w:rPr>
                <w:sz w:val="18"/>
              </w:rPr>
              <w:t xml:space="preserve">Milestone rules by tenure, birthday, promotion</w:t>
            </w:r>
          </w:p>
        </w:tc>
        <w:tc>
          <w:tcPr>
            <w:tcW w:w="2806" w:type="dxa"/>
          </w:tcPr>
          <w:p>
            <w:pPr>
              <w:pStyle w:val="Compact"/>
              <w:spacing w:after="40" w:before="40"/>
              <w:jc w:val="left"/>
            </w:pPr>
            <w:r>
              <w:rPr>
                <w:sz w:val="18"/>
              </w:rPr>
              <w:t xml:space="preserve">Occasion engine</w:t>
            </w:r>
          </w:p>
        </w:tc>
      </w:tr>
      <w:tr>
        <w:trPr>
          <w:cantSplit/>
        </w:trPr>
        <w:tc>
          <w:tcPr>
            <w:tcW w:w="1710" w:type="dxa"/>
            <w:shd w:val="clear" w:color="auto" w:fill="F4F6F9"/>
          </w:tcPr>
          <w:p>
            <w:pPr>
              <w:pStyle w:val="Compact"/>
              <w:spacing w:after="40" w:before="40"/>
              <w:jc w:val="left"/>
            </w:pPr>
            <w:r>
              <w:rPr>
                <w:sz w:val="18"/>
              </w:rPr>
              <w:t xml:space="preserve">Sender identity</w:t>
            </w:r>
          </w:p>
        </w:tc>
        <w:tc>
          <w:tcPr>
            <w:tcW w:w="2128" w:type="dxa"/>
            <w:shd w:val="clear" w:color="auto" w:fill="F4F6F9"/>
          </w:tcPr>
          <w:p>
            <w:pPr>
              <w:pStyle w:val="Compact"/>
              <w:spacing w:after="40" w:before="40"/>
              <w:jc w:val="left"/>
            </w:pPr>
            <w:r>
              <w:rPr>
                <w:sz w:val="18"/>
              </w:rPr>
              <w:t xml:space="preserve">Secret admirer, anonymous</w:t>
            </w:r>
          </w:p>
        </w:tc>
        <w:tc>
          <w:tcPr>
            <w:tcW w:w="3247" w:type="dxa"/>
            <w:shd w:val="clear" w:color="auto" w:fill="F4F6F9"/>
          </w:tcPr>
          <w:p>
            <w:pPr>
              <w:pStyle w:val="Compact"/>
              <w:spacing w:after="40" w:before="40"/>
              <w:jc w:val="left"/>
            </w:pPr>
            <w:r>
              <w:rPr>
                <w:sz w:val="18"/>
              </w:rPr>
              <w:t xml:space="preserve">From the team, the CEO or a manager; company-branded sender</w:t>
            </w:r>
          </w:p>
        </w:tc>
        <w:tc>
          <w:tcPr>
            <w:tcW w:w="2806" w:type="dxa"/>
            <w:shd w:val="clear" w:color="auto" w:fill="F4F6F9"/>
          </w:tcPr>
          <w:p>
            <w:pPr>
              <w:pStyle w:val="Compact"/>
              <w:spacing w:after="40" w:before="40"/>
              <w:jc w:val="left"/>
            </w:pPr>
            <w:r>
              <w:rPr>
                <w:sz w:val="18"/>
              </w:rPr>
              <w:t xml:space="preserve">Sender-identity setting on every order</w:t>
            </w:r>
          </w:p>
        </w:tc>
      </w:tr>
      <w:tr>
        <w:trPr>
          <w:cantSplit/>
        </w:trPr>
        <w:tc>
          <w:tcPr>
            <w:tcW w:w="1710" w:type="dxa"/>
          </w:tcPr>
          <w:p>
            <w:pPr>
              <w:pStyle w:val="Compact"/>
              <w:spacing w:after="40" w:before="40"/>
              <w:jc w:val="left"/>
            </w:pPr>
            <w:r>
              <w:rPr>
                <w:sz w:val="18"/>
              </w:rPr>
              <w:t xml:space="preserve">Photo and delivery proof (M11, C10)</w:t>
            </w:r>
          </w:p>
        </w:tc>
        <w:tc>
          <w:tcPr>
            <w:tcW w:w="2128" w:type="dxa"/>
          </w:tcPr>
          <w:p>
            <w:pPr>
              <w:pStyle w:val="Compact"/>
              <w:spacing w:after="40" w:before="40"/>
              <w:jc w:val="left"/>
            </w:pPr>
            <w:r>
              <w:rPr>
                <w:sz w:val="18"/>
              </w:rPr>
              <w:t xml:space="preserve">Reassurance for senders and the diaspora</w:t>
            </w:r>
          </w:p>
        </w:tc>
        <w:tc>
          <w:tcPr>
            <w:tcW w:w="3247" w:type="dxa"/>
          </w:tcPr>
          <w:p>
            <w:pPr>
              <w:pStyle w:val="Compact"/>
              <w:spacing w:after="40" w:before="40"/>
              <w:jc w:val="left"/>
            </w:pPr>
            <w:r>
              <w:rPr>
                <w:sz w:val="18"/>
              </w:rPr>
              <w:t xml:space="preserve">Audit trail and per-recipient report for finance</w:t>
            </w:r>
          </w:p>
        </w:tc>
        <w:tc>
          <w:tcPr>
            <w:tcW w:w="2806" w:type="dxa"/>
          </w:tcPr>
          <w:p>
            <w:pPr>
              <w:pStyle w:val="Compact"/>
              <w:spacing w:after="40" w:before="40"/>
              <w:jc w:val="left"/>
            </w:pPr>
            <w:r>
              <w:rPr>
                <w:sz w:val="18"/>
              </w:rPr>
              <w:t xml:space="preserve">Proof service tied to fulfilment</w:t>
            </w:r>
          </w:p>
        </w:tc>
      </w:tr>
      <w:tr>
        <w:trPr>
          <w:cantSplit/>
        </w:trPr>
        <w:tc>
          <w:tcPr>
            <w:tcW w:w="1710" w:type="dxa"/>
            <w:shd w:val="clear" w:color="auto" w:fill="F4F6F9"/>
          </w:tcPr>
          <w:p>
            <w:pPr>
              <w:pStyle w:val="Compact"/>
              <w:spacing w:after="40" w:before="40"/>
              <w:jc w:val="left"/>
            </w:pPr>
            <w:r>
              <w:rPr>
                <w:sz w:val="18"/>
              </w:rPr>
              <w:t xml:space="preserve">Digital unboxing page (M10)</w:t>
            </w:r>
          </w:p>
        </w:tc>
        <w:tc>
          <w:tcPr>
            <w:tcW w:w="2128" w:type="dxa"/>
            <w:shd w:val="clear" w:color="auto" w:fill="F4F6F9"/>
          </w:tcPr>
          <w:p>
            <w:pPr>
              <w:pStyle w:val="Compact"/>
              <w:spacing w:after="40" w:before="40"/>
              <w:jc w:val="left"/>
            </w:pPr>
            <w:r>
              <w:rPr>
                <w:sz w:val="18"/>
              </w:rPr>
              <w:t xml:space="preserve">Video, voice note, photos</w:t>
            </w:r>
          </w:p>
        </w:tc>
        <w:tc>
          <w:tcPr>
            <w:tcW w:w="3247" w:type="dxa"/>
            <w:shd w:val="clear" w:color="auto" w:fill="F4F6F9"/>
          </w:tcPr>
          <w:p>
            <w:pPr>
              <w:pStyle w:val="Compact"/>
              <w:spacing w:after="40" w:before="40"/>
              <w:jc w:val="left"/>
            </w:pPr>
            <w:r>
              <w:rPr>
                <w:sz w:val="18"/>
              </w:rPr>
              <w:t xml:space="preserve">Branded CEO message and one-tap rating</w:t>
            </w:r>
          </w:p>
        </w:tc>
        <w:tc>
          <w:tcPr>
            <w:tcW w:w="2806" w:type="dxa"/>
            <w:shd w:val="clear" w:color="auto" w:fill="F4F6F9"/>
          </w:tcPr>
          <w:p>
            <w:pPr>
              <w:pStyle w:val="Compact"/>
              <w:spacing w:after="40" w:before="40"/>
              <w:jc w:val="left"/>
            </w:pPr>
            <w:r>
              <w:rPr>
                <w:sz w:val="18"/>
              </w:rPr>
              <w:t xml:space="preserve">Page builder with themes</w:t>
            </w:r>
          </w:p>
        </w:tc>
      </w:tr>
      <w:tr>
        <w:trPr>
          <w:cantSplit/>
        </w:trPr>
        <w:tc>
          <w:tcPr>
            <w:tcW w:w="1710" w:type="dxa"/>
          </w:tcPr>
          <w:p>
            <w:pPr>
              <w:pStyle w:val="Compact"/>
              <w:spacing w:after="40" w:before="40"/>
              <w:jc w:val="left"/>
            </w:pPr>
            <w:r>
              <w:rPr>
                <w:sz w:val="18"/>
              </w:rPr>
              <w:t xml:space="preserve">Gift cards and wallets</w:t>
            </w:r>
          </w:p>
        </w:tc>
        <w:tc>
          <w:tcPr>
            <w:tcW w:w="2128" w:type="dxa"/>
          </w:tcPr>
          <w:p>
            <w:pPr>
              <w:pStyle w:val="Compact"/>
              <w:spacing w:after="40" w:before="40"/>
              <w:jc w:val="left"/>
            </w:pPr>
            <w:r>
              <w:rPr>
                <w:sz w:val="18"/>
              </w:rPr>
              <w:t xml:space="preserve">Digital gift card</w:t>
            </w:r>
          </w:p>
        </w:tc>
        <w:tc>
          <w:tcPr>
            <w:tcW w:w="3247" w:type="dxa"/>
          </w:tcPr>
          <w:p>
            <w:pPr>
              <w:pStyle w:val="Compact"/>
              <w:spacing w:after="40" w:before="40"/>
              <w:jc w:val="left"/>
            </w:pPr>
            <w:r>
              <w:rPr>
                <w:sz w:val="18"/>
              </w:rPr>
              <w:t xml:space="preserve">Bulk e-gift cards, allowance wallets, points</w:t>
            </w:r>
          </w:p>
        </w:tc>
        <w:tc>
          <w:tcPr>
            <w:tcW w:w="2806" w:type="dxa"/>
          </w:tcPr>
          <w:p>
            <w:pPr>
              <w:pStyle w:val="Compact"/>
              <w:spacing w:after="40" w:before="40"/>
              <w:jc w:val="left"/>
            </w:pPr>
            <w:r>
              <w:rPr>
                <w:sz w:val="18"/>
              </w:rPr>
              <w:t xml:space="preserve">Wallet and ledger</w:t>
            </w:r>
          </w:p>
        </w:tc>
      </w:tr>
      <w:tr>
        <w:trPr>
          <w:cantSplit/>
        </w:trPr>
        <w:tc>
          <w:tcPr>
            <w:tcW w:w="1710" w:type="dxa"/>
            <w:shd w:val="clear" w:color="auto" w:fill="F4F6F9"/>
          </w:tcPr>
          <w:p>
            <w:pPr>
              <w:pStyle w:val="Compact"/>
              <w:spacing w:after="40" w:before="40"/>
              <w:jc w:val="left"/>
            </w:pPr>
            <w:r>
              <w:rPr>
                <w:sz w:val="18"/>
              </w:rPr>
              <w:t xml:space="preserve">Wishlists and preferences (M1, M14)</w:t>
            </w:r>
          </w:p>
        </w:tc>
        <w:tc>
          <w:tcPr>
            <w:tcW w:w="2128" w:type="dxa"/>
            <w:shd w:val="clear" w:color="auto" w:fill="F4F6F9"/>
          </w:tcPr>
          <w:p>
            <w:pPr>
              <w:pStyle w:val="Compact"/>
              <w:spacing w:after="40" w:before="40"/>
              <w:jc w:val="left"/>
            </w:pPr>
            <w:r>
              <w:rPr>
                <w:sz w:val="18"/>
              </w:rPr>
              <w:t xml:space="preserve">Public wishlist and registries</w:t>
            </w:r>
          </w:p>
        </w:tc>
        <w:tc>
          <w:tcPr>
            <w:tcW w:w="3247" w:type="dxa"/>
            <w:shd w:val="clear" w:color="auto" w:fill="F4F6F9"/>
          </w:tcPr>
          <w:p>
            <w:pPr>
              <w:pStyle w:val="Compact"/>
              <w:spacing w:after="40" w:before="40"/>
              <w:jc w:val="left"/>
            </w:pPr>
            <w:r>
              <w:rPr>
                <w:sz w:val="18"/>
              </w:rPr>
              <w:t xml:space="preserve">Employee preference profile captured with consent (dietary, no alcohol, sizes)</w:t>
            </w:r>
          </w:p>
        </w:tc>
        <w:tc>
          <w:tcPr>
            <w:tcW w:w="2806" w:type="dxa"/>
            <w:shd w:val="clear" w:color="auto" w:fill="F4F6F9"/>
          </w:tcPr>
          <w:p>
            <w:pPr>
              <w:pStyle w:val="Compact"/>
              <w:spacing w:after="40" w:before="40"/>
              <w:jc w:val="left"/>
            </w:pPr>
            <w:r>
              <w:rPr>
                <w:sz w:val="18"/>
              </w:rPr>
              <w:t xml:space="preserve">Preference store with consent flags</w:t>
            </w:r>
          </w:p>
        </w:tc>
      </w:tr>
      <w:tr>
        <w:trPr>
          <w:cantSplit/>
        </w:trPr>
        <w:tc>
          <w:tcPr>
            <w:tcW w:w="1710" w:type="dxa"/>
          </w:tcPr>
          <w:p>
            <w:pPr>
              <w:pStyle w:val="Compact"/>
              <w:spacing w:after="40" w:before="40"/>
              <w:jc w:val="left"/>
            </w:pPr>
            <w:r>
              <w:rPr>
                <w:sz w:val="18"/>
              </w:rPr>
              <w:t xml:space="preserve">Tracking</w:t>
            </w:r>
          </w:p>
        </w:tc>
        <w:tc>
          <w:tcPr>
            <w:tcW w:w="2128" w:type="dxa"/>
          </w:tcPr>
          <w:p>
            <w:pPr>
              <w:pStyle w:val="Compact"/>
              <w:spacing w:after="40" w:before="40"/>
              <w:jc w:val="left"/>
            </w:pPr>
            <w:r>
              <w:rPr>
                <w:sz w:val="18"/>
              </w:rPr>
              <w:t xml:space="preserve">Sender tracking page</w:t>
            </w:r>
          </w:p>
        </w:tc>
        <w:tc>
          <w:tcPr>
            <w:tcW w:w="3247" w:type="dxa"/>
          </w:tcPr>
          <w:p>
            <w:pPr>
              <w:pStyle w:val="Compact"/>
              <w:spacing w:after="40" w:before="40"/>
              <w:jc w:val="left"/>
            </w:pPr>
            <w:r>
              <w:rPr>
                <w:sz w:val="18"/>
              </w:rPr>
              <w:t xml:space="preserve">Campaign dashboard with SLA</w:t>
            </w:r>
          </w:p>
        </w:tc>
        <w:tc>
          <w:tcPr>
            <w:tcW w:w="2806" w:type="dxa"/>
          </w:tcPr>
          <w:p>
            <w:pPr>
              <w:pStyle w:val="Compact"/>
              <w:spacing w:after="40" w:before="40"/>
              <w:jc w:val="left"/>
            </w:pPr>
            <w:r>
              <w:rPr>
                <w:sz w:val="18"/>
              </w:rPr>
              <w:t xml:space="preserve">Order status events</w:t>
            </w:r>
          </w:p>
        </w:tc>
      </w:tr>
      <w:tr>
        <w:trPr>
          <w:cantSplit/>
        </w:trPr>
        <w:tc>
          <w:tcPr>
            <w:tcW w:w="1710" w:type="dxa"/>
            <w:shd w:val="clear" w:color="auto" w:fill="F4F6F9"/>
          </w:tcPr>
          <w:p>
            <w:pPr>
              <w:pStyle w:val="Compact"/>
              <w:spacing w:after="40" w:before="40"/>
              <w:jc w:val="left"/>
            </w:pPr>
            <w:r>
              <w:rPr>
                <w:sz w:val="18"/>
              </w:rPr>
              <w:t xml:space="preserve">Analytics (M18, C16)</w:t>
            </w:r>
          </w:p>
        </w:tc>
        <w:tc>
          <w:tcPr>
            <w:tcW w:w="2128" w:type="dxa"/>
            <w:shd w:val="clear" w:color="auto" w:fill="F4F6F9"/>
          </w:tcPr>
          <w:p>
            <w:pPr>
              <w:pStyle w:val="Compact"/>
              <w:spacing w:after="40" w:before="40"/>
              <w:jc w:val="left"/>
            </w:pPr>
            <w:r>
              <w:rPr>
                <w:sz w:val="18"/>
              </w:rPr>
              <w:t xml:space="preserve">Year-in-gifts recap</w:t>
            </w:r>
          </w:p>
        </w:tc>
        <w:tc>
          <w:tcPr>
            <w:tcW w:w="3247" w:type="dxa"/>
            <w:shd w:val="clear" w:color="auto" w:fill="F4F6F9"/>
          </w:tcPr>
          <w:p>
            <w:pPr>
              <w:pStyle w:val="Compact"/>
              <w:spacing w:after="40" w:before="40"/>
              <w:jc w:val="left"/>
            </w:pPr>
            <w:r>
              <w:rPr>
                <w:sz w:val="18"/>
              </w:rPr>
              <w:t xml:space="preserve">Spend and impact dashboard</w:t>
            </w:r>
          </w:p>
        </w:tc>
        <w:tc>
          <w:tcPr>
            <w:tcW w:w="2806" w:type="dxa"/>
            <w:shd w:val="clear" w:color="auto" w:fill="F4F6F9"/>
          </w:tcPr>
          <w:p>
            <w:pPr>
              <w:pStyle w:val="Compact"/>
              <w:spacing w:after="40" w:before="40"/>
              <w:jc w:val="left"/>
            </w:pPr>
            <w:r>
              <w:rPr>
                <w:sz w:val="18"/>
              </w:rPr>
              <w:t xml:space="preserve">Event pipeline</w:t>
            </w:r>
          </w:p>
        </w:tc>
      </w:tr>
      <w:tr>
        <w:trPr>
          <w:cantSplit/>
        </w:trPr>
        <w:tc>
          <w:tcPr>
            <w:tcW w:w="1710" w:type="dxa"/>
          </w:tcPr>
          <w:p>
            <w:pPr>
              <w:pStyle w:val="Compact"/>
              <w:spacing w:after="40" w:before="40"/>
              <w:jc w:val="left"/>
            </w:pPr>
            <w:r>
              <w:rPr>
                <w:sz w:val="18"/>
              </w:rPr>
              <w:t xml:space="preserve">Rewards and referrals (M15)</w:t>
            </w:r>
          </w:p>
        </w:tc>
        <w:tc>
          <w:tcPr>
            <w:tcW w:w="2128" w:type="dxa"/>
          </w:tcPr>
          <w:p>
            <w:pPr>
              <w:pStyle w:val="Compact"/>
              <w:spacing w:after="40" w:before="40"/>
              <w:jc w:val="left"/>
            </w:pPr>
            <w:r>
              <w:rPr>
                <w:sz w:val="18"/>
              </w:rPr>
              <w:t xml:space="preserve">Points and referral codes</w:t>
            </w:r>
          </w:p>
        </w:tc>
        <w:tc>
          <w:tcPr>
            <w:tcW w:w="3247" w:type="dxa"/>
          </w:tcPr>
          <w:p>
            <w:pPr>
              <w:pStyle w:val="Compact"/>
              <w:spacing w:after="40" w:before="40"/>
              <w:jc w:val="left"/>
            </w:pPr>
            <w:r>
              <w:rPr>
                <w:sz w:val="18"/>
              </w:rPr>
              <w:t xml:space="preserve">Partner programme for agencies and referring companies</w:t>
            </w:r>
          </w:p>
        </w:tc>
        <w:tc>
          <w:tcPr>
            <w:tcW w:w="2806" w:type="dxa"/>
          </w:tcPr>
          <w:p>
            <w:pPr>
              <w:pStyle w:val="Compact"/>
              <w:spacing w:after="40" w:before="40"/>
              <w:jc w:val="left"/>
            </w:pPr>
            <w:r>
              <w:rPr>
                <w:sz w:val="18"/>
              </w:rPr>
              <w:t xml:space="preserve">Rewards ledger</w:t>
            </w:r>
          </w:p>
        </w:tc>
      </w:tr>
    </w:tbl>
    <w:p>
      <w:pPr>
        <w:pStyle w:val="BodyText"/>
      </w:pPr>
      <w:r>
        <w:t xml:space="preserve">Two rules keep the shared core honest. One recipient record carries consent flags, so a person gifted by a friend and by an employer is never exposed across contexts. One payment layer handles M-Pesa, cards and invoices, so every feature inherits the same receipts, refunds and eTIMS records.</w:t>
      </w:r>
    </w:p>
    <w:bookmarkEnd w:id="66"/>
    <w:bookmarkStart w:id="67" w:name="prioritised-roadmap"/>
    <w:p>
      <w:pPr>
        <w:pStyle w:val="Heading2"/>
      </w:pPr>
      <w:r>
        <w:t xml:space="preserve">Prioritised roadmap</w:t>
      </w:r>
    </w:p>
    <w:p>
      <w:pPr>
        <w:pStyle w:val="FirstParagraph"/>
      </w:pPr>
      <w:r>
        <w:t xml:space="preserve">Ship trust and compliance fixes before the festive peak, money-safe pools and finance tools in the first quarter of 2027, delivery automation in the second, and recurring-revenue platform features after that. These phases are proposals, so adjust them to team capacity. Features are ranked by trust and compliance impact, revenue unlocked, effort and seasonal timing, and I would avoid large launches between early December and Christmas.</w:t>
      </w:r>
    </w:p>
    <w:p>
      <w:pPr>
        <w:pStyle w:val="BodyText"/>
      </w:pPr>
      <w:r>
        <w:rPr>
          <w:bCs/>
          <w:b/>
        </w:rPr>
        <w:t xml:space="preserve">Roadmap gates</w:t>
      </w:r>
    </w:p>
    <w:p>
      <w:pPr>
        <w:numPr>
          <w:ilvl w:val="0"/>
          <w:numId w:val="1009"/>
        </w:numPr>
        <w:pStyle w:val="Compact"/>
      </w:pPr>
      <w:r>
        <w:rPr>
          <w:bCs/>
          <w:b/>
        </w:rPr>
        <w:t xml:space="preserve">Gate 0 to 1:</w:t>
      </w:r>
      <w:r>
        <w:t xml:space="preserve"> </w:t>
      </w:r>
      <w:r>
        <w:t xml:space="preserve">zero placeholder links; corporate pages indexed separately; payments stable.</w:t>
      </w:r>
    </w:p>
    <w:p>
      <w:pPr>
        <w:numPr>
          <w:ilvl w:val="0"/>
          <w:numId w:val="1009"/>
        </w:numPr>
        <w:pStyle w:val="Compact"/>
      </w:pPr>
      <w:r>
        <w:rPr>
          <w:bCs/>
          <w:b/>
        </w:rPr>
        <w:t xml:space="preserve">Gate 1 to 2:</w:t>
      </w:r>
      <w:r>
        <w:t xml:space="preserve"> </w:t>
      </w:r>
      <w:r>
        <w:t xml:space="preserve">pool completion on target; first corporate accounts invoiced through eTIMS.</w:t>
      </w:r>
    </w:p>
    <w:p>
      <w:pPr>
        <w:numPr>
          <w:ilvl w:val="0"/>
          <w:numId w:val="1009"/>
        </w:numPr>
        <w:pStyle w:val="Compact"/>
      </w:pPr>
      <w:r>
        <w:rPr>
          <w:bCs/>
          <w:b/>
        </w:rPr>
        <w:t xml:space="preserve">Gate 2 to 3:</w:t>
      </w:r>
      <w:r>
        <w:t xml:space="preserve"> </w:t>
      </w:r>
      <w:r>
        <w:t xml:space="preserve">first-attempt delivery rate up; milestone rules live for several accounts.</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318"/>
        <w:gridCol w:w="1022"/>
        <w:gridCol w:w="1780"/>
        <w:gridCol w:w="2543"/>
        <w:gridCol w:w="3227"/>
      </w:tblGrid>
      <w:tr>
        <w:trPr>
          <w:tblHeader w:val="true"/>
          <w:cantSplit/>
          <w:tblHeader/>
        </w:trPr>
        <w:tc>
          <w:tcPr>
            <w:tcW w:w="1318" w:type="dxa"/>
            <w:shd w:val="clear" w:color="auto" w:fill="1F3A5F"/>
          </w:tcPr>
          <w:p>
            <w:pPr>
              <w:pStyle w:val="Compact"/>
              <w:spacing w:after="40" w:before="40"/>
              <w:jc w:val="left"/>
            </w:pPr>
            <w:r>
              <w:rPr>
                <w:b/>
                <w:color w:val="FFFFFF"/>
                <w:sz w:val="17"/>
              </w:rPr>
              <w:t xml:space="preserve">Phase</w:t>
            </w:r>
          </w:p>
        </w:tc>
        <w:tc>
          <w:tcPr>
            <w:tcW w:w="1022" w:type="dxa"/>
            <w:shd w:val="clear" w:color="auto" w:fill="1F3A5F"/>
          </w:tcPr>
          <w:p>
            <w:pPr>
              <w:pStyle w:val="Compact"/>
              <w:spacing w:after="40" w:before="40"/>
              <w:jc w:val="left"/>
            </w:pPr>
            <w:r>
              <w:rPr>
                <w:b/>
                <w:color w:val="FFFFFF"/>
                <w:sz w:val="17"/>
              </w:rPr>
              <w:t xml:space="preserve">When</w:t>
            </w:r>
          </w:p>
        </w:tc>
        <w:tc>
          <w:tcPr>
            <w:tcW w:w="1780" w:type="dxa"/>
            <w:shd w:val="clear" w:color="auto" w:fill="1F3A5F"/>
          </w:tcPr>
          <w:p>
            <w:pPr>
              <w:pStyle w:val="Compact"/>
              <w:spacing w:after="40" w:before="40"/>
              <w:jc w:val="left"/>
            </w:pPr>
            <w:r>
              <w:rPr>
                <w:b/>
                <w:color w:val="FFFFFF"/>
                <w:sz w:val="17"/>
              </w:rPr>
              <w:t xml:space="preserve">Focus</w:t>
            </w:r>
          </w:p>
        </w:tc>
        <w:tc>
          <w:tcPr>
            <w:tcW w:w="2543" w:type="dxa"/>
            <w:shd w:val="clear" w:color="auto" w:fill="1F3A5F"/>
          </w:tcPr>
          <w:p>
            <w:pPr>
              <w:pStyle w:val="Compact"/>
              <w:spacing w:after="40" w:before="40"/>
              <w:jc w:val="left"/>
            </w:pPr>
            <w:r>
              <w:rPr>
                <w:b/>
                <w:color w:val="FFFFFF"/>
                <w:sz w:val="17"/>
              </w:rPr>
              <w:t xml:space="preserve">Items (IDs from the sections above)</w:t>
            </w:r>
          </w:p>
        </w:tc>
        <w:tc>
          <w:tcPr>
            <w:tcW w:w="3227" w:type="dxa"/>
            <w:shd w:val="clear" w:color="auto" w:fill="1F3A5F"/>
          </w:tcPr>
          <w:p>
            <w:pPr>
              <w:pStyle w:val="Compact"/>
              <w:spacing w:after="40" w:before="40"/>
              <w:jc w:val="left"/>
            </w:pPr>
            <w:r>
              <w:rPr>
                <w:b/>
                <w:color w:val="FFFFFF"/>
                <w:sz w:val="17"/>
              </w:rPr>
              <w:t xml:space="preserve">Gate to the next phase</w:t>
            </w:r>
          </w:p>
        </w:tc>
      </w:tr>
      <w:tr>
        <w:trPr>
          <w:cantSplit/>
        </w:trPr>
        <w:tc>
          <w:tcPr>
            <w:tcW w:w="1318" w:type="dxa"/>
          </w:tcPr>
          <w:p>
            <w:pPr>
              <w:pStyle w:val="Compact"/>
              <w:spacing w:after="40" w:before="40"/>
              <w:jc w:val="left"/>
            </w:pPr>
            <w:r>
              <w:rPr>
                <w:sz w:val="17"/>
              </w:rPr>
              <w:t xml:space="preserve">0. Fix and clarify</w:t>
            </w:r>
          </w:p>
        </w:tc>
        <w:tc>
          <w:tcPr>
            <w:tcW w:w="1022" w:type="dxa"/>
          </w:tcPr>
          <w:p>
            <w:pPr>
              <w:pStyle w:val="Compact"/>
              <w:spacing w:after="40" w:before="40"/>
              <w:jc w:val="left"/>
            </w:pPr>
            <w:r>
              <w:rPr>
                <w:sz w:val="17"/>
              </w:rPr>
              <w:t xml:space="preserve">Now to mid-November 2026</w:t>
            </w:r>
          </w:p>
        </w:tc>
        <w:tc>
          <w:tcPr>
            <w:tcW w:w="1780" w:type="dxa"/>
          </w:tcPr>
          <w:p>
            <w:pPr>
              <w:pStyle w:val="Compact"/>
              <w:spacing w:after="40" w:before="40"/>
              <w:jc w:val="left"/>
            </w:pPr>
            <w:r>
              <w:rPr>
                <w:sz w:val="17"/>
              </w:rPr>
              <w:t xml:space="preserve">Trust, search and compliance quick fixes</w:t>
            </w:r>
          </w:p>
        </w:tc>
        <w:tc>
          <w:tcPr>
            <w:tcW w:w="2543" w:type="dxa"/>
          </w:tcPr>
          <w:p>
            <w:pPr>
              <w:pStyle w:val="Compact"/>
              <w:spacing w:after="40" w:before="40"/>
              <w:jc w:val="left"/>
            </w:pPr>
            <w:r>
              <w:rPr>
                <w:sz w:val="17"/>
              </w:rPr>
              <w:t xml:space="preserve">Gaps 1 to 10; M3, M4, M6, M16, M19; P13; C4, C15 (last-order dates), C19</w:t>
            </w:r>
          </w:p>
        </w:tc>
        <w:tc>
          <w:tcPr>
            <w:tcW w:w="3227" w:type="dxa"/>
          </w:tcPr>
          <w:p>
            <w:pPr>
              <w:pStyle w:val="Compact"/>
              <w:spacing w:after="40" w:before="40"/>
              <w:jc w:val="left"/>
            </w:pPr>
            <w:r>
              <w:rPr>
                <w:sz w:val="17"/>
              </w:rPr>
              <w:t xml:space="preserve">Zero placeholder links; corporate pages indexed separately; no rise in failed payments</w:t>
            </w:r>
          </w:p>
        </w:tc>
      </w:tr>
      <w:tr>
        <w:trPr>
          <w:cantSplit/>
        </w:trPr>
        <w:tc>
          <w:tcPr>
            <w:tcW w:w="1318" w:type="dxa"/>
            <w:shd w:val="clear" w:color="auto" w:fill="F4F6F9"/>
          </w:tcPr>
          <w:p>
            <w:pPr>
              <w:pStyle w:val="Compact"/>
              <w:spacing w:after="40" w:before="40"/>
              <w:jc w:val="left"/>
            </w:pPr>
            <w:r>
              <w:rPr>
                <w:sz w:val="17"/>
              </w:rPr>
              <w:t xml:space="preserve">1. Money-safe and finance-ready</w:t>
            </w:r>
          </w:p>
        </w:tc>
        <w:tc>
          <w:tcPr>
            <w:tcW w:w="1022" w:type="dxa"/>
            <w:shd w:val="clear" w:color="auto" w:fill="F4F6F9"/>
          </w:tcPr>
          <w:p>
            <w:pPr>
              <w:pStyle w:val="Compact"/>
              <w:spacing w:after="40" w:before="40"/>
              <w:jc w:val="left"/>
            </w:pPr>
            <w:r>
              <w:rPr>
                <w:sz w:val="17"/>
              </w:rPr>
              <w:t xml:space="preserve">January to March 2027</w:t>
            </w:r>
          </w:p>
        </w:tc>
        <w:tc>
          <w:tcPr>
            <w:tcW w:w="1780" w:type="dxa"/>
            <w:shd w:val="clear" w:color="auto" w:fill="F4F6F9"/>
          </w:tcPr>
          <w:p>
            <w:pPr>
              <w:pStyle w:val="Compact"/>
              <w:spacing w:after="40" w:before="40"/>
              <w:jc w:val="left"/>
            </w:pPr>
            <w:r>
              <w:rPr>
                <w:sz w:val="17"/>
              </w:rPr>
              <w:t xml:space="preserve">Pools people trust; corporates who can invoice</w:t>
            </w:r>
          </w:p>
        </w:tc>
        <w:tc>
          <w:tcPr>
            <w:tcW w:w="2543" w:type="dxa"/>
            <w:shd w:val="clear" w:color="auto" w:fill="F4F6F9"/>
          </w:tcPr>
          <w:p>
            <w:pPr>
              <w:pStyle w:val="Compact"/>
              <w:spacing w:after="40" w:before="40"/>
              <w:jc w:val="left"/>
            </w:pPr>
            <w:r>
              <w:rPr>
                <w:sz w:val="17"/>
              </w:rPr>
              <w:t xml:space="preserve">P1, P2, P3, P7, P8, P10, P14; C1, C2, C3, C5, C7; M1, M9, M11</w:t>
            </w:r>
          </w:p>
        </w:tc>
        <w:tc>
          <w:tcPr>
            <w:tcW w:w="3227" w:type="dxa"/>
            <w:shd w:val="clear" w:color="auto" w:fill="F4F6F9"/>
          </w:tcPr>
          <w:p>
            <w:pPr>
              <w:pStyle w:val="Compact"/>
              <w:spacing w:after="40" w:before="40"/>
              <w:jc w:val="left"/>
            </w:pPr>
            <w:r>
              <w:rPr>
                <w:sz w:val="17"/>
              </w:rPr>
              <w:t xml:space="preserve">Pool completion and refund handling on target; first paying corporate accounts invoiced through eTIMS</w:t>
            </w:r>
          </w:p>
        </w:tc>
      </w:tr>
      <w:tr>
        <w:trPr>
          <w:cantSplit/>
        </w:trPr>
        <w:tc>
          <w:tcPr>
            <w:tcW w:w="1318" w:type="dxa"/>
          </w:tcPr>
          <w:p>
            <w:pPr>
              <w:pStyle w:val="Compact"/>
              <w:spacing w:after="40" w:before="40"/>
              <w:jc w:val="left"/>
            </w:pPr>
            <w:r>
              <w:rPr>
                <w:sz w:val="17"/>
              </w:rPr>
              <w:t xml:space="preserve">2. Delight and automate</w:t>
            </w:r>
          </w:p>
        </w:tc>
        <w:tc>
          <w:tcPr>
            <w:tcW w:w="1022" w:type="dxa"/>
          </w:tcPr>
          <w:p>
            <w:pPr>
              <w:pStyle w:val="Compact"/>
              <w:spacing w:after="40" w:before="40"/>
              <w:jc w:val="left"/>
            </w:pPr>
            <w:r>
              <w:rPr>
                <w:sz w:val="17"/>
              </w:rPr>
              <w:t xml:space="preserve">April to June 2027</w:t>
            </w:r>
          </w:p>
        </w:tc>
        <w:tc>
          <w:tcPr>
            <w:tcW w:w="1780" w:type="dxa"/>
          </w:tcPr>
          <w:p>
            <w:pPr>
              <w:pStyle w:val="Compact"/>
              <w:spacing w:after="40" w:before="40"/>
              <w:jc w:val="left"/>
            </w:pPr>
            <w:r>
              <w:rPr>
                <w:sz w:val="17"/>
              </w:rPr>
              <w:t xml:space="preserve">Recipient-led delivery and automation</w:t>
            </w:r>
          </w:p>
        </w:tc>
        <w:tc>
          <w:tcPr>
            <w:tcW w:w="2543" w:type="dxa"/>
          </w:tcPr>
          <w:p>
            <w:pPr>
              <w:pStyle w:val="Compact"/>
              <w:spacing w:after="40" w:before="40"/>
              <w:jc w:val="left"/>
            </w:pPr>
            <w:r>
              <w:rPr>
                <w:sz w:val="17"/>
              </w:rPr>
              <w:t xml:space="preserve">C6, C8, C9, C10, C11; M2, M7, M10, M13; P5, P6</w:t>
            </w:r>
          </w:p>
        </w:tc>
        <w:tc>
          <w:tcPr>
            <w:tcW w:w="3227" w:type="dxa"/>
          </w:tcPr>
          <w:p>
            <w:pPr>
              <w:pStyle w:val="Compact"/>
              <w:spacing w:after="40" w:before="40"/>
              <w:jc w:val="left"/>
            </w:pPr>
            <w:r>
              <w:rPr>
                <w:sz w:val="17"/>
              </w:rPr>
              <w:t xml:space="preserve">First-attempt delivery rate up; milestone rules live for several accounts</w:t>
            </w:r>
          </w:p>
        </w:tc>
      </w:tr>
      <w:tr>
        <w:trPr>
          <w:cantSplit/>
        </w:trPr>
        <w:tc>
          <w:tcPr>
            <w:tcW w:w="1318" w:type="dxa"/>
            <w:shd w:val="clear" w:color="auto" w:fill="F4F6F9"/>
          </w:tcPr>
          <w:p>
            <w:pPr>
              <w:pStyle w:val="Compact"/>
              <w:spacing w:after="40" w:before="40"/>
              <w:jc w:val="left"/>
            </w:pPr>
            <w:r>
              <w:rPr>
                <w:sz w:val="17"/>
              </w:rPr>
              <w:t xml:space="preserve">3. Platform and recurring revenue</w:t>
            </w:r>
          </w:p>
        </w:tc>
        <w:tc>
          <w:tcPr>
            <w:tcW w:w="1022" w:type="dxa"/>
            <w:shd w:val="clear" w:color="auto" w:fill="F4F6F9"/>
          </w:tcPr>
          <w:p>
            <w:pPr>
              <w:pStyle w:val="Compact"/>
              <w:spacing w:after="40" w:before="40"/>
              <w:jc w:val="left"/>
            </w:pPr>
            <w:r>
              <w:rPr>
                <w:sz w:val="17"/>
              </w:rPr>
              <w:t xml:space="preserve">From July 2027</w:t>
            </w:r>
          </w:p>
        </w:tc>
        <w:tc>
          <w:tcPr>
            <w:tcW w:w="1780" w:type="dxa"/>
            <w:shd w:val="clear" w:color="auto" w:fill="F4F6F9"/>
          </w:tcPr>
          <w:p>
            <w:pPr>
              <w:pStyle w:val="Compact"/>
              <w:spacing w:after="40" w:before="40"/>
              <w:jc w:val="left"/>
            </w:pPr>
            <w:r>
              <w:rPr>
                <w:sz w:val="17"/>
              </w:rPr>
              <w:t xml:space="preserve">Points, white-label, integrations, extra revenue</w:t>
            </w:r>
          </w:p>
        </w:tc>
        <w:tc>
          <w:tcPr>
            <w:tcW w:w="2543" w:type="dxa"/>
            <w:shd w:val="clear" w:color="auto" w:fill="F4F6F9"/>
          </w:tcPr>
          <w:p>
            <w:pPr>
              <w:pStyle w:val="Compact"/>
              <w:spacing w:after="40" w:before="40"/>
              <w:jc w:val="left"/>
            </w:pPr>
            <w:r>
              <w:rPr>
                <w:sz w:val="17"/>
              </w:rPr>
              <w:t xml:space="preserve">C12, C13, C14, C16, C17, C18; M8, M12, M14, M15, M17, M18; P4, P9, P11, P12</w:t>
            </w:r>
          </w:p>
        </w:tc>
        <w:tc>
          <w:tcPr>
            <w:tcW w:w="3227" w:type="dxa"/>
            <w:shd w:val="clear" w:color="auto" w:fill="F4F6F9"/>
          </w:tcPr>
          <w:p>
            <w:pPr>
              <w:pStyle w:val="Compact"/>
              <w:spacing w:after="40" w:before="40"/>
              <w:jc w:val="left"/>
            </w:pPr>
            <w:r>
              <w:rPr>
                <w:sz w:val="17"/>
              </w:rPr>
              <w:t xml:space="preserve">Pick by traction from phases 1 and 2</w:t>
            </w:r>
          </w:p>
        </w:tc>
      </w:tr>
    </w:tbl>
    <w:p>
      <w:pPr>
        <w:pStyle w:val="BodyText"/>
      </w:pPr>
      <w:r>
        <w:t xml:space="preserve">Valentine’s Day and Women’s Day fall inside phase 1, so use them as live tests of the pool and gift-link flows.</w:t>
      </w:r>
    </w:p>
    <w:bookmarkEnd w:id="67"/>
    <w:bookmarkStart w:id="69" w:name="risks-compliance-and-success-metrics"/>
    <w:p>
      <w:pPr>
        <w:pStyle w:val="Heading2"/>
      </w:pPr>
      <w:r>
        <w:t xml:space="preserve">Risks, compliance and success metrics</w:t>
      </w:r>
    </w:p>
    <w:p>
      <w:pPr>
        <w:pStyle w:val="FirstParagraph"/>
      </w:pPr>
      <w:r>
        <w:t xml:space="preserve">The largest risks are holding customers’ money, handling recipients’ personal data, and tax paperwork, not technology. I am not a lawyer or tax adviser, so take each row below to qualified counsel before launch.</w:t>
      </w:r>
    </w:p>
    <w:tbl>
      <w:tblPr>
        <w:tblStyle w:val="Table"/>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92" w:type="dxa"/>
        <w:tblLayout w:type="fixed"/>
      </w:tblPr>
      <w:tblGrid>
        <w:gridCol w:w="1258"/>
        <w:gridCol w:w="3247"/>
        <w:gridCol w:w="5386"/>
      </w:tblGrid>
      <w:tr>
        <w:trPr>
          <w:tblHeader w:val="true"/>
          <w:cantSplit/>
          <w:tblHeader/>
        </w:trPr>
        <w:tc>
          <w:tcPr>
            <w:tcW w:w="1258" w:type="dxa"/>
            <w:shd w:val="clear" w:color="auto" w:fill="1F3A5F"/>
          </w:tcPr>
          <w:p>
            <w:pPr>
              <w:pStyle w:val="Compact"/>
              <w:spacing w:after="40" w:before="40"/>
              <w:jc w:val="left"/>
            </w:pPr>
            <w:r>
              <w:rPr>
                <w:b/>
                <w:color w:val="FFFFFF"/>
                <w:sz w:val="18"/>
              </w:rPr>
              <w:t xml:space="preserve">Risk</w:t>
            </w:r>
          </w:p>
        </w:tc>
        <w:tc>
          <w:tcPr>
            <w:tcW w:w="3247" w:type="dxa"/>
            <w:shd w:val="clear" w:color="auto" w:fill="1F3A5F"/>
          </w:tcPr>
          <w:p>
            <w:pPr>
              <w:pStyle w:val="Compact"/>
              <w:spacing w:after="40" w:before="40"/>
              <w:jc w:val="left"/>
            </w:pPr>
            <w:r>
              <w:rPr>
                <w:b/>
                <w:color w:val="FFFFFF"/>
                <w:sz w:val="18"/>
              </w:rPr>
              <w:t xml:space="preserve">Why it matters</w:t>
            </w:r>
          </w:p>
        </w:tc>
        <w:tc>
          <w:tcPr>
            <w:tcW w:w="5386" w:type="dxa"/>
            <w:shd w:val="clear" w:color="auto" w:fill="1F3A5F"/>
          </w:tcPr>
          <w:p>
            <w:pPr>
              <w:pStyle w:val="Compact"/>
              <w:spacing w:after="40" w:before="40"/>
              <w:jc w:val="left"/>
            </w:pPr>
            <w:r>
              <w:rPr>
                <w:b/>
                <w:color w:val="FFFFFF"/>
                <w:sz w:val="18"/>
              </w:rPr>
              <w:t xml:space="preserve">Mitigation</w:t>
            </w:r>
          </w:p>
        </w:tc>
      </w:tr>
      <w:tr>
        <w:trPr>
          <w:cantSplit/>
        </w:trPr>
        <w:tc>
          <w:tcPr>
            <w:tcW w:w="1258" w:type="dxa"/>
          </w:tcPr>
          <w:p>
            <w:pPr>
              <w:pStyle w:val="Compact"/>
              <w:spacing w:after="40" w:before="40"/>
              <w:jc w:val="left"/>
            </w:pPr>
            <w:r>
              <w:rPr>
                <w:sz w:val="18"/>
              </w:rPr>
              <w:t xml:space="preserve">Holding pool money</w:t>
            </w:r>
          </w:p>
        </w:tc>
        <w:tc>
          <w:tcPr>
            <w:tcW w:w="3247" w:type="dxa"/>
          </w:tcPr>
          <w:p>
            <w:pPr>
              <w:pStyle w:val="Compact"/>
              <w:spacing w:after="40" w:before="40"/>
              <w:jc w:val="left"/>
            </w:pPr>
            <w:r>
              <w:rPr>
                <w:sz w:val="18"/>
              </w:rPr>
              <w:t xml:space="preserve">Collecting and releasing customers’ funds may need payment-service authorisation</w:t>
            </w:r>
          </w:p>
        </w:tc>
        <w:tc>
          <w:tcPr>
            <w:tcW w:w="5386" w:type="dxa"/>
          </w:tcPr>
          <w:p>
            <w:pPr>
              <w:pStyle w:val="Compact"/>
              <w:spacing w:after="40" w:before="40"/>
              <w:jc w:val="left"/>
            </w:pPr>
            <w:r>
              <w:rPr>
                <w:sz w:val="18"/>
              </w:rPr>
              <w:t xml:space="preserve">Use a licensed processor that holds and settles funds; get legal review</w:t>
            </w:r>
          </w:p>
        </w:tc>
      </w:tr>
      <w:tr>
        <w:trPr>
          <w:cantSplit/>
        </w:trPr>
        <w:tc>
          <w:tcPr>
            <w:tcW w:w="1258" w:type="dxa"/>
            <w:shd w:val="clear" w:color="auto" w:fill="F4F6F9"/>
          </w:tcPr>
          <w:p>
            <w:pPr>
              <w:pStyle w:val="Compact"/>
              <w:spacing w:after="40" w:before="40"/>
              <w:jc w:val="left"/>
            </w:pPr>
            <w:r>
              <w:rPr>
                <w:sz w:val="18"/>
              </w:rPr>
              <w:t xml:space="preserve">Recipient personal data</w:t>
            </w:r>
          </w:p>
        </w:tc>
        <w:tc>
          <w:tcPr>
            <w:tcW w:w="3247" w:type="dxa"/>
            <w:shd w:val="clear" w:color="auto" w:fill="F4F6F9"/>
          </w:tcPr>
          <w:p>
            <w:pPr>
              <w:pStyle w:val="Compact"/>
              <w:spacing w:after="40" w:before="40"/>
              <w:jc w:val="left"/>
            </w:pPr>
            <w:r>
              <w:rPr>
                <w:sz w:val="18"/>
              </w:rPr>
              <w:t xml:space="preserve">CSV uploads carry names, phones and addresses under Kenya’s Data Protection Act, 2019</w:t>
            </w:r>
          </w:p>
        </w:tc>
        <w:tc>
          <w:tcPr>
            <w:tcW w:w="5386" w:type="dxa"/>
            <w:shd w:val="clear" w:color="auto" w:fill="F4F6F9"/>
          </w:tcPr>
          <w:p>
            <w:pPr>
              <w:pStyle w:val="Compact"/>
              <w:spacing w:after="40" w:before="40"/>
              <w:jc w:val="left"/>
            </w:pPr>
            <w:r>
              <w:rPr>
                <w:sz w:val="18"/>
              </w:rPr>
              <w:t xml:space="preserve">Lawful basis and consent, data minimisation, retention limits, access logs, home address visible only to the rider; confirm registration and processor agreements</w:t>
            </w:r>
          </w:p>
        </w:tc>
      </w:tr>
      <w:tr>
        <w:trPr>
          <w:cantSplit/>
        </w:trPr>
        <w:tc>
          <w:tcPr>
            <w:tcW w:w="1258" w:type="dxa"/>
          </w:tcPr>
          <w:p>
            <w:pPr>
              <w:pStyle w:val="Compact"/>
              <w:spacing w:after="40" w:before="40"/>
              <w:jc w:val="left"/>
            </w:pPr>
            <w:r>
              <w:rPr>
                <w:sz w:val="18"/>
              </w:rPr>
              <w:t xml:space="preserve">WhatsApp messaging rules</w:t>
            </w:r>
          </w:p>
        </w:tc>
        <w:tc>
          <w:tcPr>
            <w:tcW w:w="3247" w:type="dxa"/>
          </w:tcPr>
          <w:p>
            <w:pPr>
              <w:pStyle w:val="Compact"/>
              <w:spacing w:after="40" w:before="40"/>
              <w:jc w:val="left"/>
            </w:pPr>
            <w:r>
              <w:rPr>
                <w:sz w:val="18"/>
              </w:rPr>
              <w:t xml:space="preserve">Business messaging needs recipient opt-in and approved templates</w:t>
            </w:r>
          </w:p>
        </w:tc>
        <w:tc>
          <w:tcPr>
            <w:tcW w:w="5386" w:type="dxa"/>
          </w:tcPr>
          <w:p>
            <w:pPr>
              <w:pStyle w:val="Compact"/>
              <w:spacing w:after="40" w:before="40"/>
              <w:jc w:val="left"/>
            </w:pPr>
            <w:r>
              <w:rPr>
                <w:sz w:val="18"/>
              </w:rPr>
              <w:t xml:space="preserve">Capture opt-in at upload; keep templates utility-focused</w:t>
            </w:r>
          </w:p>
        </w:tc>
      </w:tr>
      <w:tr>
        <w:trPr>
          <w:cantSplit/>
        </w:trPr>
        <w:tc>
          <w:tcPr>
            <w:tcW w:w="1258" w:type="dxa"/>
            <w:shd w:val="clear" w:color="auto" w:fill="F4F6F9"/>
          </w:tcPr>
          <w:p>
            <w:pPr>
              <w:pStyle w:val="Compact"/>
              <w:spacing w:after="40" w:before="40"/>
              <w:jc w:val="left"/>
            </w:pPr>
            <w:r>
              <w:rPr>
                <w:sz w:val="18"/>
              </w:rPr>
              <w:t xml:space="preserve">eTIMS invoicing</w:t>
            </w:r>
          </w:p>
        </w:tc>
        <w:tc>
          <w:tcPr>
            <w:tcW w:w="3247" w:type="dxa"/>
            <w:shd w:val="clear" w:color="auto" w:fill="F4F6F9"/>
          </w:tcPr>
          <w:p>
            <w:pPr>
              <w:pStyle w:val="Compact"/>
              <w:spacing w:after="40" w:before="40"/>
              <w:jc w:val="left"/>
            </w:pPr>
            <w:r>
              <w:rPr>
                <w:sz w:val="18"/>
              </w:rPr>
              <w:t xml:space="preserve">Invalid invoices block clients’ expense claims</w:t>
            </w:r>
          </w:p>
        </w:tc>
        <w:tc>
          <w:tcPr>
            <w:tcW w:w="5386" w:type="dxa"/>
            <w:shd w:val="clear" w:color="auto" w:fill="F4F6F9"/>
          </w:tcPr>
          <w:p>
            <w:pPr>
              <w:pStyle w:val="Compact"/>
              <w:spacing w:after="40" w:before="40"/>
              <w:jc w:val="left"/>
            </w:pPr>
            <w:r>
              <w:rPr>
                <w:sz w:val="18"/>
              </w:rPr>
              <w:t xml:space="preserve">Integrate a compliant invoicing route; archive records (one source cites up to five years)</w:t>
            </w:r>
          </w:p>
        </w:tc>
      </w:tr>
      <w:tr>
        <w:trPr>
          <w:cantSplit/>
        </w:trPr>
        <w:tc>
          <w:tcPr>
            <w:tcW w:w="1258" w:type="dxa"/>
          </w:tcPr>
          <w:p>
            <w:pPr>
              <w:pStyle w:val="Compact"/>
              <w:spacing w:after="40" w:before="40"/>
              <w:jc w:val="left"/>
            </w:pPr>
            <w:r>
              <w:rPr>
                <w:sz w:val="18"/>
              </w:rPr>
              <w:t xml:space="preserve">Alcohol sales</w:t>
            </w:r>
          </w:p>
        </w:tc>
        <w:tc>
          <w:tcPr>
            <w:tcW w:w="3247" w:type="dxa"/>
          </w:tcPr>
          <w:p>
            <w:pPr>
              <w:pStyle w:val="Compact"/>
              <w:spacing w:after="40" w:before="40"/>
              <w:jc w:val="left"/>
            </w:pPr>
            <w:r>
              <w:rPr>
                <w:sz w:val="18"/>
              </w:rPr>
              <w:t xml:space="preserve">Age checks and licence conditions apply</w:t>
            </w:r>
          </w:p>
        </w:tc>
        <w:tc>
          <w:tcPr>
            <w:tcW w:w="5386" w:type="dxa"/>
          </w:tcPr>
          <w:p>
            <w:pPr>
              <w:pStyle w:val="Compact"/>
              <w:spacing w:after="40" w:before="40"/>
              <w:jc w:val="left"/>
            </w:pPr>
            <w:r>
              <w:rPr>
                <w:sz w:val="18"/>
              </w:rPr>
              <w:t xml:space="preserve">18+ gate, age check at delivery, review licence terms</w:t>
            </w:r>
          </w:p>
        </w:tc>
      </w:tr>
      <w:tr>
        <w:trPr>
          <w:cantSplit/>
        </w:trPr>
        <w:tc>
          <w:tcPr>
            <w:tcW w:w="1258" w:type="dxa"/>
            <w:shd w:val="clear" w:color="auto" w:fill="F4F6F9"/>
          </w:tcPr>
          <w:p>
            <w:pPr>
              <w:pStyle w:val="Compact"/>
              <w:spacing w:after="40" w:before="40"/>
              <w:jc w:val="left"/>
            </w:pPr>
            <w:r>
              <w:rPr>
                <w:sz w:val="18"/>
              </w:rPr>
              <w:t xml:space="preserve">Tax on gifts</w:t>
            </w:r>
          </w:p>
        </w:tc>
        <w:tc>
          <w:tcPr>
            <w:tcW w:w="3247" w:type="dxa"/>
            <w:shd w:val="clear" w:color="auto" w:fill="F4F6F9"/>
          </w:tcPr>
          <w:p>
            <w:pPr>
              <w:pStyle w:val="Compact"/>
              <w:spacing w:after="40" w:before="40"/>
              <w:jc w:val="left"/>
            </w:pPr>
            <w:r>
              <w:rPr>
                <w:sz w:val="18"/>
              </w:rPr>
              <w:t xml:space="preserve">Staff gifts and client gifts can carry tax treatment questions</w:t>
            </w:r>
          </w:p>
        </w:tc>
        <w:tc>
          <w:tcPr>
            <w:tcW w:w="5386" w:type="dxa"/>
            <w:shd w:val="clear" w:color="auto" w:fill="F4F6F9"/>
          </w:tcPr>
          <w:p>
            <w:pPr>
              <w:pStyle w:val="Compact"/>
              <w:spacing w:after="40" w:before="40"/>
              <w:jc w:val="left"/>
            </w:pPr>
            <w:r>
              <w:rPr>
                <w:sz w:val="18"/>
              </w:rPr>
              <w:t xml:space="preserve">Give clients a plain guide and advise them to confirm with their tax adviser</w:t>
            </w:r>
          </w:p>
        </w:tc>
      </w:tr>
      <w:tr>
        <w:trPr>
          <w:cantSplit/>
        </w:trPr>
        <w:tc>
          <w:tcPr>
            <w:tcW w:w="1258" w:type="dxa"/>
          </w:tcPr>
          <w:p>
            <w:pPr>
              <w:pStyle w:val="Compact"/>
              <w:spacing w:after="40" w:before="40"/>
              <w:jc w:val="left"/>
            </w:pPr>
            <w:r>
              <w:rPr>
                <w:sz w:val="18"/>
              </w:rPr>
              <w:t xml:space="preserve">Anti-bribery exposure</w:t>
            </w:r>
          </w:p>
        </w:tc>
        <w:tc>
          <w:tcPr>
            <w:tcW w:w="3247" w:type="dxa"/>
          </w:tcPr>
          <w:p>
            <w:pPr>
              <w:pStyle w:val="Compact"/>
              <w:spacing w:after="40" w:before="40"/>
              <w:jc w:val="left"/>
            </w:pPr>
            <w:r>
              <w:rPr>
                <w:sz w:val="18"/>
              </w:rPr>
              <w:t xml:space="preserve">Client gifts can look improper above a threshold</w:t>
            </w:r>
          </w:p>
        </w:tc>
        <w:tc>
          <w:tcPr>
            <w:tcW w:w="5386" w:type="dxa"/>
          </w:tcPr>
          <w:p>
            <w:pPr>
              <w:pStyle w:val="Compact"/>
              <w:spacing w:after="40" w:before="40"/>
              <w:jc w:val="left"/>
            </w:pPr>
            <w:r>
              <w:rPr>
                <w:sz w:val="18"/>
              </w:rPr>
              <w:t xml:space="preserve">Client gifting register, thresholds, approvals</w:t>
            </w:r>
          </w:p>
        </w:tc>
      </w:tr>
      <w:tr>
        <w:trPr>
          <w:cantSplit/>
        </w:trPr>
        <w:tc>
          <w:tcPr>
            <w:tcW w:w="1258" w:type="dxa"/>
            <w:shd w:val="clear" w:color="auto" w:fill="F4F6F9"/>
          </w:tcPr>
          <w:p>
            <w:pPr>
              <w:pStyle w:val="Compact"/>
              <w:spacing w:after="40" w:before="40"/>
              <w:jc w:val="left"/>
            </w:pPr>
            <w:r>
              <w:rPr>
                <w:sz w:val="18"/>
              </w:rPr>
              <w:t xml:space="preserve">Peak-season operations</w:t>
            </w:r>
          </w:p>
        </w:tc>
        <w:tc>
          <w:tcPr>
            <w:tcW w:w="3247" w:type="dxa"/>
            <w:shd w:val="clear" w:color="auto" w:fill="F4F6F9"/>
          </w:tcPr>
          <w:p>
            <w:pPr>
              <w:pStyle w:val="Compact"/>
              <w:spacing w:after="40" w:before="40"/>
              <w:jc w:val="left"/>
            </w:pPr>
            <w:r>
              <w:rPr>
                <w:sz w:val="18"/>
              </w:rPr>
              <w:t xml:space="preserve">“</w:t>
            </w:r>
            <w:r>
              <w:rPr>
                <w:sz w:val="18"/>
              </w:rPr>
              <w:t xml:space="preserve">Same-day or free</w:t>
            </w:r>
            <w:r>
              <w:rPr>
                <w:sz w:val="18"/>
              </w:rPr>
              <w:t xml:space="preserve">”</w:t>
            </w:r>
            <w:r>
              <w:rPr>
                <w:sz w:val="18"/>
              </w:rPr>
              <w:t xml:space="preserve"> </w:t>
            </w:r>
            <w:r>
              <w:rPr>
                <w:sz w:val="18"/>
              </w:rPr>
              <w:t xml:space="preserve">liability grows with volume</w:t>
            </w:r>
          </w:p>
        </w:tc>
        <w:tc>
          <w:tcPr>
            <w:tcW w:w="5386" w:type="dxa"/>
            <w:shd w:val="clear" w:color="auto" w:fill="F4F6F9"/>
          </w:tcPr>
          <w:p>
            <w:pPr>
              <w:pStyle w:val="Compact"/>
              <w:spacing w:after="40" w:before="40"/>
              <w:jc w:val="left"/>
            </w:pPr>
            <w:r>
              <w:rPr>
                <w:sz w:val="18"/>
              </w:rPr>
              <w:t xml:space="preserve">Capacity-based slots, firm cutoffs, buffer stock, rider rosters</w:t>
            </w:r>
          </w:p>
        </w:tc>
      </w:tr>
      <w:tr>
        <w:trPr>
          <w:cantSplit/>
        </w:trPr>
        <w:tc>
          <w:tcPr>
            <w:tcW w:w="1258" w:type="dxa"/>
          </w:tcPr>
          <w:p>
            <w:pPr>
              <w:pStyle w:val="Compact"/>
              <w:spacing w:after="40" w:before="40"/>
              <w:jc w:val="left"/>
            </w:pPr>
            <w:r>
              <w:rPr>
                <w:sz w:val="18"/>
              </w:rPr>
              <w:t xml:space="preserve">Stock accuracy</w:t>
            </w:r>
          </w:p>
        </w:tc>
        <w:tc>
          <w:tcPr>
            <w:tcW w:w="3247" w:type="dxa"/>
          </w:tcPr>
          <w:p>
            <w:pPr>
              <w:pStyle w:val="Compact"/>
              <w:spacing w:after="40" w:before="40"/>
              <w:jc w:val="left"/>
            </w:pPr>
            <w:r>
              <w:rPr>
                <w:sz w:val="18"/>
              </w:rPr>
              <w:t xml:space="preserve">“</w:t>
            </w:r>
            <w:r>
              <w:rPr>
                <w:sz w:val="18"/>
              </w:rPr>
              <w:t xml:space="preserve">Live stock</w:t>
            </w:r>
            <w:r>
              <w:rPr>
                <w:sz w:val="18"/>
              </w:rPr>
              <w:t xml:space="preserve">”</w:t>
            </w:r>
            <w:r>
              <w:rPr>
                <w:sz w:val="18"/>
              </w:rPr>
              <w:t xml:space="preserve"> </w:t>
            </w:r>
            <w:r>
              <w:rPr>
                <w:sz w:val="18"/>
              </w:rPr>
              <w:t xml:space="preserve">claims fail if inventory lags</w:t>
            </w:r>
          </w:p>
        </w:tc>
        <w:tc>
          <w:tcPr>
            <w:tcW w:w="5386" w:type="dxa"/>
          </w:tcPr>
          <w:p>
            <w:pPr>
              <w:pStyle w:val="Compact"/>
              <w:spacing w:after="40" w:before="40"/>
              <w:jc w:val="left"/>
            </w:pPr>
            <w:r>
              <w:rPr>
                <w:sz w:val="18"/>
              </w:rPr>
              <w:t xml:space="preserve">Sync inventory; show low-stock states</w:t>
            </w:r>
          </w:p>
        </w:tc>
      </w:tr>
      <w:tr>
        <w:trPr>
          <w:cantSplit/>
        </w:trPr>
        <w:tc>
          <w:tcPr>
            <w:tcW w:w="1258" w:type="dxa"/>
            <w:shd w:val="clear" w:color="auto" w:fill="F4F6F9"/>
          </w:tcPr>
          <w:p>
            <w:pPr>
              <w:pStyle w:val="Compact"/>
              <w:spacing w:after="40" w:before="40"/>
              <w:jc w:val="left"/>
            </w:pPr>
            <w:r>
              <w:rPr>
                <w:sz w:val="18"/>
              </w:rPr>
              <w:t xml:space="preserve">Coercion and dark patterns</w:t>
            </w:r>
          </w:p>
        </w:tc>
        <w:tc>
          <w:tcPr>
            <w:tcW w:w="3247" w:type="dxa"/>
            <w:shd w:val="clear" w:color="auto" w:fill="F4F6F9"/>
          </w:tcPr>
          <w:p>
            <w:pPr>
              <w:pStyle w:val="Compact"/>
              <w:spacing w:after="40" w:before="40"/>
              <w:jc w:val="left"/>
            </w:pPr>
            <w:r>
              <w:rPr>
                <w:sz w:val="18"/>
              </w:rPr>
              <w:t xml:space="preserve">Workplace pools can pressure people to pay</w:t>
            </w:r>
          </w:p>
        </w:tc>
        <w:tc>
          <w:tcPr>
            <w:tcW w:w="5386" w:type="dxa"/>
            <w:shd w:val="clear" w:color="auto" w:fill="F4F6F9"/>
          </w:tcPr>
          <w:p>
            <w:pPr>
              <w:pStyle w:val="Compact"/>
              <w:spacing w:after="40" w:before="40"/>
              <w:jc w:val="left"/>
            </w:pPr>
            <w:r>
              <w:rPr>
                <w:sz w:val="18"/>
              </w:rPr>
              <w:t xml:space="preserve">Voluntary-only settings, anonymous contributions, capped reminders</w:t>
            </w:r>
          </w:p>
        </w:tc>
      </w:tr>
      <w:tr>
        <w:trPr>
          <w:cantSplit/>
        </w:trPr>
        <w:tc>
          <w:tcPr>
            <w:tcW w:w="1258" w:type="dxa"/>
          </w:tcPr>
          <w:p>
            <w:pPr>
              <w:pStyle w:val="Compact"/>
              <w:spacing w:after="40" w:before="40"/>
              <w:jc w:val="left"/>
            </w:pPr>
            <w:r>
              <w:rPr>
                <w:sz w:val="18"/>
              </w:rPr>
              <w:t xml:space="preserve">Card fraud and chargebacks</w:t>
            </w:r>
          </w:p>
        </w:tc>
        <w:tc>
          <w:tcPr>
            <w:tcW w:w="3247" w:type="dxa"/>
          </w:tcPr>
          <w:p>
            <w:pPr>
              <w:pStyle w:val="Compact"/>
              <w:spacing w:after="40" w:before="40"/>
              <w:jc w:val="left"/>
            </w:pPr>
            <w:r>
              <w:rPr>
                <w:sz w:val="18"/>
              </w:rPr>
              <w:t xml:space="preserve">Diaspora orders pay by card</w:t>
            </w:r>
          </w:p>
        </w:tc>
        <w:tc>
          <w:tcPr>
            <w:tcW w:w="5386" w:type="dxa"/>
          </w:tcPr>
          <w:p>
            <w:pPr>
              <w:pStyle w:val="Compact"/>
              <w:spacing w:after="40" w:before="40"/>
              <w:jc w:val="left"/>
            </w:pPr>
            <w:r>
              <w:rPr>
                <w:sz w:val="18"/>
              </w:rPr>
              <w:t xml:space="preserve">3-D Secure and velocity checks</w:t>
            </w:r>
          </w:p>
        </w:tc>
      </w:tr>
    </w:tbl>
    <w:bookmarkStart w:id="68" w:name="success-metrics"/>
    <w:p>
      <w:pPr>
        <w:pStyle w:val="Heading3"/>
      </w:pPr>
      <w:r>
        <w:t xml:space="preserve">Success metrics</w:t>
      </w:r>
    </w:p>
    <w:p>
      <w:pPr>
        <w:numPr>
          <w:ilvl w:val="0"/>
          <w:numId w:val="1010"/>
        </w:numPr>
        <w:pStyle w:val="Compact"/>
      </w:pPr>
      <w:r>
        <w:rPr>
          <w:bCs/>
          <w:b/>
        </w:rPr>
        <w:t xml:space="preserve">Consumer:</w:t>
      </w:r>
      <w:r>
        <w:t xml:space="preserve"> </w:t>
      </w:r>
      <w:r>
        <w:t xml:space="preserve">checkout conversion, STK push success rate, same-day on-time rate, 90-day repeat purchase rate, reminder-to-order conversion, average order value.</w:t>
      </w:r>
    </w:p>
    <w:p>
      <w:pPr>
        <w:numPr>
          <w:ilvl w:val="0"/>
          <w:numId w:val="1010"/>
        </w:numPr>
        <w:pStyle w:val="Compact"/>
      </w:pPr>
      <w:r>
        <w:rPr>
          <w:bCs/>
          <w:b/>
        </w:rPr>
        <w:t xml:space="preserve">Pools:</w:t>
      </w:r>
      <w:r>
        <w:t xml:space="preserve"> </w:t>
      </w:r>
      <w:r>
        <w:t xml:space="preserve">completion rate, median time to target, view-to-paid conversion, refund rate, repeat organisers.</w:t>
      </w:r>
    </w:p>
    <w:p>
      <w:pPr>
        <w:numPr>
          <w:ilvl w:val="0"/>
          <w:numId w:val="1010"/>
        </w:numPr>
        <w:pStyle w:val="Compact"/>
      </w:pPr>
      <w:r>
        <w:rPr>
          <w:bCs/>
          <w:b/>
        </w:rPr>
        <w:t xml:space="preserve">Corporate:</w:t>
      </w:r>
      <w:r>
        <w:t xml:space="preserve"> </w:t>
      </w:r>
      <w:r>
        <w:t xml:space="preserve">active workspaces, gifts per account per quarter, quote-to-order conversion, time from upload to paid order, invoice disputes, share of staff covered by milestone rules, recipient rating.</w:t>
      </w:r>
    </w:p>
    <w:p>
      <w:pPr>
        <w:numPr>
          <w:ilvl w:val="0"/>
          <w:numId w:val="1010"/>
        </w:numPr>
        <w:pStyle w:val="Compact"/>
      </w:pPr>
      <w:r>
        <w:rPr>
          <w:bCs/>
          <w:b/>
        </w:rPr>
        <w:t xml:space="preserve">Usability:</w:t>
      </w:r>
      <w:r>
        <w:t xml:space="preserve"> </w:t>
      </w:r>
      <w:r>
        <w:t xml:space="preserve">task success and time on task for each role, and a System Usability Scale score tracked each quarter.</w:t>
      </w:r>
    </w:p>
    <w:bookmarkEnd w:id="68"/>
    <w:bookmarkEnd w:id="69"/>
    <w:bookmarkStart w:id="78" w:name="sources"/>
    <w:p>
      <w:pPr>
        <w:pStyle w:val="Heading2"/>
      </w:pPr>
      <w:r>
        <w:t xml:space="preserve">Sources</w:t>
      </w:r>
    </w:p>
    <w:p>
      <w:pPr>
        <w:pStyle w:val="FirstParagraph"/>
      </w:pPr>
      <w:r>
        <w:t xml:space="preserve">TouchGift pages were opened as a signed-out visitor on 22 October 2026. Outside sources were read as search results, not full pages, and market figures are vendor-reported, so use them as direction only.</w:t>
      </w:r>
    </w:p>
    <w:p>
      <w:pPr>
        <w:pStyle w:val="BodyText"/>
      </w:pPr>
      <w:r>
        <w:rPr>
          <w:bCs/>
          <w:b/>
        </w:rPr>
        <w:t xml:space="preserve">TouchGift</w:t>
      </w:r>
    </w:p>
    <w:p>
      <w:pPr>
        <w:numPr>
          <w:ilvl w:val="0"/>
          <w:numId w:val="1011"/>
        </w:numPr>
        <w:pStyle w:val="Compact"/>
      </w:pPr>
      <w:hyperlink r:id="rId70">
        <w:r>
          <w:rPr>
            <w:rStyle w:val="Hyperlink"/>
          </w:rPr>
          <w:t xml:space="preserve">Homepage</w:t>
        </w:r>
      </w:hyperlink>
    </w:p>
    <w:p>
      <w:pPr>
        <w:numPr>
          <w:ilvl w:val="0"/>
          <w:numId w:val="1011"/>
        </w:numPr>
        <w:pStyle w:val="Compact"/>
      </w:pPr>
      <w:hyperlink r:id="rId71">
        <w:r>
          <w:rPr>
            <w:rStyle w:val="Hyperlink"/>
          </w:rPr>
          <w:t xml:space="preserve">Corporate</w:t>
        </w:r>
      </w:hyperlink>
    </w:p>
    <w:p>
      <w:pPr>
        <w:numPr>
          <w:ilvl w:val="0"/>
          <w:numId w:val="1011"/>
        </w:numPr>
        <w:pStyle w:val="Compact"/>
      </w:pPr>
      <w:hyperlink r:id="rId72">
        <w:r>
          <w:rPr>
            <w:rStyle w:val="Hyperlink"/>
          </w:rPr>
          <w:t xml:space="preserve">Bulk upload</w:t>
        </w:r>
      </w:hyperlink>
      <w:r>
        <w:t xml:space="preserve">,</w:t>
      </w:r>
      <w:r>
        <w:t xml:space="preserve"> </w:t>
      </w:r>
      <w:hyperlink r:id="rId73">
        <w:r>
          <w:rPr>
            <w:rStyle w:val="Hyperlink"/>
          </w:rPr>
          <w:t xml:space="preserve">WhatsApp bot</w:t>
        </w:r>
      </w:hyperlink>
      <w:r>
        <w:t xml:space="preserve">,</w:t>
      </w:r>
      <w:r>
        <w:t xml:space="preserve"> </w:t>
      </w:r>
      <w:hyperlink r:id="rId74">
        <w:r>
          <w:rPr>
            <w:rStyle w:val="Hyperlink"/>
          </w:rPr>
          <w:t xml:space="preserve">Milestones</w:t>
        </w:r>
      </w:hyperlink>
      <w:r>
        <w:t xml:space="preserve">,</w:t>
      </w:r>
      <w:r>
        <w:t xml:space="preserve"> </w:t>
      </w:r>
      <w:hyperlink r:id="rId75">
        <w:r>
          <w:rPr>
            <w:rStyle w:val="Hyperlink"/>
          </w:rPr>
          <w:t xml:space="preserve">White-label</w:t>
        </w:r>
      </w:hyperlink>
      <w:r>
        <w:t xml:space="preserve">,</w:t>
      </w:r>
      <w:r>
        <w:t xml:space="preserve"> </w:t>
      </w:r>
      <w:hyperlink r:id="rId76">
        <w:r>
          <w:rPr>
            <w:rStyle w:val="Hyperlink"/>
          </w:rPr>
          <w:t xml:space="preserve">Gift Lab</w:t>
        </w:r>
      </w:hyperlink>
    </w:p>
    <w:p>
      <w:pPr>
        <w:pStyle w:val="FirstParagraph"/>
      </w:pPr>
      <w:r>
        <w:rPr>
          <w:bCs/>
          <w:b/>
        </w:rPr>
        <w:t xml:space="preserve">Market and payments</w:t>
      </w:r>
    </w:p>
    <w:p>
      <w:pPr>
        <w:numPr>
          <w:ilvl w:val="0"/>
          <w:numId w:val="1012"/>
        </w:numPr>
        <w:pStyle w:val="Compact"/>
      </w:pPr>
      <w:hyperlink r:id="rId27">
        <w:r>
          <w:rPr>
            <w:rStyle w:val="Hyperlink"/>
          </w:rPr>
          <w:t xml:space="preserve">Kenya gift card databook, 2025 (Business Wire)</w:t>
        </w:r>
      </w:hyperlink>
      <w:r>
        <w:t xml:space="preserve"> </w:t>
      </w:r>
      <w:r>
        <w:t xml:space="preserve">and</w:t>
      </w:r>
      <w:r>
        <w:t xml:space="preserve"> </w:t>
      </w:r>
      <w:hyperlink r:id="rId28">
        <w:r>
          <w:rPr>
            <w:rStyle w:val="Hyperlink"/>
          </w:rPr>
          <w:t xml:space="preserve">2023 edition</w:t>
        </w:r>
      </w:hyperlink>
    </w:p>
    <w:p>
      <w:pPr>
        <w:numPr>
          <w:ilvl w:val="0"/>
          <w:numId w:val="1012"/>
        </w:numPr>
        <w:pStyle w:val="Compact"/>
      </w:pPr>
      <w:hyperlink r:id="rId29">
        <w:r>
          <w:rPr>
            <w:rStyle w:val="Hyperlink"/>
          </w:rPr>
          <w:t xml:space="preserve">Regional gift card databook (Business Wire)</w:t>
        </w:r>
      </w:hyperlink>
    </w:p>
    <w:p>
      <w:pPr>
        <w:numPr>
          <w:ilvl w:val="0"/>
          <w:numId w:val="1012"/>
        </w:numPr>
        <w:pStyle w:val="Compact"/>
      </w:pPr>
      <w:hyperlink r:id="rId30">
        <w:r>
          <w:rPr>
            <w:rStyle w:val="Hyperlink"/>
          </w:rPr>
          <w:t xml:space="preserve">Corporate gifting shifts to local and meaningful (TimesLive)</w:t>
        </w:r>
      </w:hyperlink>
      <w:r>
        <w:t xml:space="preserve"> </w:t>
      </w:r>
      <w:r>
        <w:t xml:space="preserve">and</w:t>
      </w:r>
      <w:r>
        <w:t xml:space="preserve"> </w:t>
      </w:r>
      <w:hyperlink r:id="rId31">
        <w:r>
          <w:rPr>
            <w:rStyle w:val="Hyperlink"/>
          </w:rPr>
          <w:t xml:space="preserve">Sendoso market summary</w:t>
        </w:r>
      </w:hyperlink>
    </w:p>
    <w:p>
      <w:pPr>
        <w:numPr>
          <w:ilvl w:val="0"/>
          <w:numId w:val="1012"/>
        </w:numPr>
        <w:pStyle w:val="Compact"/>
      </w:pPr>
      <w:hyperlink r:id="rId20">
        <w:r>
          <w:rPr>
            <w:rStyle w:val="Hyperlink"/>
          </w:rPr>
          <w:t xml:space="preserve">Kenya remittances hit US$5bn in 2025 (ITWeb)</w:t>
        </w:r>
      </w:hyperlink>
      <w:r>
        <w:t xml:space="preserve"> </w:t>
      </w:r>
      <w:r>
        <w:t xml:space="preserve">and</w:t>
      </w:r>
      <w:r>
        <w:t xml:space="preserve"> </w:t>
      </w:r>
      <w:hyperlink r:id="rId32">
        <w:r>
          <w:rPr>
            <w:rStyle w:val="Hyperlink"/>
          </w:rPr>
          <w:t xml:space="preserve">remittance growth (Eastleigh Voice)</w:t>
        </w:r>
      </w:hyperlink>
    </w:p>
    <w:p>
      <w:pPr>
        <w:numPr>
          <w:ilvl w:val="0"/>
          <w:numId w:val="1012"/>
        </w:numPr>
        <w:pStyle w:val="Compact"/>
      </w:pPr>
      <w:hyperlink r:id="rId33">
        <w:r>
          <w:rPr>
            <w:rStyle w:val="Hyperlink"/>
          </w:rPr>
          <w:t xml:space="preserve">Why Kenyans abandon checkout (IntaSend)</w:t>
        </w:r>
      </w:hyperlink>
      <w:r>
        <w:t xml:space="preserve"> </w:t>
      </w:r>
      <w:r>
        <w:t xml:space="preserve">and</w:t>
      </w:r>
      <w:r>
        <w:t xml:space="preserve"> </w:t>
      </w:r>
      <w:hyperlink r:id="rId25">
        <w:r>
          <w:rPr>
            <w:rStyle w:val="Hyperlink"/>
          </w:rPr>
          <w:t xml:space="preserve">Mctaba checkout guide</w:t>
        </w:r>
      </w:hyperlink>
    </w:p>
    <w:p>
      <w:pPr>
        <w:numPr>
          <w:ilvl w:val="0"/>
          <w:numId w:val="1012"/>
        </w:numPr>
        <w:pStyle w:val="Compact"/>
      </w:pPr>
      <w:hyperlink r:id="rId34">
        <w:r>
          <w:rPr>
            <w:rStyle w:val="Hyperlink"/>
          </w:rPr>
          <w:t xml:space="preserve">Kenya e-invoicing mandate (VATit)</w:t>
        </w:r>
      </w:hyperlink>
      <w:r>
        <w:t xml:space="preserve">,</w:t>
      </w:r>
      <w:r>
        <w:t xml:space="preserve"> </w:t>
      </w:r>
      <w:hyperlink r:id="rId35">
        <w:r>
          <w:rPr>
            <w:rStyle w:val="Hyperlink"/>
          </w:rPr>
          <w:t xml:space="preserve">KRA validation of eTIMS invoices (Beancount)</w:t>
        </w:r>
      </w:hyperlink>
      <w:r>
        <w:t xml:space="preserve"> </w:t>
      </w:r>
      <w:r>
        <w:t xml:space="preserve">and</w:t>
      </w:r>
      <w:r>
        <w:t xml:space="preserve"> </w:t>
      </w:r>
      <w:hyperlink r:id="rId77">
        <w:r>
          <w:rPr>
            <w:rStyle w:val="Hyperlink"/>
          </w:rPr>
          <w:t xml:space="preserve">Kenya compliance map (Basware)</w:t>
        </w:r>
      </w:hyperlink>
    </w:p>
    <w:p>
      <w:pPr>
        <w:pStyle w:val="FirstParagraph"/>
      </w:pPr>
      <w:r>
        <w:rPr>
          <w:bCs/>
          <w:b/>
        </w:rPr>
        <w:t xml:space="preserve">Competitors</w:t>
      </w:r>
    </w:p>
    <w:p>
      <w:pPr>
        <w:numPr>
          <w:ilvl w:val="0"/>
          <w:numId w:val="1013"/>
        </w:numPr>
        <w:pStyle w:val="Compact"/>
      </w:pPr>
      <w:hyperlink r:id="rId37">
        <w:r>
          <w:rPr>
            <w:rStyle w:val="Hyperlink"/>
          </w:rPr>
          <w:t xml:space="preserve">Purpink delivery terms</w:t>
        </w:r>
      </w:hyperlink>
      <w:r>
        <w:t xml:space="preserve">,</w:t>
      </w:r>
      <w:r>
        <w:t xml:space="preserve"> </w:t>
      </w:r>
      <w:hyperlink r:id="rId38">
        <w:r>
          <w:rPr>
            <w:rStyle w:val="Hyperlink"/>
          </w:rPr>
          <w:t xml:space="preserve">Giftsenda</w:t>
        </w:r>
      </w:hyperlink>
      <w:r>
        <w:t xml:space="preserve">,</w:t>
      </w:r>
      <w:r>
        <w:t xml:space="preserve"> </w:t>
      </w:r>
      <w:hyperlink r:id="rId39">
        <w:r>
          <w:rPr>
            <w:rStyle w:val="Hyperlink"/>
          </w:rPr>
          <w:t xml:space="preserve">Nairobi Garage list of corporate gifting firms</w:t>
        </w:r>
      </w:hyperlink>
    </w:p>
    <w:p>
      <w:pPr>
        <w:numPr>
          <w:ilvl w:val="0"/>
          <w:numId w:val="1013"/>
        </w:numPr>
        <w:pStyle w:val="Compact"/>
      </w:pPr>
      <w:hyperlink r:id="rId40">
        <w:r>
          <w:rPr>
            <w:rStyle w:val="Hyperlink"/>
          </w:rPr>
          <w:t xml:space="preserve">Awardco</w:t>
        </w:r>
      </w:hyperlink>
      <w:r>
        <w:t xml:space="preserve">,</w:t>
      </w:r>
      <w:r>
        <w:t xml:space="preserve"> </w:t>
      </w:r>
      <w:hyperlink r:id="rId41">
        <w:r>
          <w:rPr>
            <w:rStyle w:val="Hyperlink"/>
          </w:rPr>
          <w:t xml:space="preserve">Recognize</w:t>
        </w:r>
      </w:hyperlink>
      <w:r>
        <w:t xml:space="preserve">,</w:t>
      </w:r>
      <w:r>
        <w:t xml:space="preserve"> </w:t>
      </w:r>
      <w:hyperlink r:id="rId42">
        <w:r>
          <w:rPr>
            <w:rStyle w:val="Hyperlink"/>
          </w:rPr>
          <w:t xml:space="preserve">Recnice</w:t>
        </w:r>
      </w:hyperlink>
    </w:p>
    <w:bookmarkEnd w:id="78"/>
    <w:bookmarkEnd w:id="79"/>
    <w:sectPr>
      <w:pgSz w:w="11909" w:h="16834"/>
      <w:pgMar w:left="1008" w:right="1008"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A5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F3A5F"/>
      <w:sz w:val="32"/>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9B1B5A"/>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hyperlink" Target="https://beancount.io/bg/blog/2026/07/22/kenya-kra-etims-income-expense-validation-guide" TargetMode="External"/><Relationship Id="rId32" Type="http://schemas.openxmlformats.org/officeDocument/2006/relationships/hyperlink" Target="https://eastleighvoice.co.ke/diaspora%20remittances%20kenya/228976/diaspora-remittances-to-kenya-rise-by-sh15-billion-in-nine-months" TargetMode="External"/><Relationship Id="rId41" Type="http://schemas.openxmlformats.org/officeDocument/2006/relationships/hyperlink" Target="https://ecs-production-assets-598a16de.recognizeapp.com/rewards" TargetMode="External"/><Relationship Id="rId33" Type="http://schemas.openxmlformats.org/officeDocument/2006/relationships/hyperlink" Target="https://intasend.com/payments/why-kenyans-abandon-your-checkout-on-valentine-s-day" TargetMode="External"/><Relationship Id="rId20" Type="http://schemas.openxmlformats.org/officeDocument/2006/relationships/hyperlink" Target="https://itweb.africa/article/kenya-remittances-hit-5bn-in-2025-as-growth-slows/dgp45qaBm2GvX9l8" TargetMode="External"/><Relationship Id="rId25" Type="http://schemas.openxmlformats.org/officeDocument/2006/relationships/hyperlink" Target="https://mctaba.com/learn/paystack/why-customers-abandon-your-checkout" TargetMode="External"/><Relationship Id="rId39" Type="http://schemas.openxmlformats.org/officeDocument/2006/relationships/hyperlink" Target="https://nairobigarage.com/corporate-gifting-companies-in-kenya/" TargetMode="External"/><Relationship Id="rId40" Type="http://schemas.openxmlformats.org/officeDocument/2006/relationships/hyperlink" Target="https://platform.softwareone.com/product/employee-rewards-recognition-platform/PCP-8480-8645" TargetMode="External"/><Relationship Id="rId37" Type="http://schemas.openxmlformats.org/officeDocument/2006/relationships/hyperlink" Target="https://purpink.co.ke/products/the-relax-and-recharge" TargetMode="External"/><Relationship Id="rId70" Type="http://schemas.openxmlformats.org/officeDocument/2006/relationships/hyperlink" Target="https://touchgiftshop.co.ke" TargetMode="External"/><Relationship Id="rId71" Type="http://schemas.openxmlformats.org/officeDocument/2006/relationships/hyperlink" Target="https://touchgiftshop.co.ke/corporate" TargetMode="External"/><Relationship Id="rId72" Type="http://schemas.openxmlformats.org/officeDocument/2006/relationships/hyperlink" Target="https://touchgiftshop.co.ke/corporate/bulk-upload" TargetMode="External"/><Relationship Id="rId74" Type="http://schemas.openxmlformats.org/officeDocument/2006/relationships/hyperlink" Target="https://touchgiftshop.co.ke/corporate/milestones" TargetMode="External"/><Relationship Id="rId73" Type="http://schemas.openxmlformats.org/officeDocument/2006/relationships/hyperlink" Target="https://touchgiftshop.co.ke/corporate/whatsapp" TargetMode="External"/><Relationship Id="rId75" Type="http://schemas.openxmlformats.org/officeDocument/2006/relationships/hyperlink" Target="https://touchgiftshop.co.ke/corporate/whitelabel" TargetMode="External"/><Relationship Id="rId76" Type="http://schemas.openxmlformats.org/officeDocument/2006/relationships/hyperlink" Target="https://touchgiftshop.co.ke/gift-lab" TargetMode="External"/><Relationship Id="rId34" Type="http://schemas.openxmlformats.org/officeDocument/2006/relationships/hyperlink" Target="https://vatit.com/es/e-invoicing-guide/kenya/" TargetMode="External"/><Relationship Id="rId42" Type="http://schemas.openxmlformats.org/officeDocument/2006/relationships/hyperlink" Target="https://workspace.google.com/marketplace/app/recnice/232274230233" TargetMode="External"/><Relationship Id="rId77" Type="http://schemas.openxmlformats.org/officeDocument/2006/relationships/hyperlink" Target="https://www.basware.com/en/compliance-map/kenya" TargetMode="External"/><Relationship Id="rId28" Type="http://schemas.openxmlformats.org/officeDocument/2006/relationships/hyperlink" Target="https://www.businesswire.com/news/home/20230331005206/en" TargetMode="External"/><Relationship Id="rId27" Type="http://schemas.openxmlformats.org/officeDocument/2006/relationships/hyperlink" Target="https://www.businesswire.com/news/home/20250312761177/en/Kenya-Gift-Card-and-Incentive-Card-Databook-Report-2025-A-%24760-Million-Market-by-2029---Market-Intelligence-and-Future-Growth-Dynamics-2020-2024-2025-2029---ResearchAndMarkets.com" TargetMode="External"/><Relationship Id="rId29" Type="http://schemas.openxmlformats.org/officeDocument/2006/relationships/hyperlink" Target="https://www.businesswire.com/news/home/20250324893302/en" TargetMode="External"/><Relationship Id="rId38" Type="http://schemas.openxmlformats.org/officeDocument/2006/relationships/hyperlink" Target="https://www.giftsenda.com/gifts-to-kenya" TargetMode="External"/><Relationship Id="rId31" Type="http://schemas.openxmlformats.org/officeDocument/2006/relationships/hyperlink" Target="https://www.sendoso.com/resources/blog/corporate-gifting-industry-market" TargetMode="External"/><Relationship Id="rId30" Type="http://schemas.openxmlformats.org/officeDocument/2006/relationships/hyperlink" Target="https://www.timeslive.co.za/news/business/2026-01-03-corporate-gifting-shifts-from-same-old-to-local-and-meaningful/"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beancount.io/bg/blog/2026/07/22/kenya-kra-etims-income-expense-validation-guide" TargetMode="External"/><Relationship Id="rId32" Type="http://schemas.openxmlformats.org/officeDocument/2006/relationships/hyperlink" Target="https://eastleighvoice.co.ke/diaspora%20remittances%20kenya/228976/diaspora-remittances-to-kenya-rise-by-sh15-billion-in-nine-months" TargetMode="External"/><Relationship Id="rId41" Type="http://schemas.openxmlformats.org/officeDocument/2006/relationships/hyperlink" Target="https://ecs-production-assets-598a16de.recognizeapp.com/rewards" TargetMode="External"/><Relationship Id="rId33" Type="http://schemas.openxmlformats.org/officeDocument/2006/relationships/hyperlink" Target="https://intasend.com/payments/why-kenyans-abandon-your-checkout-on-valentine-s-day" TargetMode="External"/><Relationship Id="rId20" Type="http://schemas.openxmlformats.org/officeDocument/2006/relationships/hyperlink" Target="https://itweb.africa/article/kenya-remittances-hit-5bn-in-2025-as-growth-slows/dgp45qaBm2GvX9l8" TargetMode="External"/><Relationship Id="rId25" Type="http://schemas.openxmlformats.org/officeDocument/2006/relationships/hyperlink" Target="https://mctaba.com/learn/paystack/why-customers-abandon-your-checkout" TargetMode="External"/><Relationship Id="rId39" Type="http://schemas.openxmlformats.org/officeDocument/2006/relationships/hyperlink" Target="https://nairobigarage.com/corporate-gifting-companies-in-kenya/" TargetMode="External"/><Relationship Id="rId40" Type="http://schemas.openxmlformats.org/officeDocument/2006/relationships/hyperlink" Target="https://platform.softwareone.com/product/employee-rewards-recognition-platform/PCP-8480-8645" TargetMode="External"/><Relationship Id="rId37" Type="http://schemas.openxmlformats.org/officeDocument/2006/relationships/hyperlink" Target="https://purpink.co.ke/products/the-relax-and-recharge" TargetMode="External"/><Relationship Id="rId70" Type="http://schemas.openxmlformats.org/officeDocument/2006/relationships/hyperlink" Target="https://touchgiftshop.co.ke" TargetMode="External"/><Relationship Id="rId71" Type="http://schemas.openxmlformats.org/officeDocument/2006/relationships/hyperlink" Target="https://touchgiftshop.co.ke/corporate" TargetMode="External"/><Relationship Id="rId72" Type="http://schemas.openxmlformats.org/officeDocument/2006/relationships/hyperlink" Target="https://touchgiftshop.co.ke/corporate/bulk-upload" TargetMode="External"/><Relationship Id="rId74" Type="http://schemas.openxmlformats.org/officeDocument/2006/relationships/hyperlink" Target="https://touchgiftshop.co.ke/corporate/milestones" TargetMode="External"/><Relationship Id="rId73" Type="http://schemas.openxmlformats.org/officeDocument/2006/relationships/hyperlink" Target="https://touchgiftshop.co.ke/corporate/whatsapp" TargetMode="External"/><Relationship Id="rId75" Type="http://schemas.openxmlformats.org/officeDocument/2006/relationships/hyperlink" Target="https://touchgiftshop.co.ke/corporate/whitelabel" TargetMode="External"/><Relationship Id="rId76" Type="http://schemas.openxmlformats.org/officeDocument/2006/relationships/hyperlink" Target="https://touchgiftshop.co.ke/gift-lab" TargetMode="External"/><Relationship Id="rId34" Type="http://schemas.openxmlformats.org/officeDocument/2006/relationships/hyperlink" Target="https://vatit.com/es/e-invoicing-guide/kenya/" TargetMode="External"/><Relationship Id="rId42" Type="http://schemas.openxmlformats.org/officeDocument/2006/relationships/hyperlink" Target="https://workspace.google.com/marketplace/app/recnice/232274230233" TargetMode="External"/><Relationship Id="rId77" Type="http://schemas.openxmlformats.org/officeDocument/2006/relationships/hyperlink" Target="https://www.basware.com/en/compliance-map/kenya" TargetMode="External"/><Relationship Id="rId28" Type="http://schemas.openxmlformats.org/officeDocument/2006/relationships/hyperlink" Target="https://www.businesswire.com/news/home/20230331005206/en" TargetMode="External"/><Relationship Id="rId27" Type="http://schemas.openxmlformats.org/officeDocument/2006/relationships/hyperlink" Target="https://www.businesswire.com/news/home/20250312761177/en/Kenya-Gift-Card-and-Incentive-Card-Databook-Report-2025-A-%24760-Million-Market-by-2029---Market-Intelligence-and-Future-Growth-Dynamics-2020-2024-2025-2029---ResearchAndMarkets.com" TargetMode="External"/><Relationship Id="rId29" Type="http://schemas.openxmlformats.org/officeDocument/2006/relationships/hyperlink" Target="https://www.businesswire.com/news/home/20250324893302/en" TargetMode="External"/><Relationship Id="rId38" Type="http://schemas.openxmlformats.org/officeDocument/2006/relationships/hyperlink" Target="https://www.giftsenda.com/gifts-to-kenya" TargetMode="External"/><Relationship Id="rId31" Type="http://schemas.openxmlformats.org/officeDocument/2006/relationships/hyperlink" Target="https://www.sendoso.com/resources/blog/corporate-gifting-industry-market" TargetMode="External"/><Relationship Id="rId30" Type="http://schemas.openxmlformats.org/officeDocument/2006/relationships/hyperlink" Target="https://www.timeslive.co.za/news/business/2026-01-03-corporate-gifting-shifts-from-same-old-to-local-and-meaningfu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2026-10-23T08:08:37Z</dcterms:created>
  <dcterms:modified xsi:type="dcterms:W3CDTF">2026-10-23T08:08:37Z</dcterms:modified>
</cp:coreProperties>
</file>

<file path=docProps/custom.xml><?xml version="1.0" encoding="utf-8"?>
<Properties xmlns="http://schemas.openxmlformats.org/officeDocument/2006/custom-properties" xmlns:vt="http://schemas.openxmlformats.org/officeDocument/2006/docPropsVTypes"/>
</file>