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color w:val="3465A4"/>
        </w:rPr>
      </w:pPr>
      <w:r>
        <w:rPr>
          <w:rFonts w:eastAsia="Calibri" w:cs="Calibri" w:ascii="Calibri" w:hAnsi="Calibri"/>
          <w:b/>
          <w:bCs/>
          <w:color w:val="3465A4"/>
          <w:sz w:val="20"/>
          <w:szCs w:val="20"/>
        </w:rPr>
        <w:t>PROJECT PROPOSAL</w:t>
      </w:r>
    </w:p>
    <w:p>
      <w:pPr>
        <w:pStyle w:val="Normal"/>
        <w:spacing w:before="0" w:after="40"/>
        <w:rPr>
          <w:color w:val="3465A4"/>
        </w:rPr>
      </w:pPr>
      <w:r>
        <w:rPr>
          <w:rFonts w:eastAsia="Calibri" w:cs="Calibri" w:ascii="Calibri" w:hAnsi="Calibri"/>
          <w:b/>
          <w:bCs/>
          <w:color w:val="3465A4"/>
          <w:sz w:val="40"/>
          <w:szCs w:val="40"/>
        </w:rPr>
        <w:t>Touchline Branding &amp; Signage Platform</w:t>
      </w:r>
    </w:p>
    <w:p>
      <w:pPr>
        <w:pStyle w:val="Normal"/>
        <w:spacing w:before="0" w:after="200"/>
        <w:rPr>
          <w:color w:val="3465A4"/>
        </w:rPr>
      </w:pPr>
      <w:r>
        <w:rPr>
          <w:rFonts w:eastAsia="Calibri" w:cs="Calibri" w:ascii="Calibri" w:hAnsi="Calibri"/>
          <w:i/>
          <w:iCs/>
          <w:color w:val="3465A4"/>
          <w:sz w:val="24"/>
          <w:szCs w:val="24"/>
        </w:rPr>
        <w:t>A unified public website and booking platform for Touchline's branding and signage businesses</w:t>
      </w:r>
    </w:p>
    <w:p>
      <w:pPr>
        <w:pStyle w:val="Normal"/>
        <w:spacing w:before="0" w:after="20"/>
        <w:rPr>
          <w:color w:val="3465A4"/>
        </w:rPr>
      </w:pPr>
      <w:r>
        <w:rPr>
          <w:rFonts w:eastAsia="Calibri" w:cs="Calibri" w:ascii="Calibri" w:hAnsi="Calibri"/>
          <w:color w:val="3465A4"/>
          <w:sz w:val="20"/>
          <w:szCs w:val="20"/>
        </w:rPr>
        <w:t>Prepared for: Touchline  Management / Company Leadership</w:t>
      </w:r>
    </w:p>
    <w:p>
      <w:pPr>
        <w:pStyle w:val="Normal"/>
        <w:spacing w:before="0" w:after="300"/>
        <w:rPr>
          <w:color w:val="3465A4"/>
        </w:rPr>
      </w:pPr>
      <w:r>
        <w:rPr>
          <w:rFonts w:eastAsia="Calibri" w:cs="Calibri" w:ascii="Calibri" w:hAnsi="Calibri"/>
          <w:color w:val="3465A4"/>
          <w:sz w:val="20"/>
          <w:szCs w:val="20"/>
        </w:rPr>
        <w:t>Date: 1</w:t>
      </w:r>
      <w:r>
        <w:rPr>
          <w:rFonts w:eastAsia="Calibri" w:cs="Calibri" w:ascii="Calibri" w:hAnsi="Calibri"/>
          <w:color w:val="3465A4"/>
          <w:sz w:val="20"/>
          <w:szCs w:val="20"/>
        </w:rPr>
        <w:t>9th</w:t>
      </w:r>
      <w:r>
        <w:rPr>
          <w:rFonts w:eastAsia="Calibri" w:cs="Calibri" w:ascii="Calibri" w:hAnsi="Calibri"/>
          <w:color w:val="3465A4"/>
          <w:sz w:val="20"/>
          <w:szCs w:val="20"/>
        </w:rPr>
        <w:t xml:space="preserve"> August 2026</w:t>
      </w:r>
    </w:p>
    <w:p>
      <w:pPr>
        <w:pStyle w:val="Heading1"/>
        <w:pBdr>
          <w:bottom w:val="single" w:sz="6" w:space="4" w:color="1F3864"/>
        </w:pBdr>
        <w:spacing w:before="320" w:after="140"/>
        <w:rPr>
          <w:color w:val="3465A4"/>
        </w:rPr>
      </w:pPr>
      <w:r>
        <w:rPr>
          <w:rFonts w:eastAsia="Calibri" w:cs="Calibri" w:ascii="Calibri" w:hAnsi="Calibri"/>
          <w:b/>
          <w:bCs/>
          <w:color w:val="3465A4"/>
          <w:sz w:val="26"/>
          <w:szCs w:val="26"/>
        </w:rPr>
        <w:t>1. Executive Summary</w:t>
      </w:r>
    </w:p>
    <w:p>
      <w:pPr>
        <w:pStyle w:val="Normal"/>
        <w:spacing w:lineRule="auto" w:line="276" w:before="0" w:after="140"/>
        <w:rPr>
          <w:color w:val="3465A4"/>
        </w:rPr>
      </w:pPr>
      <w:r>
        <w:rPr>
          <w:rFonts w:eastAsia="Calibri" w:cs="Calibri" w:ascii="Calibri" w:hAnsi="Calibri"/>
          <w:color w:val="3465A4"/>
          <w:sz w:val="21"/>
          <w:szCs w:val="21"/>
        </w:rPr>
        <w:t>Touchline Branding and Touchline Signage are two related but distinct sides of the business  one sources and brands promotional products and merchandise, the other designs, fabricates and installs signage. Today, neither has a public website: prospective clients reach us through word of mouth, phone calls and WhatsApp, with no single place to see our work, request a quote, or book a site visit.</w:t>
      </w:r>
    </w:p>
    <w:p>
      <w:pPr>
        <w:pStyle w:val="Normal"/>
        <w:spacing w:lineRule="auto" w:line="276" w:before="0" w:after="140"/>
        <w:rPr>
          <w:color w:val="3465A4"/>
        </w:rPr>
      </w:pPr>
      <w:r>
        <w:rPr>
          <w:rFonts w:eastAsia="Calibri" w:cs="Calibri" w:ascii="Calibri" w:hAnsi="Calibri"/>
          <w:color w:val="3465A4"/>
          <w:sz w:val="21"/>
          <w:szCs w:val="21"/>
        </w:rPr>
        <w:t>This proposal describes the Touchline Branding &amp; Signage Platform: a public, mobile- and web-based site that gives each business its own distinct storefront  its own logo, colours and content  while running from a single codebase and a single deployment. Visitors reach either business directly (branding.touchline.co.ke or signage.touchline.co.ke), or start at a shared touchline.co.ke hub and choose. Each side promotes the other, and both point toward TouchGiftShop, our existing corporate and personal gifting platform, completing the picture of everything Touchline offers.</w:t>
      </w:r>
    </w:p>
    <w:p>
      <w:pPr>
        <w:pStyle w:val="Normal"/>
        <w:spacing w:lineRule="auto" w:line="276" w:before="0" w:after="140"/>
        <w:rPr>
          <w:color w:val="3465A4"/>
        </w:rPr>
      </w:pPr>
      <w:r>
        <w:rPr>
          <w:rFonts w:eastAsia="Calibri" w:cs="Calibri" w:ascii="Calibri" w:hAnsi="Calibri"/>
          <w:color w:val="3465A4"/>
          <w:sz w:val="21"/>
          <w:szCs w:val="21"/>
        </w:rPr>
        <w:t>Behind the public storefronts sits a private admin dashboard where staff review submitted enquiries and, with one click, turn a promising one into a task on our internal sourcing platform  closing the loop from a stranger filling out a form to our team actively working on it.</w:t>
      </w:r>
    </w:p>
    <w:p>
      <w:pPr>
        <w:pStyle w:val="Normal"/>
        <w:spacing w:lineRule="auto" w:line="276" w:before="0" w:after="140"/>
        <w:rPr>
          <w:color w:val="3465A4"/>
        </w:rPr>
      </w:pPr>
      <w:r>
        <w:rPr>
          <w:rFonts w:eastAsia="Calibri" w:cs="Calibri" w:ascii="Calibri" w:hAnsi="Calibri"/>
          <w:color w:val="3465A4"/>
          <w:sz w:val="21"/>
          <w:szCs w:val="21"/>
        </w:rPr>
        <w:t>A working first version of this platform has been built and is included with this proposal, ready for real content, logos and a production database before going live.</w:t>
      </w:r>
    </w:p>
    <w:p>
      <w:pPr>
        <w:pStyle w:val="Heading1"/>
        <w:pBdr>
          <w:bottom w:val="single" w:sz="6" w:space="4" w:color="1F3864"/>
        </w:pBdr>
        <w:spacing w:before="320" w:after="140"/>
        <w:rPr>
          <w:color w:val="3465A4"/>
        </w:rPr>
      </w:pPr>
      <w:r>
        <w:rPr>
          <w:rFonts w:eastAsia="Calibri" w:cs="Calibri" w:ascii="Calibri" w:hAnsi="Calibri"/>
          <w:b/>
          <w:bCs/>
          <w:color w:val="3465A4"/>
          <w:sz w:val="26"/>
          <w:szCs w:val="26"/>
        </w:rPr>
        <w:t>2. Objectives</w:t>
      </w:r>
    </w:p>
    <w:p>
      <w:pPr>
        <w:pStyle w:val="ListParagraph"/>
        <w:numPr>
          <w:ilvl w:val="0"/>
          <w:numId w:val="3"/>
        </w:numPr>
        <w:spacing w:lineRule="auto" w:line="264" w:before="0" w:after="80"/>
        <w:rPr>
          <w:color w:val="3465A4"/>
        </w:rPr>
      </w:pPr>
      <w:r>
        <w:rPr>
          <w:rFonts w:eastAsia="Calibri" w:cs="Calibri" w:ascii="Calibri" w:hAnsi="Calibri"/>
          <w:color w:val="3465A4"/>
          <w:sz w:val="21"/>
          <w:szCs w:val="21"/>
        </w:rPr>
        <w:t>Give Touchline Branding and Touchline Signage each a distinct public storefront  their own look, services and portfolio  without maintaining two separate codebases.</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Let prospective clients see our work, understand our services, and request a quote or book a site visit online, instead of relying only on calls and WhatsApp.</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Cross-promote naturally: a branding client learns we also do signage, and vice versa, without either brand feeling diluted.</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Feed every public enquiry into a structured pipeline the team can act on, rather than a message that can get lost.</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Lay a foundation that a third property  TouchGiftShop  connects into, so the full sourcing-to-branding-to-gifting journey is visible to a customer.</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Keep the platform mobile-first: our clients and site-visit bookings often happen from a phone.</w:t>
      </w:r>
    </w:p>
    <w:p>
      <w:pPr>
        <w:pStyle w:val="Heading1"/>
        <w:pBdr>
          <w:bottom w:val="single" w:sz="6" w:space="4" w:color="1F3864"/>
        </w:pBdr>
        <w:spacing w:before="320" w:after="140"/>
        <w:rPr>
          <w:color w:val="3465A4"/>
        </w:rPr>
      </w:pPr>
      <w:r>
        <w:rPr>
          <w:rFonts w:eastAsia="Calibri" w:cs="Calibri" w:ascii="Calibri" w:hAnsi="Calibri"/>
          <w:b/>
          <w:bCs/>
          <w:color w:val="3465A4"/>
          <w:sz w:val="26"/>
          <w:szCs w:val="26"/>
        </w:rPr>
        <w:t>3. Platform Structure</w:t>
      </w:r>
    </w:p>
    <w:p>
      <w:pPr>
        <w:pStyle w:val="Normal"/>
        <w:spacing w:lineRule="auto" w:line="276" w:before="0" w:after="140"/>
        <w:rPr>
          <w:color w:val="3465A4"/>
        </w:rPr>
      </w:pPr>
      <w:r>
        <w:rPr>
          <w:rFonts w:eastAsia="Calibri" w:cs="Calibri" w:ascii="Calibri" w:hAnsi="Calibri"/>
          <w:color w:val="3465A4"/>
          <w:sz w:val="21"/>
          <w:szCs w:val="21"/>
        </w:rPr>
        <w:t>One Next.js codebase, one deployment, split by subdomain so each business feels like its own site:</w:t>
      </w:r>
    </w:p>
    <w:tbl>
      <w:tblPr>
        <w:tblW w:w="10080" w:type="dxa"/>
        <w:jc w:val="start"/>
        <w:tblInd w:w="0" w:type="dxa"/>
        <w:tblLayout w:type="fixed"/>
        <w:tblCellMar>
          <w:top w:w="80" w:type="dxa"/>
          <w:start w:w="100" w:type="dxa"/>
          <w:bottom w:w="80" w:type="dxa"/>
          <w:end w:w="100" w:type="dxa"/>
        </w:tblCellMar>
      </w:tblPr>
      <w:tblGrid>
        <w:gridCol w:w="3399"/>
        <w:gridCol w:w="6681"/>
      </w:tblGrid>
      <w:tr>
        <w:trPr>
          <w:tblHeader w:val="true"/>
        </w:trPr>
        <w:tc>
          <w:tcPr>
            <w:tcW w:w="3399"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color w:val="3465A4"/>
              </w:rPr>
            </w:pPr>
            <w:r>
              <w:rPr>
                <w:rFonts w:eastAsia="Calibri" w:cs="Calibri" w:ascii="Calibri" w:hAnsi="Calibri"/>
                <w:b/>
                <w:bCs/>
                <w:color w:val="3465A4"/>
                <w:sz w:val="20"/>
                <w:szCs w:val="20"/>
              </w:rPr>
              <w:t>Address</w:t>
            </w:r>
          </w:p>
        </w:tc>
        <w:tc>
          <w:tcPr>
            <w:tcW w:w="6681"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color w:val="3465A4"/>
              </w:rPr>
            </w:pPr>
            <w:r>
              <w:rPr>
                <w:rFonts w:eastAsia="Calibri" w:cs="Calibri" w:ascii="Calibri" w:hAnsi="Calibri"/>
                <w:b/>
                <w:bCs/>
                <w:color w:val="3465A4"/>
                <w:sz w:val="20"/>
                <w:szCs w:val="20"/>
              </w:rPr>
              <w:t>Experience</w:t>
            </w:r>
          </w:p>
        </w:tc>
      </w:tr>
      <w:tr>
        <w:trPr/>
        <w:tc>
          <w:tcPr>
            <w:tcW w:w="33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touchline.co.ke</w:t>
            </w:r>
          </w:p>
        </w:tc>
        <w:tc>
          <w:tcPr>
            <w:tcW w:w="668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Hub page  a brief “two doors” landing: choose Branding or Signage, with a link to TouchGiftShop.</w:t>
            </w:r>
          </w:p>
        </w:tc>
      </w:tr>
      <w:tr>
        <w:trPr/>
        <w:tc>
          <w:tcPr>
            <w:tcW w:w="3399" w:type="dxa"/>
            <w:tcBorders>
              <w:top w:val="single" w:sz="4" w:space="0" w:color="000000"/>
              <w:start w:val="single" w:sz="4" w:space="0" w:color="000000"/>
              <w:bottom w:val="single" w:sz="4" w:space="0" w:color="000000"/>
              <w:end w:val="single" w:sz="4" w:space="0" w:color="000000"/>
            </w:tcBorders>
            <w:shd w:color="auto" w:fill="EAF1FA" w:val="clear"/>
          </w:tcPr>
          <w:p>
            <w:pPr>
              <w:pStyle w:val="Normal"/>
              <w:jc w:val="start"/>
              <w:rPr>
                <w:color w:val="3465A4"/>
              </w:rPr>
            </w:pPr>
            <w:r>
              <w:rPr>
                <w:rFonts w:eastAsia="Calibri" w:cs="Calibri" w:ascii="Calibri" w:hAnsi="Calibri"/>
                <w:b w:val="false"/>
                <w:bCs w:val="false"/>
                <w:color w:val="3465A4"/>
                <w:sz w:val="20"/>
                <w:szCs w:val="20"/>
              </w:rPr>
              <w:t>branding.touchline.co.ke</w:t>
            </w:r>
          </w:p>
        </w:tc>
        <w:tc>
          <w:tcPr>
            <w:tcW w:w="6681" w:type="dxa"/>
            <w:tcBorders>
              <w:top w:val="single" w:sz="4" w:space="0" w:color="000000"/>
              <w:start w:val="single" w:sz="4" w:space="0" w:color="000000"/>
              <w:bottom w:val="single" w:sz="4" w:space="0" w:color="000000"/>
              <w:end w:val="single" w:sz="4" w:space="0" w:color="000000"/>
            </w:tcBorders>
            <w:shd w:color="auto" w:fill="EAF1FA" w:val="clear"/>
          </w:tcPr>
          <w:p>
            <w:pPr>
              <w:pStyle w:val="Normal"/>
              <w:jc w:val="start"/>
              <w:rPr>
                <w:color w:val="3465A4"/>
              </w:rPr>
            </w:pPr>
            <w:r>
              <w:rPr>
                <w:rFonts w:eastAsia="Calibri" w:cs="Calibri" w:ascii="Calibri" w:hAnsi="Calibri"/>
                <w:b w:val="false"/>
                <w:bCs w:val="false"/>
                <w:color w:val="3465A4"/>
                <w:sz w:val="20"/>
                <w:szCs w:val="20"/>
              </w:rPr>
              <w:t>Touchline Branding  full storefront: services, portfolio, testimonials, quote/site-visit booking.</w:t>
            </w:r>
          </w:p>
        </w:tc>
      </w:tr>
      <w:tr>
        <w:trPr/>
        <w:tc>
          <w:tcPr>
            <w:tcW w:w="33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signage.touchline.co.ke</w:t>
            </w:r>
          </w:p>
        </w:tc>
        <w:tc>
          <w:tcPr>
            <w:tcW w:w="668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Touchline Signage  full storefront: services, portfolio, testimonials, quote/site-visit booking.</w:t>
            </w:r>
          </w:p>
        </w:tc>
      </w:tr>
    </w:tbl>
    <w:p>
      <w:pPr>
        <w:pStyle w:val="Normal"/>
        <w:spacing w:lineRule="auto" w:line="276" w:before="0" w:after="140"/>
        <w:rPr>
          <w:color w:val="3465A4"/>
        </w:rPr>
      </w:pPr>
      <w:r>
        <w:rPr>
          <w:rFonts w:eastAsia="Calibri" w:cs="Calibri" w:ascii="Calibri" w:hAnsi="Calibri"/>
          <w:color w:val="3465A4"/>
          <w:sz w:val="21"/>
          <w:szCs w:val="21"/>
        </w:rPr>
        <w:t>No visitor-facing redirects are involved  the platform reads which address a visitor arrived on and renders the correct branding automatically. Adding a future third business unit is a configuration change, not a rebuild.</w:t>
      </w:r>
    </w:p>
    <w:p>
      <w:pPr>
        <w:pStyle w:val="Heading1"/>
        <w:pBdr>
          <w:bottom w:val="single" w:sz="6" w:space="4" w:color="1F3864"/>
        </w:pBdr>
        <w:spacing w:before="320" w:after="140"/>
        <w:rPr>
          <w:color w:val="3465A4"/>
        </w:rPr>
      </w:pPr>
      <w:r>
        <w:rPr>
          <w:rFonts w:eastAsia="Calibri" w:cs="Calibri" w:ascii="Calibri" w:hAnsi="Calibri"/>
          <w:b/>
          <w:bCs/>
          <w:color w:val="3465A4"/>
          <w:sz w:val="26"/>
          <w:szCs w:val="26"/>
        </w:rPr>
        <w:t>4. Core Modules &amp; Features (Built)</w:t>
      </w:r>
    </w:p>
    <w:p>
      <w:pPr>
        <w:pStyle w:val="Heading2"/>
        <w:spacing w:before="220" w:after="100"/>
        <w:rPr>
          <w:color w:val="3465A4"/>
        </w:rPr>
      </w:pPr>
      <w:r>
        <w:rPr>
          <w:rFonts w:eastAsia="Calibri" w:cs="Calibri" w:ascii="Calibri" w:hAnsi="Calibri"/>
          <w:b/>
          <w:bCs/>
          <w:color w:val="3465A4"/>
          <w:sz w:val="22"/>
          <w:szCs w:val="22"/>
        </w:rPr>
        <w:t>4.1 Storefront Pages (per brand)</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Home  hero introduction, services overview, featured work, testimonials, call to action</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Services  full list of what each business offers, described in the client's terms</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Portfolio  gallery of past work, organised by category</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Book a Site Visit / Request a Quote  a short form capturing what's needed, when, and where</w:t>
      </w:r>
    </w:p>
    <w:p>
      <w:pPr>
        <w:pStyle w:val="Heading2"/>
        <w:spacing w:before="220" w:after="100"/>
        <w:rPr>
          <w:color w:val="3465A4"/>
        </w:rPr>
      </w:pPr>
      <w:r>
        <w:rPr>
          <w:rFonts w:eastAsia="Calibri" w:cs="Calibri" w:ascii="Calibri" w:hAnsi="Calibri"/>
          <w:b/>
          <w:bCs/>
          <w:color w:val="3465A4"/>
          <w:sz w:val="22"/>
          <w:szCs w:val="22"/>
        </w:rPr>
        <w:t>4.2 Distinct Brand Identity, One Codebase</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Each brand has its own logo, colour palette and content, defined in one configuration file per brand</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Shared components (page layout, forms, navigation) render identically in structure but differently in look, per brand</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Updating a shared feature (e.g. the booking form) updates both storefronts at once  no duplicated work</w:t>
      </w:r>
    </w:p>
    <w:p>
      <w:pPr>
        <w:pStyle w:val="Heading2"/>
        <w:spacing w:before="220" w:after="100"/>
        <w:rPr>
          <w:color w:val="3465A4"/>
        </w:rPr>
      </w:pPr>
      <w:r>
        <w:rPr>
          <w:rFonts w:eastAsia="Calibri" w:cs="Calibri" w:ascii="Calibri" w:hAnsi="Calibri"/>
          <w:b/>
          <w:bCs/>
          <w:color w:val="3465A4"/>
          <w:sz w:val="22"/>
          <w:szCs w:val="22"/>
        </w:rPr>
        <w:t>4.3 Cross-Sell Between Branding and Signage</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Every branding page includes a “Need signage too?” panel linking to the signage site, and vice versa</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Framed as a natural extension of service, not a hard sell  keeping each brand's identity intact</w:t>
      </w:r>
    </w:p>
    <w:p>
      <w:pPr>
        <w:pStyle w:val="Heading2"/>
        <w:spacing w:before="220" w:after="100"/>
        <w:rPr>
          <w:color w:val="3465A4"/>
        </w:rPr>
      </w:pPr>
      <w:r>
        <w:rPr>
          <w:rFonts w:eastAsia="Calibri" w:cs="Calibri" w:ascii="Calibri" w:hAnsi="Calibri"/>
          <w:b/>
          <w:bCs/>
          <w:color w:val="3465A4"/>
          <w:sz w:val="22"/>
          <w:szCs w:val="22"/>
        </w:rPr>
        <w:t>4.4 Enquiry &amp; Lead Capture</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Quote/site-visit requests are captured with contact details, service needed, preferred date and location</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Every submission is tagged by which brand it came from and stored centrally, ready for the team to follow up</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Structured so a submitted enquiry can be turned into a task inside our existing internal sourcing platform with one step  closing the loop from public enquiry to internal fulfilment</w:t>
      </w:r>
    </w:p>
    <w:p>
      <w:pPr>
        <w:pStyle w:val="Heading2"/>
        <w:spacing w:before="220" w:after="100"/>
        <w:rPr>
          <w:color w:val="3465A4"/>
        </w:rPr>
      </w:pPr>
      <w:r>
        <w:rPr>
          <w:rFonts w:eastAsia="Calibri" w:cs="Calibri" w:ascii="Calibri" w:hAnsi="Calibri"/>
          <w:b/>
          <w:bCs/>
          <w:color w:val="3465A4"/>
          <w:sz w:val="22"/>
          <w:szCs w:val="22"/>
        </w:rPr>
        <w:t>4.5 TouchGiftShop Connection</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Every page links out to TouchGiftShop, positioned as the next step for a client who wants to go beyond sourcing and branding, into gifting</w:t>
      </w:r>
    </w:p>
    <w:p>
      <w:pPr>
        <w:pStyle w:val="Heading2"/>
        <w:spacing w:before="220" w:after="100"/>
        <w:rPr>
          <w:color w:val="3465A4"/>
        </w:rPr>
      </w:pPr>
      <w:r>
        <w:rPr>
          <w:rFonts w:eastAsia="Calibri" w:cs="Calibri" w:ascii="Calibri" w:hAnsi="Calibri"/>
          <w:b/>
          <w:bCs/>
          <w:color w:val="3465A4"/>
          <w:sz w:val="22"/>
          <w:szCs w:val="22"/>
        </w:rPr>
        <w:t>4.6 Mobile Experience</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Installable on a phone home screen like a normal app (Progressive Web App), matching our other Touchline platforms</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Bottom navigation bar for one-thumb use in the field or on the go</w:t>
      </w:r>
    </w:p>
    <w:p>
      <w:pPr>
        <w:pStyle w:val="Heading2"/>
        <w:spacing w:before="220" w:after="100"/>
        <w:rPr>
          <w:color w:val="3465A4"/>
        </w:rPr>
      </w:pPr>
      <w:r>
        <w:rPr>
          <w:rFonts w:eastAsia="Calibri" w:cs="Calibri" w:ascii="Calibri" w:hAnsi="Calibri"/>
          <w:b/>
          <w:bCs/>
          <w:color w:val="3465A4"/>
          <w:sz w:val="22"/>
          <w:szCs w:val="22"/>
        </w:rPr>
        <w:t>4.7 Admin Enquiries Dashboard &amp; Task Hand-off (New)</w:t>
      </w:r>
    </w:p>
    <w:p>
      <w:pPr>
        <w:pStyle w:val="Normal"/>
        <w:spacing w:lineRule="auto" w:line="276" w:before="0" w:after="140"/>
        <w:rPr>
          <w:color w:val="3465A4"/>
        </w:rPr>
      </w:pPr>
      <w:r>
        <w:rPr>
          <w:rFonts w:eastAsia="Calibri" w:cs="Calibri" w:ascii="Calibri" w:hAnsi="Calibri"/>
          <w:color w:val="3465A4"/>
          <w:sz w:val="21"/>
          <w:szCs w:val="21"/>
        </w:rPr>
        <w:t>Collecting enquiries is only useful if someone can act on them. This module gives the team a private screen to review what's come in and, when it's worth acting on, send it straight into our internal sourcing workflow  without retyping anything.</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Private sign-in: Staff sign in with their company Google account, same as our other Touchline platforms. Access is controlled by an approved-email list  no separate password to manage, and no public sign-up.</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One screen, every enquiry: See every quote/site-visit request from both Branding and Signage in one place, filterable by brand and by status (New, Contacted, Converted, Closed).</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Convert to Task: When an enquiry is worth pursuing, one click turns it into a real task on our internal sourcing platform  carrying over the client's name, phone, email, service requested, preferred date, and any notes, so the field team picks it up with full context.</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Spam stays out of the workflow: Conversion is a deliberate staff action, not automatic  so a bot-submitted or junk enquiry never becomes a task cluttering the sourcing board.</w:t>
      </w:r>
    </w:p>
    <w:p>
      <w:pPr>
        <w:pStyle w:val="Heading1"/>
        <w:pBdr>
          <w:bottom w:val="single" w:sz="6" w:space="4" w:color="1F3864"/>
        </w:pBdr>
        <w:spacing w:before="320" w:after="140"/>
        <w:rPr>
          <w:color w:val="3465A4"/>
        </w:rPr>
      </w:pPr>
      <w:r>
        <w:rPr>
          <w:rFonts w:eastAsia="Calibri" w:cs="Calibri" w:ascii="Calibri" w:hAnsi="Calibri"/>
          <w:b/>
          <w:bCs/>
          <w:color w:val="3465A4"/>
          <w:sz w:val="26"/>
          <w:szCs w:val="26"/>
        </w:rPr>
        <w:t>5. Technology In Use</w:t>
      </w:r>
    </w:p>
    <w:tbl>
      <w:tblPr>
        <w:tblW w:w="10080" w:type="dxa"/>
        <w:jc w:val="start"/>
        <w:tblInd w:w="0" w:type="dxa"/>
        <w:tblLayout w:type="fixed"/>
        <w:tblCellMar>
          <w:top w:w="80" w:type="dxa"/>
          <w:start w:w="100" w:type="dxa"/>
          <w:bottom w:w="80" w:type="dxa"/>
          <w:end w:w="100" w:type="dxa"/>
        </w:tblCellMar>
      </w:tblPr>
      <w:tblGrid>
        <w:gridCol w:w="2599"/>
        <w:gridCol w:w="7481"/>
      </w:tblGrid>
      <w:tr>
        <w:trPr>
          <w:tblHeader w:val="true"/>
        </w:trPr>
        <w:tc>
          <w:tcPr>
            <w:tcW w:w="2599"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color w:val="3465A4"/>
              </w:rPr>
            </w:pPr>
            <w:r>
              <w:rPr>
                <w:rFonts w:eastAsia="Calibri" w:cs="Calibri" w:ascii="Calibri" w:hAnsi="Calibri"/>
                <w:b/>
                <w:bCs/>
                <w:color w:val="3465A4"/>
                <w:sz w:val="20"/>
                <w:szCs w:val="20"/>
              </w:rPr>
              <w:t>Layer</w:t>
            </w:r>
          </w:p>
        </w:tc>
        <w:tc>
          <w:tcPr>
            <w:tcW w:w="7481"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color w:val="3465A4"/>
              </w:rPr>
            </w:pPr>
            <w:r>
              <w:rPr>
                <w:rFonts w:eastAsia="Calibri" w:cs="Calibri" w:ascii="Calibri" w:hAnsi="Calibri"/>
                <w:b/>
                <w:bCs/>
                <w:color w:val="3465A4"/>
                <w:sz w:val="20"/>
                <w:szCs w:val="20"/>
              </w:rPr>
              <w:t>Technology in use</w:t>
            </w:r>
          </w:p>
        </w:tc>
      </w:tr>
      <w:tr>
        <w:trPr/>
        <w:tc>
          <w:tcPr>
            <w:tcW w:w="25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Frontend (Web + Mobile)</w:t>
            </w:r>
          </w:p>
        </w:tc>
        <w:tc>
          <w:tcPr>
            <w:tcW w:w="748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Next.js (React), built as a Progressive Web App  one codebase serves all three addresses and is installable on employees' and clients' phones.</w:t>
            </w:r>
          </w:p>
        </w:tc>
      </w:tr>
      <w:tr>
        <w:trPr/>
        <w:tc>
          <w:tcPr>
            <w:tcW w:w="2599" w:type="dxa"/>
            <w:tcBorders>
              <w:top w:val="single" w:sz="4" w:space="0" w:color="000000"/>
              <w:start w:val="single" w:sz="4" w:space="0" w:color="000000"/>
              <w:bottom w:val="single" w:sz="4" w:space="0" w:color="000000"/>
              <w:end w:val="single" w:sz="4" w:space="0" w:color="000000"/>
            </w:tcBorders>
            <w:shd w:color="auto" w:fill="EAF1FA" w:val="clear"/>
          </w:tcPr>
          <w:p>
            <w:pPr>
              <w:pStyle w:val="Normal"/>
              <w:jc w:val="start"/>
              <w:rPr>
                <w:color w:val="3465A4"/>
              </w:rPr>
            </w:pPr>
            <w:r>
              <w:rPr>
                <w:rFonts w:eastAsia="Calibri" w:cs="Calibri" w:ascii="Calibri" w:hAnsi="Calibri"/>
                <w:b w:val="false"/>
                <w:bCs w:val="false"/>
                <w:color w:val="3465A4"/>
                <w:sz w:val="20"/>
                <w:szCs w:val="20"/>
              </w:rPr>
              <w:t>Brand routing</w:t>
            </w:r>
          </w:p>
        </w:tc>
        <w:tc>
          <w:tcPr>
            <w:tcW w:w="7481" w:type="dxa"/>
            <w:tcBorders>
              <w:top w:val="single" w:sz="4" w:space="0" w:color="000000"/>
              <w:start w:val="single" w:sz="4" w:space="0" w:color="000000"/>
              <w:bottom w:val="single" w:sz="4" w:space="0" w:color="000000"/>
              <w:end w:val="single" w:sz="4" w:space="0" w:color="000000"/>
            </w:tcBorders>
            <w:shd w:color="auto" w:fill="EAF1FA" w:val="clear"/>
          </w:tcPr>
          <w:p>
            <w:pPr>
              <w:pStyle w:val="Normal"/>
              <w:jc w:val="start"/>
              <w:rPr>
                <w:color w:val="3465A4"/>
              </w:rPr>
            </w:pPr>
            <w:r>
              <w:rPr>
                <w:rFonts w:eastAsia="Calibri" w:cs="Calibri" w:ascii="Calibri" w:hAnsi="Calibri"/>
                <w:b w:val="false"/>
                <w:bCs w:val="false"/>
                <w:color w:val="3465A4"/>
                <w:sz w:val="20"/>
                <w:szCs w:val="20"/>
              </w:rPr>
              <w:t>Middleware reads the visitor's address and selects the correct brand configuration  no duplicate pages or codebases.</w:t>
            </w:r>
          </w:p>
        </w:tc>
      </w:tr>
      <w:tr>
        <w:trPr/>
        <w:tc>
          <w:tcPr>
            <w:tcW w:w="25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Backend / API</w:t>
            </w:r>
          </w:p>
        </w:tc>
        <w:tc>
          <w:tcPr>
            <w:tcW w:w="748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Next.js API routes (Node.js)  handles enquiry submissions and validation.</w:t>
            </w:r>
          </w:p>
        </w:tc>
      </w:tr>
      <w:tr>
        <w:trPr/>
        <w:tc>
          <w:tcPr>
            <w:tcW w:w="2599" w:type="dxa"/>
            <w:tcBorders>
              <w:top w:val="single" w:sz="4" w:space="0" w:color="000000"/>
              <w:start w:val="single" w:sz="4" w:space="0" w:color="000000"/>
              <w:bottom w:val="single" w:sz="4" w:space="0" w:color="000000"/>
              <w:end w:val="single" w:sz="4" w:space="0" w:color="000000"/>
            </w:tcBorders>
            <w:shd w:color="auto" w:fill="EAF1FA" w:val="clear"/>
          </w:tcPr>
          <w:p>
            <w:pPr>
              <w:pStyle w:val="Normal"/>
              <w:jc w:val="start"/>
              <w:rPr>
                <w:color w:val="3465A4"/>
              </w:rPr>
            </w:pPr>
            <w:r>
              <w:rPr>
                <w:rFonts w:eastAsia="Calibri" w:cs="Calibri" w:ascii="Calibri" w:hAnsi="Calibri"/>
                <w:b w:val="false"/>
                <w:bCs w:val="false"/>
                <w:color w:val="3465A4"/>
                <w:sz w:val="20"/>
                <w:szCs w:val="20"/>
              </w:rPr>
              <w:t>Database</w:t>
            </w:r>
          </w:p>
        </w:tc>
        <w:tc>
          <w:tcPr>
            <w:tcW w:w="7481" w:type="dxa"/>
            <w:tcBorders>
              <w:top w:val="single" w:sz="4" w:space="0" w:color="000000"/>
              <w:start w:val="single" w:sz="4" w:space="0" w:color="000000"/>
              <w:bottom w:val="single" w:sz="4" w:space="0" w:color="000000"/>
              <w:end w:val="single" w:sz="4" w:space="0" w:color="000000"/>
            </w:tcBorders>
            <w:shd w:color="auto" w:fill="EAF1FA" w:val="clear"/>
          </w:tcPr>
          <w:p>
            <w:pPr>
              <w:pStyle w:val="Normal"/>
              <w:jc w:val="start"/>
              <w:rPr>
                <w:color w:val="3465A4"/>
              </w:rPr>
            </w:pPr>
            <w:r>
              <w:rPr>
                <w:rFonts w:eastAsia="Calibri" w:cs="Calibri" w:ascii="Calibri" w:hAnsi="Calibri"/>
                <w:b w:val="false"/>
                <w:bCs w:val="false"/>
                <w:color w:val="3465A4"/>
                <w:sz w:val="20"/>
                <w:szCs w:val="20"/>
              </w:rPr>
              <w:t>Supabase (PostgreSQL)  same production-grade database technology as our other Touchline platforms.</w:t>
            </w:r>
          </w:p>
        </w:tc>
      </w:tr>
      <w:tr>
        <w:trPr/>
        <w:tc>
          <w:tcPr>
            <w:tcW w:w="25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Hosting</w:t>
            </w:r>
          </w:p>
        </w:tc>
        <w:tc>
          <w:tcPr>
            <w:tcW w:w="748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color w:val="3465A4"/>
              </w:rPr>
            </w:pPr>
            <w:r>
              <w:rPr>
                <w:rFonts w:eastAsia="Calibri" w:cs="Calibri" w:ascii="Calibri" w:hAnsi="Calibri"/>
                <w:b w:val="false"/>
                <w:bCs w:val="false"/>
                <w:color w:val="3465A4"/>
                <w:sz w:val="20"/>
                <w:szCs w:val="20"/>
              </w:rPr>
              <w:t>Deployable to Vercel, with all three addresses pointed at one deployment.</w:t>
            </w:r>
          </w:p>
        </w:tc>
      </w:tr>
    </w:tbl>
    <w:p>
      <w:pPr>
        <w:pStyle w:val="Heading1"/>
        <w:pBdr>
          <w:bottom w:val="single" w:sz="6" w:space="4" w:color="1F3864"/>
        </w:pBdr>
        <w:spacing w:before="320" w:after="140"/>
        <w:rPr>
          <w:color w:val="3465A4"/>
        </w:rPr>
      </w:pPr>
      <w:r>
        <w:rPr>
          <w:rFonts w:eastAsia="Calibri" w:cs="Calibri" w:ascii="Calibri" w:hAnsi="Calibri"/>
          <w:b/>
          <w:bCs/>
          <w:color w:val="3465A4"/>
          <w:sz w:val="26"/>
          <w:szCs w:val="26"/>
        </w:rPr>
        <w:t>6</w:t>
      </w:r>
      <w:r>
        <w:rPr>
          <w:rFonts w:eastAsia="Calibri" w:cs="Calibri" w:ascii="Calibri" w:hAnsi="Calibri"/>
          <w:b/>
          <w:bCs/>
          <w:color w:val="3465A4"/>
          <w:sz w:val="26"/>
          <w:szCs w:val="26"/>
        </w:rPr>
        <w:t>. Expected Benefits</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A professional public presence for both businesses, reachable by clients who don't yet have a phone contact for us</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Quotes and site visits requested in a consistent format, instead of scattered across calls and chat messages</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Each business keeps its own identity and audience, while quietly benefiting from the other's traffic</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One platform to maintain instead of two, at a fraction of the ongoing cost and time</w:t>
      </w:r>
    </w:p>
    <w:p>
      <w:pPr>
        <w:pStyle w:val="ListParagraph"/>
        <w:numPr>
          <w:ilvl w:val="0"/>
          <w:numId w:val="1"/>
        </w:numPr>
        <w:spacing w:lineRule="auto" w:line="264" w:before="0" w:after="80"/>
        <w:rPr>
          <w:color w:val="3465A4"/>
        </w:rPr>
      </w:pPr>
      <w:r>
        <w:rPr>
          <w:rFonts w:eastAsia="Calibri" w:cs="Calibri" w:ascii="Calibri" w:hAnsi="Calibri"/>
          <w:color w:val="3465A4"/>
          <w:sz w:val="21"/>
          <w:szCs w:val="21"/>
        </w:rPr>
        <w:t>A visible, connected story across sourcing, branding, signage and gifting  the full Touchline offering in one journey</w:t>
      </w:r>
    </w:p>
    <w:p>
      <w:pPr>
        <w:pStyle w:val="Heading1"/>
        <w:pBdr>
          <w:bottom w:val="single" w:sz="6" w:space="4" w:color="1F3864"/>
        </w:pBdr>
        <w:spacing w:before="320" w:after="140"/>
        <w:rPr>
          <w:rFonts w:ascii="Calibri" w:hAnsi="Calibri" w:eastAsia="Calibri" w:cs="Calibri"/>
          <w:b/>
          <w:bCs/>
          <w:sz w:val="21"/>
          <w:szCs w:val="21"/>
        </w:rPr>
      </w:pPr>
      <w:r>
        <w:rPr>
          <w:color w:val="3465A4"/>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LibreOffice/26.2.4.2$Linux_X86_64 LibreOffice_project/620$Build-2</Application>
  <AppVersion>15.0000</AppVersion>
  <Pages>3</Pages>
  <Words>1135</Words>
  <Characters>6186</Characters>
  <CharactersWithSpaces>7245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2026-08-15T12:21:02Z</dcterms:created>
  <dc:creator>Un-named</dc:creator>
  <dc:description/>
  <dc:language>en-US</dc:language>
  <cp:lastModifiedBy/>
  <dcterms:modified xsi:type="dcterms:W3CDTF">2026-08-20T14:57:58Z</dcterms:modified>
  <cp:revision>3</cp:revision>
  <dc:subject/>
  <dc:title/>
</cp:coreProperties>
</file>