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9543D" w14:textId="77777777" w:rsidR="004D1A15" w:rsidRDefault="004D1A15" w:rsidP="001E1946">
      <w:pPr>
        <w:rPr>
          <w:b/>
        </w:rPr>
      </w:pPr>
      <w:r>
        <w:rPr>
          <w:b/>
        </w:rPr>
        <w:t>Supplementary Information</w:t>
      </w:r>
    </w:p>
    <w:p w14:paraId="18719F73" w14:textId="77777777" w:rsidR="004D1A15" w:rsidRPr="00B9084C" w:rsidRDefault="004D1A15" w:rsidP="001E1946">
      <w:pPr>
        <w:spacing w:after="0"/>
        <w:rPr>
          <w:b/>
          <w:bCs/>
          <w:sz w:val="28"/>
          <w:szCs w:val="28"/>
        </w:rPr>
      </w:pPr>
      <w:r>
        <w:t>Supplementary information for “B</w:t>
      </w:r>
      <w:r w:rsidRPr="00B9084C">
        <w:rPr>
          <w:szCs w:val="24"/>
        </w:rPr>
        <w:t xml:space="preserve">leeding with concomitant ibrutinib and oral anticoagulant therapy: a </w:t>
      </w:r>
      <w:r>
        <w:rPr>
          <w:szCs w:val="24"/>
        </w:rPr>
        <w:t>population-based</w:t>
      </w:r>
      <w:r w:rsidRPr="00B9084C">
        <w:rPr>
          <w:szCs w:val="24"/>
        </w:rPr>
        <w:t xml:space="preserve"> cohort study</w:t>
      </w:r>
      <w:r>
        <w:t>” by Neil Dhopeshwarkar</w:t>
      </w:r>
      <w:r>
        <w:rPr>
          <w:vertAlign w:val="superscript"/>
        </w:rPr>
        <w:t>1,2</w:t>
      </w:r>
      <w:r>
        <w:t>*, Wei Yang</w:t>
      </w:r>
      <w:r>
        <w:rPr>
          <w:vertAlign w:val="superscript"/>
        </w:rPr>
        <w:t>1,2</w:t>
      </w:r>
      <w:r>
        <w:t>, Sean Hennessy</w:t>
      </w:r>
      <w:r>
        <w:rPr>
          <w:vertAlign w:val="superscript"/>
        </w:rPr>
        <w:t>1,2</w:t>
      </w:r>
      <w:r>
        <w:t>, Joanna M. Rhodes</w:t>
      </w:r>
      <w:r>
        <w:rPr>
          <w:vertAlign w:val="superscript"/>
        </w:rPr>
        <w:t>3</w:t>
      </w:r>
      <w:r>
        <w:t>, Adam Cuker</w:t>
      </w:r>
      <w:r>
        <w:rPr>
          <w:vertAlign w:val="superscript"/>
        </w:rPr>
        <w:t>4,5</w:t>
      </w:r>
      <w:r>
        <w:t>, and Charles E. Leonard</w:t>
      </w:r>
      <w:r>
        <w:rPr>
          <w:vertAlign w:val="superscript"/>
        </w:rPr>
        <w:t>1,2</w:t>
      </w:r>
    </w:p>
    <w:p w14:paraId="59FEB8D8" w14:textId="77777777" w:rsidR="004D1A15" w:rsidRDefault="004D1A15" w:rsidP="001E1946">
      <w:pPr>
        <w:spacing w:after="0"/>
      </w:pPr>
    </w:p>
    <w:p w14:paraId="1C062DE8" w14:textId="77777777" w:rsidR="004D1A15" w:rsidRDefault="004D1A15" w:rsidP="00ED578D">
      <w:pPr>
        <w:pStyle w:val="ListParagraph"/>
        <w:numPr>
          <w:ilvl w:val="0"/>
          <w:numId w:val="3"/>
        </w:numPr>
        <w:spacing w:after="0" w:line="360" w:lineRule="auto"/>
      </w:pPr>
      <w:r w:rsidRPr="00D86334">
        <w:t xml:space="preserve">Center for </w:t>
      </w:r>
      <w:r>
        <w:t>Real-world Effectiveness and Safety of Therapeutics and the</w:t>
      </w:r>
      <w:r w:rsidRPr="00D86334">
        <w:t xml:space="preserve"> </w:t>
      </w:r>
      <w:r>
        <w:t>Center for Clinical Epidemiology and Biostatistics</w:t>
      </w:r>
      <w:r w:rsidRPr="00D86334">
        <w:t>, Perelman School of Medicine, University of Pennsylvania (Philadelphia, Pennsylvania</w:t>
      </w:r>
      <w:r>
        <w:t>, US</w:t>
      </w:r>
      <w:r w:rsidRPr="00D86334">
        <w:t>)</w:t>
      </w:r>
    </w:p>
    <w:p w14:paraId="341BE54A" w14:textId="77777777" w:rsidR="004D1A15" w:rsidRDefault="004D1A15" w:rsidP="00ED578D">
      <w:pPr>
        <w:pStyle w:val="ListParagraph"/>
        <w:numPr>
          <w:ilvl w:val="0"/>
          <w:numId w:val="3"/>
        </w:numPr>
        <w:spacing w:after="0" w:line="360" w:lineRule="auto"/>
      </w:pPr>
      <w:r>
        <w:t>Department of Biostatistics, Epidemiology, and Informatics, Perelman School of Medicine, University of Pennsylvania (</w:t>
      </w:r>
      <w:r w:rsidRPr="00D86334">
        <w:t>Philadelphia, Pennsylvania</w:t>
      </w:r>
      <w:r>
        <w:t>, US)</w:t>
      </w:r>
    </w:p>
    <w:p w14:paraId="2D3810B7" w14:textId="77777777" w:rsidR="004D1A15" w:rsidRDefault="004D1A15" w:rsidP="00ED578D">
      <w:pPr>
        <w:pStyle w:val="ListParagraph"/>
        <w:numPr>
          <w:ilvl w:val="0"/>
          <w:numId w:val="3"/>
        </w:numPr>
        <w:spacing w:after="0" w:line="360" w:lineRule="auto"/>
      </w:pPr>
      <w:r>
        <w:t>Division of Hematology/Medical Oncology, Department of Medicine, Northwell Health (New Hyde Park, New York, US)</w:t>
      </w:r>
    </w:p>
    <w:p w14:paraId="5AE6053C" w14:textId="77777777" w:rsidR="004D1A15" w:rsidRDefault="004D1A15" w:rsidP="00ED578D">
      <w:pPr>
        <w:pStyle w:val="ListParagraph"/>
        <w:numPr>
          <w:ilvl w:val="0"/>
          <w:numId w:val="3"/>
        </w:numPr>
        <w:spacing w:after="0" w:line="360" w:lineRule="auto"/>
      </w:pPr>
      <w:r>
        <w:t>Department of Medicine, Perelman School of Medicine, University of Pennsylvania (Philadelphia, Pennsylvania, US)</w:t>
      </w:r>
    </w:p>
    <w:p w14:paraId="4563B6F2" w14:textId="77777777" w:rsidR="004D1A15" w:rsidRDefault="004D1A15" w:rsidP="00ED578D">
      <w:pPr>
        <w:pStyle w:val="ListParagraph"/>
        <w:numPr>
          <w:ilvl w:val="0"/>
          <w:numId w:val="3"/>
        </w:numPr>
        <w:spacing w:line="360" w:lineRule="auto"/>
      </w:pPr>
      <w:r>
        <w:t>Department of Pathology and Laboratory Medicine, Perelman School of Medicine, University of Pennsylvania (Philadelphia, Pennsylvania, US)</w:t>
      </w:r>
    </w:p>
    <w:p w14:paraId="1D6E4E30" w14:textId="77777777" w:rsidR="004D1A15" w:rsidRPr="00314782" w:rsidRDefault="004D1A15" w:rsidP="001E1946">
      <w:pPr>
        <w:spacing w:after="0"/>
      </w:pPr>
    </w:p>
    <w:p w14:paraId="2BBA4CF9" w14:textId="77777777" w:rsidR="004D1A15" w:rsidRDefault="004D1A15" w:rsidP="001E1946">
      <w:pPr>
        <w:spacing w:after="0"/>
      </w:pPr>
      <w:r w:rsidRPr="00314782">
        <w:t>*Corresponding author</w:t>
      </w:r>
    </w:p>
    <w:p w14:paraId="2527B584" w14:textId="77777777" w:rsidR="004D1A15" w:rsidRPr="00005F42" w:rsidRDefault="004D1A15">
      <w:r>
        <w:br w:type="page"/>
      </w:r>
    </w:p>
    <w:p w14:paraId="7F6B403F" w14:textId="77777777" w:rsidR="004D1A15" w:rsidRDefault="004D1A15" w:rsidP="004C438B">
      <w:pPr>
        <w:rPr>
          <w:rFonts w:cs="Times New Roman"/>
          <w:b/>
          <w:bCs/>
          <w:szCs w:val="24"/>
        </w:rPr>
      </w:pPr>
      <w:r w:rsidRPr="004C438B">
        <w:rPr>
          <w:rFonts w:cs="Times New Roman"/>
          <w:b/>
          <w:bCs/>
          <w:szCs w:val="24"/>
        </w:rPr>
        <w:lastRenderedPageBreak/>
        <w:t>1.</w:t>
      </w:r>
      <w:r>
        <w:rPr>
          <w:rFonts w:cs="Times New Roman"/>
          <w:b/>
          <w:bCs/>
          <w:szCs w:val="24"/>
        </w:rPr>
        <w:t xml:space="preserve"> Supplemental Methods</w:t>
      </w:r>
    </w:p>
    <w:p w14:paraId="508CB309" w14:textId="77777777" w:rsidR="004D1A15" w:rsidRDefault="004D1A15" w:rsidP="00AF62EA">
      <w:pPr>
        <w:spacing w:after="0" w:line="480" w:lineRule="auto"/>
      </w:pPr>
      <w:r>
        <w:rPr>
          <w:rFonts w:cs="Times New Roman"/>
          <w:i/>
          <w:iCs/>
          <w:szCs w:val="24"/>
        </w:rPr>
        <w:t>1.1 Data source.</w:t>
      </w:r>
      <w:r>
        <w:rPr>
          <w:rFonts w:cs="Times New Roman"/>
          <w:szCs w:val="24"/>
        </w:rPr>
        <w:t xml:space="preserve"> </w:t>
      </w:r>
      <w:r>
        <w:t>Optum’s de-</w:t>
      </w:r>
      <w:r w:rsidRPr="00495EA6">
        <w:rPr>
          <w:rFonts w:cs="Times New Roman"/>
          <w:szCs w:val="24"/>
        </w:rPr>
        <w:t xml:space="preserve">identified </w:t>
      </w:r>
      <w:proofErr w:type="spellStart"/>
      <w:r w:rsidRPr="00495EA6">
        <w:rPr>
          <w:rFonts w:cs="Times New Roman"/>
          <w:szCs w:val="24"/>
        </w:rPr>
        <w:t>Clinformatics</w:t>
      </w:r>
      <w:proofErr w:type="spellEnd"/>
      <w:r w:rsidRPr="00495EA6">
        <w:rPr>
          <w:rFonts w:cs="Times New Roman"/>
          <w:szCs w:val="24"/>
          <w:vertAlign w:val="superscript"/>
        </w:rPr>
        <w:t>®</w:t>
      </w:r>
      <w:r w:rsidRPr="00495EA6">
        <w:rPr>
          <w:rFonts w:cs="Times New Roman"/>
          <w:szCs w:val="24"/>
        </w:rPr>
        <w:t xml:space="preserve"> Data Mart</w:t>
      </w:r>
      <w:r>
        <w:t xml:space="preserve"> includes health insurance data on &gt;80 million commercially-insured and Medicare Advantage beneficiaries of a large US-based health plan. Optum </w:t>
      </w:r>
      <w:proofErr w:type="spellStart"/>
      <w:r>
        <w:t>Clinformatics</w:t>
      </w:r>
      <w:proofErr w:type="spellEnd"/>
      <w:r w:rsidRPr="00495EA6">
        <w:rPr>
          <w:rFonts w:cs="Times New Roman"/>
          <w:szCs w:val="24"/>
          <w:vertAlign w:val="superscript"/>
        </w:rPr>
        <w:t>®</w:t>
      </w:r>
      <w:r>
        <w:t xml:space="preserve"> includes demographic and enrollment information, medical claims for inpatient and outpatient care, and pharmacy claims for drugs dispensed in the outpatient care setting.</w:t>
      </w:r>
    </w:p>
    <w:p w14:paraId="40BD4DBD" w14:textId="77777777" w:rsidR="004D1A15" w:rsidRDefault="004D1A15" w:rsidP="00AF62EA">
      <w:pPr>
        <w:spacing w:after="0" w:line="480" w:lineRule="auto"/>
      </w:pPr>
      <w:r>
        <w:rPr>
          <w:i/>
          <w:iCs/>
        </w:rPr>
        <w:br/>
        <w:t>1.2 Incident co-exposure definition.</w:t>
      </w:r>
      <w:r>
        <w:t xml:space="preserve"> Individuals entered the cohort by 1) initiating cancer therapy (ibrutinib or BR) during OAC therapy (warfarin, rivaroxaban, apixaban, dabigatran, or </w:t>
      </w:r>
      <w:proofErr w:type="spellStart"/>
      <w:r>
        <w:t>edoxaban</w:t>
      </w:r>
      <w:proofErr w:type="spellEnd"/>
      <w:r>
        <w:t xml:space="preserve">), i.e., cancer therapy-triggered cohort entry, 2) initiating an OAC during cancer therapy, i.e., OAC-triggered cohort entry, or 3) initiating cancer therapy and an OAC on the same day, i.e., synchronous-triggered cohort entry (Supplementary Figure 1). The date of incident co-exposure served as the index date, and individuals were required to have a preceding 6-month baseline period devoid of 1) ibrutinib dispensing (in ibrutinib users) or </w:t>
      </w:r>
      <w:proofErr w:type="spellStart"/>
      <w:r>
        <w:t>bendamustine</w:t>
      </w:r>
      <w:proofErr w:type="spellEnd"/>
      <w:r>
        <w:t xml:space="preserve"> administration (in BR users) for cancer therapy-triggered cohort entry individuals, 2) OAC dispensing for OAC-triggered cohort entry individuals, or 3) both for synchronous-triggered cohort entry individuals. We allowed rituximab administrations during the baseline period, as rituximab may be used as part of other cancer therapy regimens or for other medical conditions.</w:t>
      </w:r>
    </w:p>
    <w:p w14:paraId="395C33F6" w14:textId="77777777" w:rsidR="004D1A15" w:rsidRDefault="004D1A15" w:rsidP="00AF62EA">
      <w:pPr>
        <w:spacing w:after="0" w:line="480" w:lineRule="auto"/>
        <w:rPr>
          <w:i/>
          <w:iCs/>
        </w:rPr>
      </w:pPr>
    </w:p>
    <w:p w14:paraId="21423837" w14:textId="77777777" w:rsidR="004D1A15" w:rsidRDefault="004D1A15" w:rsidP="00AF62EA">
      <w:pPr>
        <w:spacing w:after="0" w:line="480" w:lineRule="auto"/>
      </w:pPr>
      <w:r>
        <w:rPr>
          <w:i/>
          <w:iCs/>
        </w:rPr>
        <w:t xml:space="preserve">1.3 Inclusion and exclusion criteria. </w:t>
      </w:r>
      <w:r>
        <w:t>We included individuals who were diagnosed with CLL (International Classification of Diseases, 9</w:t>
      </w:r>
      <w:r w:rsidRPr="00F45FEB">
        <w:rPr>
          <w:vertAlign w:val="superscript"/>
        </w:rPr>
        <w:t>th</w:t>
      </w:r>
      <w:r>
        <w:t xml:space="preserve"> Revision, Clinical Modification [ICD-9-CM] 204.1x or ICD-10-CM C91.1x), MCL (ICD-9-CM 200.4x or ICD-10-CM C83.1x), or MZL (ICD-9-CM 200.3x or ICD-10-CM C88.4). For each cancer type, we required at least two any claim-type, any-position diagnosis codes ≥1 day apart preceding the index date. We excluded individuals </w:t>
      </w:r>
      <w:r>
        <w:lastRenderedPageBreak/>
        <w:t xml:space="preserve">with: 1) interruption in insurance plan enrollment during the baseline period; 2) age &lt;18 years on the index date; 3) </w:t>
      </w:r>
      <w:proofErr w:type="spellStart"/>
      <w:r>
        <w:t>bendamustine</w:t>
      </w:r>
      <w:proofErr w:type="spellEnd"/>
      <w:r>
        <w:t xml:space="preserve"> administration within 28 days (the duration of one BR cycle) prior to the index date for ibrutinib + OAC-treated individuals; or 4) ibrutinib dispensing within 7 days (the duration of ibrutinib’s antiplatelet effect observed in </w:t>
      </w:r>
      <w:r>
        <w:rPr>
          <w:i/>
        </w:rPr>
        <w:t>in vitro</w:t>
      </w:r>
      <w:r>
        <w:t xml:space="preserve"> studies)</w:t>
      </w:r>
      <w:r w:rsidRPr="003F4C1C">
        <w:rPr>
          <w:noProof/>
          <w:vertAlign w:val="superscript"/>
        </w:rPr>
        <w:t xml:space="preserve"> 1</w:t>
      </w:r>
      <w:r>
        <w:t xml:space="preserve"> prior to the index date for BR + OAC-treated individuals (Supplementary Figure 2). We included only the first observation meeting inclusion and exclusion criteria, per individual.</w:t>
      </w:r>
    </w:p>
    <w:p w14:paraId="04735347" w14:textId="77777777" w:rsidR="004D1A15" w:rsidRDefault="004D1A15" w:rsidP="00AF62EA">
      <w:pPr>
        <w:spacing w:after="0" w:line="480" w:lineRule="auto"/>
        <w:rPr>
          <w:i/>
          <w:iCs/>
        </w:rPr>
      </w:pPr>
    </w:p>
    <w:p w14:paraId="574E6E3C" w14:textId="77777777" w:rsidR="004D1A15" w:rsidRDefault="004D1A15" w:rsidP="00AF62EA">
      <w:pPr>
        <w:spacing w:after="0" w:line="480" w:lineRule="auto"/>
      </w:pPr>
      <w:r>
        <w:rPr>
          <w:i/>
          <w:iCs/>
        </w:rPr>
        <w:t xml:space="preserve">1.4 Follow-up criteria. </w:t>
      </w:r>
      <w:r w:rsidRPr="00315509">
        <w:t>Follow-up began on the index date and continued until the first occurrence of: 1)</w:t>
      </w:r>
      <w:r>
        <w:t xml:space="preserve"> an </w:t>
      </w:r>
      <w:r w:rsidRPr="00315509">
        <w:t>outcome (defined below</w:t>
      </w:r>
      <w:r>
        <w:t>); 2) a &gt;7-day therapy gap for ibrutinib or &gt;56-day gap between BR administrations (allowing for an up to 28-day delay in a treatment cycle); 3) a &gt;7-day therapy gap for the OAC; 4) a dispensing or administration of an alternative anticancer therapy; 5) a dispensing of an alternative OAC; 6) insurance plan disenrollment; 7) the end of the dataset (February 29, 2020); or 8) day 180 (to account for the differing treatment duration between ibrutinib and BR).</w:t>
      </w:r>
    </w:p>
    <w:p w14:paraId="76E7CA69" w14:textId="77777777" w:rsidR="004D1A15" w:rsidRDefault="004D1A15" w:rsidP="00AF62EA">
      <w:pPr>
        <w:spacing w:after="0" w:line="480" w:lineRule="auto"/>
        <w:rPr>
          <w:i/>
          <w:iCs/>
        </w:rPr>
      </w:pPr>
    </w:p>
    <w:p w14:paraId="354D1D73" w14:textId="77777777" w:rsidR="004D1A15" w:rsidRDefault="004D1A15" w:rsidP="00AF62EA">
      <w:pPr>
        <w:spacing w:after="0" w:line="480" w:lineRule="auto"/>
      </w:pPr>
      <w:r>
        <w:rPr>
          <w:i/>
          <w:iCs/>
        </w:rPr>
        <w:t>1.5 Exposure ascertainment.</w:t>
      </w:r>
      <w:r>
        <w:t xml:space="preserve"> We used National Drug Codes to ascertain ibrutinib and OAC exposure from </w:t>
      </w:r>
      <w:proofErr w:type="spellStart"/>
      <w:r>
        <w:t>dispensings</w:t>
      </w:r>
      <w:proofErr w:type="spellEnd"/>
      <w:r>
        <w:t xml:space="preserve"> in the prescription claims. We used Healthcare Common Procedure Coding System codes and National Drug Codes to ascertain BR exposure from administrations in the inpatient and outpatient medical claims. We chose BR as the active comparator referent as it is a chemoimmunotherapy used in similar settings as ibrutinib in CLL,</w:t>
      </w:r>
      <w:r w:rsidRPr="005939CF">
        <w:rPr>
          <w:noProof/>
          <w:vertAlign w:val="superscript"/>
        </w:rPr>
        <w:t xml:space="preserve"> 2</w:t>
      </w:r>
      <w:r>
        <w:t xml:space="preserve"> and is also used in MCL and MZL.</w:t>
      </w:r>
      <w:r w:rsidRPr="005939CF">
        <w:rPr>
          <w:noProof/>
          <w:vertAlign w:val="superscript"/>
        </w:rPr>
        <w:t xml:space="preserve"> 3</w:t>
      </w:r>
      <w:r>
        <w:t xml:space="preserve"> We considered but decided against newer therapies (e.g., acalabrutinib) as the referent, given uncommon use of these agents during the study period. We considered an individual exposed to BR if they had a rituximab administration on the same day as or within 7 </w:t>
      </w:r>
      <w:r>
        <w:lastRenderedPageBreak/>
        <w:t xml:space="preserve">days before a </w:t>
      </w:r>
      <w:proofErr w:type="spellStart"/>
      <w:r>
        <w:t>bendamustine</w:t>
      </w:r>
      <w:proofErr w:type="spellEnd"/>
      <w:r>
        <w:t xml:space="preserve"> administration. This ensured the capture of individuals who received BR according to the typical administration schedule,</w:t>
      </w:r>
      <w:r w:rsidRPr="005939CF">
        <w:rPr>
          <w:noProof/>
          <w:vertAlign w:val="superscript"/>
        </w:rPr>
        <w:t xml:space="preserve"> 4</w:t>
      </w:r>
      <w:r>
        <w:t xml:space="preserve"> and those with slight variations.</w:t>
      </w:r>
    </w:p>
    <w:p w14:paraId="6A6F8FA1" w14:textId="77777777" w:rsidR="004D1A15" w:rsidRDefault="004D1A15" w:rsidP="00AF62EA">
      <w:pPr>
        <w:spacing w:after="0" w:line="480" w:lineRule="auto"/>
        <w:rPr>
          <w:i/>
          <w:iCs/>
        </w:rPr>
      </w:pPr>
    </w:p>
    <w:p w14:paraId="54E5FEEF" w14:textId="20F34AE2" w:rsidR="004D1A15" w:rsidRDefault="004D1A15" w:rsidP="00AF62EA">
      <w:pPr>
        <w:spacing w:after="0" w:line="480" w:lineRule="auto"/>
      </w:pPr>
      <w:r>
        <w:rPr>
          <w:i/>
          <w:iCs/>
        </w:rPr>
        <w:t>1.6 Outcome ascertainment.</w:t>
      </w:r>
      <w:r>
        <w:t xml:space="preserve"> We identified major bleeds in inpatient claims with a bleeding diagnosis code as the principal discharge diagnosis (indicative of reason for admission), or a bleeding diagnosis code as a secondary discharge diagnosis with a principal discharge diagnosis suggestive of a possible bleed (e.g., gastric ulcer) (Supplementary Table 2). We also used the algorithm to exclude bleeding events caused by major trauma. We identified post-hoc outcomes</w:t>
      </w:r>
      <w:r w:rsidR="003C0625">
        <w:t xml:space="preserve"> (</w:t>
      </w:r>
      <w:r>
        <w:t>provider-diagnosed bleeds</w:t>
      </w:r>
      <w:r w:rsidR="003C0625">
        <w:t>)</w:t>
      </w:r>
      <w:r>
        <w:t xml:space="preserve"> in any-setting claims (inpatient, outpatient, and other) with a bleeding diagnosis code in any claim position (i.e., we expanded the primary and secondary outcome definition to include all claim settings and claim positions).</w:t>
      </w:r>
    </w:p>
    <w:p w14:paraId="167202CC" w14:textId="77777777" w:rsidR="004D1A15" w:rsidRDefault="004D1A15" w:rsidP="00AF62EA">
      <w:pPr>
        <w:spacing w:after="0" w:line="480" w:lineRule="auto"/>
      </w:pPr>
    </w:p>
    <w:p w14:paraId="2EE21C22" w14:textId="77777777" w:rsidR="004D1A15" w:rsidRDefault="004D1A15" w:rsidP="0040045A">
      <w:pPr>
        <w:spacing w:after="0" w:line="480" w:lineRule="auto"/>
      </w:pPr>
      <w:r>
        <w:rPr>
          <w:i/>
          <w:iCs/>
        </w:rPr>
        <w:t>1.7</w:t>
      </w:r>
      <w:r>
        <w:t xml:space="preserve"> </w:t>
      </w:r>
      <w:r>
        <w:rPr>
          <w:i/>
          <w:iCs/>
        </w:rPr>
        <w:t>Statistical analysis.</w:t>
      </w:r>
      <w:r>
        <w:t xml:space="preserve"> For baseline covariates, we used standardized differences to assess covariate balance in the unweighted and weighted cohorts, with an absolute standardized difference of &lt;0.1 as a threshold for adequate balance. We estimated hazard ratios (HRs) using Cox proportional hazards regression, weighted based on stabilized inverse probability of treatment weight (</w:t>
      </w:r>
      <w:proofErr w:type="spellStart"/>
      <w:r>
        <w:t>sIPTW</w:t>
      </w:r>
      <w:proofErr w:type="spellEnd"/>
      <w:r>
        <w:t xml:space="preserve">), and used a robust variance estimator to account for weighting. The model also adjusted for calendar year of cohort entry and any covariates that remained imbalanced after </w:t>
      </w:r>
      <w:proofErr w:type="spellStart"/>
      <w:r>
        <w:t>sIPTW</w:t>
      </w:r>
      <w:proofErr w:type="spellEnd"/>
      <w:r>
        <w:t xml:space="preserve">. We assessed the proportional hazards assumption by including an interaction term of exposure by time since cohort entry in the model. </w:t>
      </w:r>
    </w:p>
    <w:p w14:paraId="335E1DE4" w14:textId="77777777" w:rsidR="004D1A15" w:rsidRDefault="004D1A15" w:rsidP="002311B9">
      <w:pPr>
        <w:spacing w:after="0" w:line="480" w:lineRule="auto"/>
        <w:ind w:firstLine="720"/>
      </w:pPr>
      <w:r>
        <w:t xml:space="preserve">We conducted a pre-specified subgroup analysis by OAC type (direct oral anticoagulant [DOAC] vs. warfarin). In the DOAC subgroup analysis, we adjusted for dose intensity at cohort </w:t>
      </w:r>
      <w:r>
        <w:lastRenderedPageBreak/>
        <w:t>entry and included an additional censoring criterion during follow-up in which individuals were censored on the day of a dose intensity change (Supplementary Table 3).</w:t>
      </w:r>
    </w:p>
    <w:p w14:paraId="3CAD8FFE" w14:textId="77777777" w:rsidR="004D1A15" w:rsidRDefault="004D1A15" w:rsidP="002311B9">
      <w:pPr>
        <w:spacing w:after="0" w:line="480" w:lineRule="auto"/>
        <w:ind w:firstLine="720"/>
      </w:pPr>
      <w:r>
        <w:t>To assess the robustness of our primary findings, we conducted numerous sensitivity analyses including adjustment for cancer type, modification of therapy gaps for ibrutinib, BR, and OACs, and exclusion of individuals with bleeding during the baseline period (Supplementary Table 4).</w:t>
      </w:r>
      <w:r w:rsidRPr="00B167A5">
        <w:t xml:space="preserve"> </w:t>
      </w:r>
      <w:r>
        <w:t>We also calculated the E-value to assess the potential impact of unmeasured confounders,</w:t>
      </w:r>
      <w:r w:rsidRPr="0040045A">
        <w:rPr>
          <w:noProof/>
          <w:vertAlign w:val="superscript"/>
        </w:rPr>
        <w:t xml:space="preserve"> 5</w:t>
      </w:r>
      <w:r>
        <w:t xml:space="preserve"> which is the minimum strength of association, on the risk ratio scale, a potential confounder needs to have with both the exposure and outcome to move the outcome result effect estimate to a null value.</w:t>
      </w:r>
    </w:p>
    <w:p w14:paraId="6979C6C8" w14:textId="77777777" w:rsidR="004D1A15" w:rsidRPr="00322516" w:rsidRDefault="004D1A15" w:rsidP="002311B9">
      <w:pPr>
        <w:spacing w:after="0" w:line="480" w:lineRule="auto"/>
        <w:ind w:firstLine="720"/>
      </w:pPr>
      <w:r>
        <w:t>We also explored effect modification by use of medications that may affect ibrutinib, BR, or OAC metabolism (e.g., cytochrome P450 3A4 [CYP3A4], CYP1A2, P-glycoprotein inhibitors), and by exposure initiation order at cohort entry. Analyses were conducted using SAS v9.4 (SAS Institute Inc.: Cary, NC).</w:t>
      </w:r>
    </w:p>
    <w:p w14:paraId="7FCBD9BE" w14:textId="77777777" w:rsidR="004D1A15" w:rsidRDefault="004D1A15">
      <w:pPr>
        <w:rPr>
          <w:b/>
          <w:bCs/>
        </w:rPr>
      </w:pPr>
      <w:r>
        <w:rPr>
          <w:b/>
          <w:bCs/>
        </w:rPr>
        <w:br w:type="page"/>
      </w:r>
    </w:p>
    <w:p w14:paraId="4A6D4E3A" w14:textId="77777777" w:rsidR="004D1A15" w:rsidRPr="00B93369" w:rsidRDefault="004D1A15" w:rsidP="003F4C1C">
      <w:pPr>
        <w:spacing w:after="0" w:line="480" w:lineRule="auto"/>
        <w:rPr>
          <w:b/>
          <w:bCs/>
        </w:rPr>
      </w:pPr>
      <w:r w:rsidRPr="00B93369">
        <w:rPr>
          <w:b/>
          <w:bCs/>
        </w:rPr>
        <w:lastRenderedPageBreak/>
        <w:t>2. Supplemental Results</w:t>
      </w:r>
    </w:p>
    <w:p w14:paraId="5E5ED8D1" w14:textId="77777777" w:rsidR="004D1A15" w:rsidRDefault="004D1A15" w:rsidP="00E755E5">
      <w:pPr>
        <w:spacing w:after="0" w:line="480" w:lineRule="auto"/>
      </w:pPr>
      <w:r>
        <w:rPr>
          <w:rFonts w:cs="Times New Roman"/>
          <w:i/>
          <w:iCs/>
          <w:szCs w:val="24"/>
        </w:rPr>
        <w:t>2.1 Baseline characteristics.</w:t>
      </w:r>
      <w:r>
        <w:rPr>
          <w:rFonts w:cs="Times New Roman"/>
          <w:szCs w:val="24"/>
        </w:rPr>
        <w:t xml:space="preserve"> In the overall cohort, l</w:t>
      </w:r>
      <w:r>
        <w:t>arge proportions of individuals had baseline diagnoses of hypertension (78.5%), atrial fibrillation (67.8%), renal dysfunction (35.5%), and thrombocytopenia (29.0%). A modest proportion of individuals had bleeding during the baseline period (8.1%). Most ibrutinib-treated individuals (74.4%) received an average daily dose of 420 mg at cohort entry (Supplementary Table 5).</w:t>
      </w:r>
    </w:p>
    <w:p w14:paraId="77B0AA48" w14:textId="77777777" w:rsidR="004D1A15" w:rsidRDefault="004D1A15" w:rsidP="00E755E5">
      <w:pPr>
        <w:spacing w:line="480" w:lineRule="auto"/>
      </w:pPr>
      <w:r>
        <w:tab/>
        <w:t>Among unweighted baseline characteristics, there were differences between ibrutinib + OAC-treated and BR + OAC-treated individuals in CLL diagnosis (89.2% in ibrutinib + OAC vs. 52.4% in BR + OAC), cohort entry year (≥ 2016: 86.7% vs. 71.2%), median age (78 years vs. 73 years), geographic region (East North Central: 17.1% vs. 22.6%; South Atlantic: 28.1% vs. 18.9%), lymphadenopathy (31.5% vs. 55.7%), splenomegaly (12.1% vs. 24.5%), and heparin use (14.8% vs. 32.6%).</w:t>
      </w:r>
    </w:p>
    <w:p w14:paraId="4F817C9F" w14:textId="77777777" w:rsidR="004D1A15" w:rsidRDefault="004D1A15" w:rsidP="00E755E5">
      <w:pPr>
        <w:spacing w:line="480" w:lineRule="auto"/>
        <w:rPr>
          <w:rFonts w:cs="Times New Roman"/>
          <w:i/>
          <w:iCs/>
          <w:szCs w:val="24"/>
        </w:rPr>
      </w:pPr>
    </w:p>
    <w:p w14:paraId="3596D254" w14:textId="77777777" w:rsidR="004D1A15" w:rsidRDefault="004D1A15" w:rsidP="00E755E5">
      <w:pPr>
        <w:spacing w:line="480" w:lineRule="auto"/>
      </w:pPr>
      <w:r>
        <w:rPr>
          <w:rFonts w:cs="Times New Roman"/>
          <w:i/>
          <w:iCs/>
          <w:szCs w:val="24"/>
        </w:rPr>
        <w:t>2.2 Concomitant OAC use.</w:t>
      </w:r>
      <w:r>
        <w:rPr>
          <w:rFonts w:cs="Times New Roman"/>
          <w:szCs w:val="24"/>
        </w:rPr>
        <w:t xml:space="preserve"> </w:t>
      </w:r>
      <w:r>
        <w:t>The majority of ibrutinib + OAC-treated individuals (55.2%) entered the cohort by initiating an OAC while on ibrutinib, i.e., OAC-triggered cohort entry, while the majority of BR + OAC-treated individuals (66.5%) entered the cohort by initiating BR while on an OAC, i.e., cancer therapy-triggered cohort entry. Among DOAC-treated individuals, a greater proportion of ibrutinib + OAC-treated individuals were on a low intensity DOAC (23.1%) compared to BR + OAC-treated individuals (8.0%).</w:t>
      </w:r>
    </w:p>
    <w:p w14:paraId="760FAFF0" w14:textId="77777777" w:rsidR="004D1A15" w:rsidRDefault="004D1A15" w:rsidP="00C17521">
      <w:pPr>
        <w:spacing w:after="0" w:line="480" w:lineRule="auto"/>
        <w:rPr>
          <w:i/>
          <w:iCs/>
        </w:rPr>
      </w:pPr>
    </w:p>
    <w:p w14:paraId="52DD78B5" w14:textId="77777777" w:rsidR="004D1A15" w:rsidRDefault="004D1A15" w:rsidP="00C17521">
      <w:pPr>
        <w:spacing w:after="0" w:line="480" w:lineRule="auto"/>
      </w:pPr>
      <w:r>
        <w:rPr>
          <w:i/>
          <w:iCs/>
        </w:rPr>
        <w:t>2.3</w:t>
      </w:r>
      <w:r>
        <w:t xml:space="preserve"> </w:t>
      </w:r>
      <w:r>
        <w:rPr>
          <w:i/>
          <w:iCs/>
        </w:rPr>
        <w:t>Sensitivity analyses and effect modification.</w:t>
      </w:r>
      <w:r>
        <w:t xml:space="preserve"> The E-value corresponding to the provider-diagnosed bleeding effect estimate was 4.84 (E-value for the lower bound of the 95% CI: 1.81), indicating that an unmeasured confounder would need a risk ratio association of 4.84 with both </w:t>
      </w:r>
      <w:r>
        <w:lastRenderedPageBreak/>
        <w:t xml:space="preserve">the exposure and outcome to move the provider-diagnosed bleeding effect estimate to a null value of 1 (and 1.81 to move the lower bound of the 95% CI to a null value of 1). Results from sensitivity analyses were generally consistent with our provider-diagnosed bleeding findings; the HR ranged from 2.28–2.92 </w:t>
      </w:r>
      <w:r w:rsidRPr="006C7DF3">
        <w:t>(</w:t>
      </w:r>
      <w:r>
        <w:t>Supplementary Table 12</w:t>
      </w:r>
      <w:r w:rsidRPr="006C7DF3">
        <w:t>).</w:t>
      </w:r>
      <w:r>
        <w:t xml:space="preserve"> There was no evidence of effect modification by use of potentially-interacting medications or exposure initiation order at cohort entry (Supplementary Table 13).</w:t>
      </w:r>
    </w:p>
    <w:p w14:paraId="156C8E99" w14:textId="77777777" w:rsidR="004D1A15" w:rsidRDefault="004D1A15">
      <w:pPr>
        <w:rPr>
          <w:b/>
          <w:bCs/>
        </w:rPr>
      </w:pPr>
      <w:r>
        <w:rPr>
          <w:b/>
          <w:bCs/>
        </w:rPr>
        <w:br w:type="page"/>
      </w:r>
    </w:p>
    <w:p w14:paraId="00A74B11" w14:textId="77777777" w:rsidR="004D1A15" w:rsidRDefault="004D1A15" w:rsidP="00C17521">
      <w:pPr>
        <w:spacing w:after="0" w:line="480" w:lineRule="auto"/>
        <w:rPr>
          <w:b/>
          <w:bCs/>
        </w:rPr>
      </w:pPr>
      <w:r>
        <w:rPr>
          <w:b/>
          <w:bCs/>
        </w:rPr>
        <w:lastRenderedPageBreak/>
        <w:t>3. Supplemental Discussion</w:t>
      </w:r>
    </w:p>
    <w:p w14:paraId="2CF78998" w14:textId="216C1483" w:rsidR="004D1A15" w:rsidRDefault="004D1A15" w:rsidP="00F52209">
      <w:pPr>
        <w:spacing w:after="0" w:line="480" w:lineRule="auto"/>
      </w:pPr>
      <w:r>
        <w:rPr>
          <w:i/>
          <w:iCs/>
        </w:rPr>
        <w:t>3.1 Major bleeding cumulative incidence.</w:t>
      </w:r>
      <w:r>
        <w:t xml:space="preserve"> The cumulative incidence of major bleeding among ibrutinib + OAC-treated individuals in our study (1.88%) was lower than that reported in other studies (13–16%).</w:t>
      </w:r>
      <w:r w:rsidRPr="00F52209">
        <w:rPr>
          <w:noProof/>
          <w:vertAlign w:val="superscript"/>
        </w:rPr>
        <w:t>6,7</w:t>
      </w:r>
      <w:r>
        <w:t xml:space="preserve"> This difference may be attributed to: 1) our use of a primarily privately-insured, employed population across the US, and thus a potentially less vulnerable population to bleeding compared to others,</w:t>
      </w:r>
      <w:r w:rsidRPr="00F52209">
        <w:rPr>
          <w:noProof/>
          <w:vertAlign w:val="superscript"/>
        </w:rPr>
        <w:t xml:space="preserve"> 8-10</w:t>
      </w:r>
      <w:r>
        <w:t xml:space="preserve"> 2) a difference in major bleeding definitions; other studies used the Common Terminology Criteria for Adverse Events,</w:t>
      </w:r>
      <w:r w:rsidRPr="00F52209">
        <w:rPr>
          <w:noProof/>
          <w:vertAlign w:val="superscript"/>
        </w:rPr>
        <w:t xml:space="preserve"> 11</w:t>
      </w:r>
      <w:r>
        <w:t xml:space="preserve"> which may have included bleeding events that arose during hospitalization, and 3) a shorter duration of follow-up (median of 38 days) for ibrutinib + OAC-treated individuals in our study compared to others (median of 13 months);</w:t>
      </w:r>
      <w:r w:rsidRPr="00F52209">
        <w:rPr>
          <w:noProof/>
          <w:vertAlign w:val="superscript"/>
        </w:rPr>
        <w:t xml:space="preserve"> 6</w:t>
      </w:r>
      <w:r>
        <w:t xml:space="preserve"> previous literature did not report incidence rates of major bleeding which would have accounted for this follow-up time difference. These reasons may have also contributed to the difference in cumulative incidence for broader-defined bleeding outcomes between studies: 17.7% for provider-diagnosed bleeding in our study vs. 53–73% for bleeding of any severity in other studies.</w:t>
      </w:r>
      <w:r w:rsidRPr="00F52209">
        <w:rPr>
          <w:noProof/>
          <w:vertAlign w:val="superscript"/>
        </w:rPr>
        <w:t xml:space="preserve"> 6,12</w:t>
      </w:r>
    </w:p>
    <w:p w14:paraId="2F664B76" w14:textId="77777777" w:rsidR="004D1A15" w:rsidRDefault="004D1A15" w:rsidP="00F52209">
      <w:pPr>
        <w:spacing w:after="0" w:line="480" w:lineRule="auto"/>
        <w:rPr>
          <w:i/>
          <w:iCs/>
        </w:rPr>
      </w:pPr>
    </w:p>
    <w:p w14:paraId="0269B88A" w14:textId="77777777" w:rsidR="004D1A15" w:rsidRDefault="004D1A15" w:rsidP="00F52209">
      <w:pPr>
        <w:spacing w:after="0" w:line="480" w:lineRule="auto"/>
      </w:pPr>
      <w:r>
        <w:rPr>
          <w:i/>
          <w:iCs/>
        </w:rPr>
        <w:t>3.2 Comparison of bleeding incidence rates in ibrutinib + OAC-treated individuals to those in ibrutinib-treated individuals.</w:t>
      </w:r>
      <w:r>
        <w:t xml:space="preserve"> We compared incidence rates of major and clinically-relevant bleeding to our previous work which, using the same data source and methods, investigated these outcomes in ibrutinib-treated individuals with CLL not concomitantly exposed to OACs.</w:t>
      </w:r>
      <w:r w:rsidRPr="001B2C4C">
        <w:rPr>
          <w:noProof/>
          <w:vertAlign w:val="superscript"/>
        </w:rPr>
        <w:t xml:space="preserve"> 13</w:t>
      </w:r>
      <w:r>
        <w:t xml:space="preserve"> Crude incidence rates for major and clinically-relevant bleeding were four times as high for ibrutinib + OAC-treated individuals in this study (major bleeding: 12.5 per 100 p-y; clinically-relevant bleeding: 26.6 per 100 p-y) compared to ibrutinib-treated individuals in the previous study (major bleeding: 3.1 per 100 p-y; clinically-relevant bleeding: 5.8 per 100 p-y). This </w:t>
      </w:r>
      <w:r>
        <w:lastRenderedPageBreak/>
        <w:t>suggests that, as expected, OACs increase bleeding risk in ibrutinib-treated patients. The notable increase in major and clinically-relevant bleeding rates may have implications for the benefit-harm balance of initiating OAC therapy in patients on ibrutinib.</w:t>
      </w:r>
    </w:p>
    <w:p w14:paraId="2CD9269E" w14:textId="77777777" w:rsidR="004D1A15" w:rsidRPr="0051219E" w:rsidRDefault="004D1A15" w:rsidP="00F52209">
      <w:pPr>
        <w:spacing w:after="0" w:line="480" w:lineRule="auto"/>
      </w:pPr>
    </w:p>
    <w:p w14:paraId="21AB3822" w14:textId="77777777" w:rsidR="004D1A15" w:rsidRPr="00F52209" w:rsidRDefault="004D1A15" w:rsidP="00F52209">
      <w:pPr>
        <w:spacing w:after="0" w:line="480" w:lineRule="auto"/>
      </w:pPr>
      <w:r>
        <w:rPr>
          <w:i/>
          <w:iCs/>
        </w:rPr>
        <w:t>3.3 Strengths and additional limitations of this study.</w:t>
      </w:r>
      <w:r>
        <w:t xml:space="preserve"> Our study has notable strengths. It directly compared bleeding rates between individuals concomitantly exposed to ibrutinib and an OAC and individuals concomitantly exposed to an alternative cancer therapy and an OAC. Additionally, we identified major bleeding using an algorithm that was validated in a similar claims database and demonstrated an 89% PPV with ICD-9-CM codes.</w:t>
      </w:r>
      <w:r w:rsidRPr="0051219E">
        <w:rPr>
          <w:noProof/>
          <w:vertAlign w:val="superscript"/>
        </w:rPr>
        <w:t xml:space="preserve"> 14</w:t>
      </w:r>
      <w:r>
        <w:t xml:space="preserve"> Our study has additional limitations. First, we were unable to ascertain cancer characteristics (e.g., Rai staging for CLL, Lugano staging for MZL) and high-risk genetic features (e.g., deletion 17p or immunoglobulin heavy-chain gene mutation for CLL, TP53 mutation for MCL). However, we included cancer complications that may affect bleeding occurrence (e.g., thrombocytopenia) in the propensity score. </w:t>
      </w:r>
      <w:bookmarkStart w:id="0" w:name="_Hlk119230439"/>
      <w:r>
        <w:t xml:space="preserve">Second, international normalized ratio (INR) values were unavailable in Optum </w:t>
      </w:r>
      <w:proofErr w:type="spellStart"/>
      <w:r>
        <w:t>Clinformatics</w:t>
      </w:r>
      <w:proofErr w:type="spellEnd"/>
      <w:r w:rsidRPr="00D13234">
        <w:rPr>
          <w:rFonts w:cs="Times New Roman"/>
          <w:szCs w:val="24"/>
          <w:vertAlign w:val="superscript"/>
        </w:rPr>
        <w:t>®</w:t>
      </w:r>
      <w:r>
        <w:t>.</w:t>
      </w:r>
      <w:bookmarkEnd w:id="0"/>
      <w:r>
        <w:t xml:space="preserve"> Third, we used prescription </w:t>
      </w:r>
      <w:proofErr w:type="spellStart"/>
      <w:r>
        <w:t>dispensings</w:t>
      </w:r>
      <w:proofErr w:type="spellEnd"/>
      <w:r>
        <w:t xml:space="preserve"> to identify ibrutinib and OAC exposure, which may not directly reflect ingestion. We conducted sensitivity analyses in which therapy gaps were modified to address this. Fourth, individuals who initiated cancer therapy during OAC therapy may have had a lower risk of bleeding during follow-up compared to those who initiated OAC therapy during cancer therapy due to a possible depletion of </w:t>
      </w:r>
      <w:proofErr w:type="spellStart"/>
      <w:r>
        <w:t>susceptibles</w:t>
      </w:r>
      <w:proofErr w:type="spellEnd"/>
      <w:r>
        <w:t xml:space="preserve"> effect with OACs.</w:t>
      </w:r>
      <w:r w:rsidRPr="0051219E">
        <w:rPr>
          <w:noProof/>
          <w:vertAlign w:val="superscript"/>
        </w:rPr>
        <w:t xml:space="preserve"> 15</w:t>
      </w:r>
      <w:r>
        <w:t xml:space="preserve"> To account for this, we examined effect modification by exposure initiation order at cohort entry, although our sample size limited our ability to detect such an effect. Last, we did not account for time-varying confounders (e.g., platelet count on the day that a bleed occurred) during follow-up. Thus, time-varying confounding may have impacted our findings.</w:t>
      </w:r>
    </w:p>
    <w:p w14:paraId="40953014" w14:textId="77777777" w:rsidR="004D1A15" w:rsidRPr="00E75620" w:rsidRDefault="004D1A15" w:rsidP="00E75620">
      <w:pPr>
        <w:pStyle w:val="Heading1"/>
        <w:rPr>
          <w:rFonts w:ascii="Times New Roman" w:hAnsi="Times New Roman" w:cs="Times New Roman"/>
          <w:b/>
          <w:bCs/>
          <w:color w:val="auto"/>
          <w:sz w:val="24"/>
          <w:szCs w:val="24"/>
        </w:rPr>
      </w:pPr>
      <w:r w:rsidRPr="00E75620">
        <w:rPr>
          <w:rFonts w:ascii="Times New Roman" w:hAnsi="Times New Roman" w:cs="Times New Roman"/>
          <w:b/>
          <w:bCs/>
          <w:color w:val="auto"/>
          <w:sz w:val="24"/>
          <w:szCs w:val="24"/>
        </w:rPr>
        <w:lastRenderedPageBreak/>
        <w:t>Supplementary Table 1. Pre-specified baseline covariates.</w:t>
      </w:r>
    </w:p>
    <w:tbl>
      <w:tblPr>
        <w:tblStyle w:val="TableGrid"/>
        <w:tblW w:w="0" w:type="auto"/>
        <w:tblLook w:val="04A0" w:firstRow="1" w:lastRow="0" w:firstColumn="1" w:lastColumn="0" w:noHBand="0" w:noVBand="1"/>
      </w:tblPr>
      <w:tblGrid>
        <w:gridCol w:w="3480"/>
        <w:gridCol w:w="2935"/>
        <w:gridCol w:w="2935"/>
      </w:tblGrid>
      <w:tr w:rsidR="004D1A15" w14:paraId="700C57F5" w14:textId="77777777" w:rsidTr="00DC1F8D">
        <w:tc>
          <w:tcPr>
            <w:tcW w:w="3480" w:type="dxa"/>
            <w:vMerge w:val="restart"/>
            <w:shd w:val="clear" w:color="auto" w:fill="D9D9D9" w:themeFill="background1" w:themeFillShade="D9"/>
            <w:tcMar>
              <w:left w:w="29" w:type="dxa"/>
              <w:right w:w="115" w:type="dxa"/>
            </w:tcMar>
            <w:vAlign w:val="center"/>
          </w:tcPr>
          <w:p w14:paraId="3662488B" w14:textId="77777777" w:rsidR="004D1A15" w:rsidRDefault="004D1A15" w:rsidP="001F1C1C">
            <w:r>
              <w:br w:type="page"/>
              <w:t>Demographics</w:t>
            </w:r>
          </w:p>
        </w:tc>
        <w:tc>
          <w:tcPr>
            <w:tcW w:w="5870" w:type="dxa"/>
            <w:gridSpan w:val="2"/>
          </w:tcPr>
          <w:p w14:paraId="7385D369" w14:textId="77777777" w:rsidR="004D1A15" w:rsidRDefault="004D1A15" w:rsidP="0087445B">
            <w:r>
              <w:t>Age</w:t>
            </w:r>
          </w:p>
        </w:tc>
      </w:tr>
      <w:tr w:rsidR="004D1A15" w14:paraId="3B5D5F48" w14:textId="77777777" w:rsidTr="00DC1F8D">
        <w:tc>
          <w:tcPr>
            <w:tcW w:w="3480" w:type="dxa"/>
            <w:vMerge/>
            <w:shd w:val="clear" w:color="auto" w:fill="D9D9D9" w:themeFill="background1" w:themeFillShade="D9"/>
            <w:tcMar>
              <w:left w:w="29" w:type="dxa"/>
              <w:right w:w="115" w:type="dxa"/>
            </w:tcMar>
            <w:vAlign w:val="center"/>
          </w:tcPr>
          <w:p w14:paraId="249732BD" w14:textId="77777777" w:rsidR="004D1A15" w:rsidRDefault="004D1A15" w:rsidP="001F1C1C"/>
        </w:tc>
        <w:tc>
          <w:tcPr>
            <w:tcW w:w="5870" w:type="dxa"/>
            <w:gridSpan w:val="2"/>
          </w:tcPr>
          <w:p w14:paraId="57824351" w14:textId="77777777" w:rsidR="004D1A15" w:rsidRDefault="004D1A15" w:rsidP="0087445B">
            <w:r>
              <w:t>Sex</w:t>
            </w:r>
          </w:p>
        </w:tc>
      </w:tr>
      <w:tr w:rsidR="004D1A15" w14:paraId="71B30EBB" w14:textId="77777777" w:rsidTr="00DC1F8D">
        <w:tc>
          <w:tcPr>
            <w:tcW w:w="3480" w:type="dxa"/>
            <w:vMerge/>
            <w:shd w:val="clear" w:color="auto" w:fill="D9D9D9" w:themeFill="background1" w:themeFillShade="D9"/>
            <w:tcMar>
              <w:left w:w="29" w:type="dxa"/>
              <w:right w:w="115" w:type="dxa"/>
            </w:tcMar>
            <w:vAlign w:val="center"/>
          </w:tcPr>
          <w:p w14:paraId="081D135E" w14:textId="77777777" w:rsidR="004D1A15" w:rsidRDefault="004D1A15" w:rsidP="001F1C1C"/>
        </w:tc>
        <w:tc>
          <w:tcPr>
            <w:tcW w:w="5870" w:type="dxa"/>
            <w:gridSpan w:val="2"/>
          </w:tcPr>
          <w:p w14:paraId="5E7CB831" w14:textId="77777777" w:rsidR="004D1A15" w:rsidRDefault="004D1A15" w:rsidP="0087445B">
            <w:r>
              <w:t>Geographic region of residence</w:t>
            </w:r>
          </w:p>
        </w:tc>
      </w:tr>
      <w:tr w:rsidR="004D1A15" w14:paraId="70AB9968" w14:textId="77777777" w:rsidTr="00DC1F8D">
        <w:tc>
          <w:tcPr>
            <w:tcW w:w="3480" w:type="dxa"/>
            <w:vMerge/>
            <w:shd w:val="clear" w:color="auto" w:fill="D9D9D9" w:themeFill="background1" w:themeFillShade="D9"/>
            <w:tcMar>
              <w:left w:w="29" w:type="dxa"/>
              <w:right w:w="115" w:type="dxa"/>
            </w:tcMar>
            <w:vAlign w:val="center"/>
          </w:tcPr>
          <w:p w14:paraId="7D492174" w14:textId="77777777" w:rsidR="004D1A15" w:rsidRDefault="004D1A15" w:rsidP="001F1C1C"/>
        </w:tc>
        <w:tc>
          <w:tcPr>
            <w:tcW w:w="5870" w:type="dxa"/>
            <w:gridSpan w:val="2"/>
          </w:tcPr>
          <w:p w14:paraId="7995535A" w14:textId="77777777" w:rsidR="004D1A15" w:rsidRDefault="004D1A15" w:rsidP="0087445B">
            <w:r>
              <w:t>Race</w:t>
            </w:r>
          </w:p>
        </w:tc>
      </w:tr>
      <w:tr w:rsidR="004D1A15" w14:paraId="20B28C79" w14:textId="77777777" w:rsidTr="00DC1F8D">
        <w:tc>
          <w:tcPr>
            <w:tcW w:w="3480" w:type="dxa"/>
            <w:vMerge/>
            <w:shd w:val="clear" w:color="auto" w:fill="D9D9D9" w:themeFill="background1" w:themeFillShade="D9"/>
            <w:tcMar>
              <w:left w:w="29" w:type="dxa"/>
              <w:right w:w="115" w:type="dxa"/>
            </w:tcMar>
            <w:vAlign w:val="center"/>
          </w:tcPr>
          <w:p w14:paraId="02291269" w14:textId="77777777" w:rsidR="004D1A15" w:rsidRDefault="004D1A15" w:rsidP="001F1C1C"/>
        </w:tc>
        <w:tc>
          <w:tcPr>
            <w:tcW w:w="5870" w:type="dxa"/>
            <w:gridSpan w:val="2"/>
          </w:tcPr>
          <w:p w14:paraId="7CB401B6" w14:textId="77777777" w:rsidR="004D1A15" w:rsidRDefault="004D1A15" w:rsidP="0087445B">
            <w:r>
              <w:t>Education level</w:t>
            </w:r>
          </w:p>
        </w:tc>
      </w:tr>
      <w:tr w:rsidR="004D1A15" w14:paraId="3CA454AF" w14:textId="77777777" w:rsidTr="00DC1F8D">
        <w:tc>
          <w:tcPr>
            <w:tcW w:w="3480" w:type="dxa"/>
            <w:vMerge/>
            <w:shd w:val="clear" w:color="auto" w:fill="D9D9D9" w:themeFill="background1" w:themeFillShade="D9"/>
            <w:tcMar>
              <w:left w:w="29" w:type="dxa"/>
              <w:right w:w="115" w:type="dxa"/>
            </w:tcMar>
            <w:vAlign w:val="center"/>
          </w:tcPr>
          <w:p w14:paraId="7CC3B0FB" w14:textId="77777777" w:rsidR="004D1A15" w:rsidRDefault="004D1A15" w:rsidP="001F1C1C"/>
        </w:tc>
        <w:tc>
          <w:tcPr>
            <w:tcW w:w="5870" w:type="dxa"/>
            <w:gridSpan w:val="2"/>
          </w:tcPr>
          <w:p w14:paraId="7A6981C5" w14:textId="77777777" w:rsidR="004D1A15" w:rsidRDefault="004D1A15" w:rsidP="0087445B">
            <w:r>
              <w:t>Housing</w:t>
            </w:r>
          </w:p>
        </w:tc>
      </w:tr>
      <w:tr w:rsidR="004D1A15" w14:paraId="19279539" w14:textId="77777777" w:rsidTr="00DC1F8D">
        <w:tc>
          <w:tcPr>
            <w:tcW w:w="3480" w:type="dxa"/>
            <w:vMerge/>
            <w:shd w:val="clear" w:color="auto" w:fill="D9D9D9" w:themeFill="background1" w:themeFillShade="D9"/>
            <w:tcMar>
              <w:left w:w="29" w:type="dxa"/>
              <w:right w:w="115" w:type="dxa"/>
            </w:tcMar>
            <w:vAlign w:val="center"/>
          </w:tcPr>
          <w:p w14:paraId="075189A1" w14:textId="77777777" w:rsidR="004D1A15" w:rsidRDefault="004D1A15" w:rsidP="001F1C1C"/>
        </w:tc>
        <w:tc>
          <w:tcPr>
            <w:tcW w:w="5870" w:type="dxa"/>
            <w:gridSpan w:val="2"/>
          </w:tcPr>
          <w:p w14:paraId="5E19A6F9" w14:textId="77777777" w:rsidR="004D1A15" w:rsidRDefault="004D1A15" w:rsidP="0087445B">
            <w:r>
              <w:t>Household income</w:t>
            </w:r>
          </w:p>
        </w:tc>
      </w:tr>
      <w:tr w:rsidR="004D1A15" w14:paraId="59A2E35A" w14:textId="77777777" w:rsidTr="00DC1F8D">
        <w:tc>
          <w:tcPr>
            <w:tcW w:w="3480" w:type="dxa"/>
            <w:vMerge/>
            <w:shd w:val="clear" w:color="auto" w:fill="D9D9D9" w:themeFill="background1" w:themeFillShade="D9"/>
            <w:tcMar>
              <w:left w:w="29" w:type="dxa"/>
              <w:right w:w="115" w:type="dxa"/>
            </w:tcMar>
            <w:vAlign w:val="center"/>
          </w:tcPr>
          <w:p w14:paraId="1E945B5D" w14:textId="77777777" w:rsidR="004D1A15" w:rsidRDefault="004D1A15" w:rsidP="001F1C1C"/>
        </w:tc>
        <w:tc>
          <w:tcPr>
            <w:tcW w:w="5870" w:type="dxa"/>
            <w:gridSpan w:val="2"/>
          </w:tcPr>
          <w:p w14:paraId="3C81C658" w14:textId="77777777" w:rsidR="004D1A15" w:rsidRDefault="004D1A15" w:rsidP="0087445B">
            <w:r>
              <w:t>Total net worth of beneficiary</w:t>
            </w:r>
          </w:p>
        </w:tc>
      </w:tr>
      <w:tr w:rsidR="004D1A15" w14:paraId="57314349" w14:textId="77777777" w:rsidTr="00DC1F8D">
        <w:tc>
          <w:tcPr>
            <w:tcW w:w="3480" w:type="dxa"/>
            <w:vMerge w:val="restart"/>
            <w:shd w:val="clear" w:color="auto" w:fill="D9D9D9" w:themeFill="background1" w:themeFillShade="D9"/>
            <w:tcMar>
              <w:left w:w="29" w:type="dxa"/>
              <w:right w:w="115" w:type="dxa"/>
            </w:tcMar>
            <w:vAlign w:val="center"/>
          </w:tcPr>
          <w:p w14:paraId="58F8D52D" w14:textId="77777777" w:rsidR="004D1A15" w:rsidRDefault="004D1A15" w:rsidP="001F1C1C">
            <w:r>
              <w:t>Cancer complications</w:t>
            </w:r>
          </w:p>
        </w:tc>
        <w:tc>
          <w:tcPr>
            <w:tcW w:w="5870" w:type="dxa"/>
            <w:gridSpan w:val="2"/>
          </w:tcPr>
          <w:p w14:paraId="5D170540" w14:textId="77777777" w:rsidR="004D1A15" w:rsidRDefault="004D1A15" w:rsidP="0087445B">
            <w:r>
              <w:t>Thrombocytopenia</w:t>
            </w:r>
          </w:p>
        </w:tc>
      </w:tr>
      <w:tr w:rsidR="004D1A15" w14:paraId="477F814B" w14:textId="77777777" w:rsidTr="00DC1F8D">
        <w:tc>
          <w:tcPr>
            <w:tcW w:w="3480" w:type="dxa"/>
            <w:vMerge/>
            <w:shd w:val="clear" w:color="auto" w:fill="D9D9D9" w:themeFill="background1" w:themeFillShade="D9"/>
            <w:tcMar>
              <w:left w:w="29" w:type="dxa"/>
              <w:right w:w="115" w:type="dxa"/>
            </w:tcMar>
            <w:vAlign w:val="center"/>
          </w:tcPr>
          <w:p w14:paraId="17EF3BF6" w14:textId="77777777" w:rsidR="004D1A15" w:rsidRDefault="004D1A15" w:rsidP="001F1C1C"/>
        </w:tc>
        <w:tc>
          <w:tcPr>
            <w:tcW w:w="5870" w:type="dxa"/>
            <w:gridSpan w:val="2"/>
          </w:tcPr>
          <w:p w14:paraId="4FDC0A2F" w14:textId="77777777" w:rsidR="004D1A15" w:rsidRDefault="004D1A15" w:rsidP="0087445B">
            <w:r>
              <w:t>Lymphadenopathy</w:t>
            </w:r>
          </w:p>
        </w:tc>
      </w:tr>
      <w:tr w:rsidR="004D1A15" w14:paraId="10942EF8" w14:textId="77777777" w:rsidTr="00DC1F8D">
        <w:tc>
          <w:tcPr>
            <w:tcW w:w="3480" w:type="dxa"/>
            <w:vMerge/>
            <w:shd w:val="clear" w:color="auto" w:fill="D9D9D9" w:themeFill="background1" w:themeFillShade="D9"/>
            <w:tcMar>
              <w:left w:w="29" w:type="dxa"/>
              <w:right w:w="115" w:type="dxa"/>
            </w:tcMar>
            <w:vAlign w:val="center"/>
          </w:tcPr>
          <w:p w14:paraId="018FFA62" w14:textId="77777777" w:rsidR="004D1A15" w:rsidRDefault="004D1A15" w:rsidP="001F1C1C"/>
        </w:tc>
        <w:tc>
          <w:tcPr>
            <w:tcW w:w="5870" w:type="dxa"/>
            <w:gridSpan w:val="2"/>
          </w:tcPr>
          <w:p w14:paraId="0B8536CE" w14:textId="77777777" w:rsidR="004D1A15" w:rsidRDefault="004D1A15" w:rsidP="0087445B">
            <w:r>
              <w:t>Splenomegaly</w:t>
            </w:r>
          </w:p>
        </w:tc>
      </w:tr>
      <w:tr w:rsidR="004D1A15" w14:paraId="649B87BA" w14:textId="77777777" w:rsidTr="00DC1F8D">
        <w:tc>
          <w:tcPr>
            <w:tcW w:w="3480" w:type="dxa"/>
            <w:vMerge w:val="restart"/>
            <w:shd w:val="clear" w:color="auto" w:fill="D9D9D9" w:themeFill="background1" w:themeFillShade="D9"/>
            <w:tcMar>
              <w:left w:w="29" w:type="dxa"/>
              <w:right w:w="115" w:type="dxa"/>
            </w:tcMar>
            <w:vAlign w:val="center"/>
          </w:tcPr>
          <w:p w14:paraId="1FDA8C91" w14:textId="77777777" w:rsidR="004D1A15" w:rsidRDefault="004D1A15" w:rsidP="001F1C1C">
            <w:r>
              <w:t>Medical conditions</w:t>
            </w:r>
          </w:p>
        </w:tc>
        <w:tc>
          <w:tcPr>
            <w:tcW w:w="5870" w:type="dxa"/>
            <w:gridSpan w:val="2"/>
          </w:tcPr>
          <w:p w14:paraId="1E4F55CE" w14:textId="77777777" w:rsidR="004D1A15" w:rsidRDefault="004D1A15" w:rsidP="0087445B">
            <w:r>
              <w:t>Hypertension</w:t>
            </w:r>
          </w:p>
        </w:tc>
      </w:tr>
      <w:tr w:rsidR="004D1A15" w14:paraId="4CF9CB5A" w14:textId="77777777" w:rsidTr="00DC1F8D">
        <w:tc>
          <w:tcPr>
            <w:tcW w:w="3480" w:type="dxa"/>
            <w:vMerge/>
            <w:shd w:val="clear" w:color="auto" w:fill="D9D9D9" w:themeFill="background1" w:themeFillShade="D9"/>
            <w:tcMar>
              <w:left w:w="29" w:type="dxa"/>
              <w:right w:w="115" w:type="dxa"/>
            </w:tcMar>
            <w:vAlign w:val="center"/>
          </w:tcPr>
          <w:p w14:paraId="3DB2E27E" w14:textId="77777777" w:rsidR="004D1A15" w:rsidRDefault="004D1A15" w:rsidP="001F1C1C"/>
        </w:tc>
        <w:tc>
          <w:tcPr>
            <w:tcW w:w="5870" w:type="dxa"/>
            <w:gridSpan w:val="2"/>
          </w:tcPr>
          <w:p w14:paraId="12A7DDEF" w14:textId="77777777" w:rsidR="004D1A15" w:rsidRDefault="004D1A15" w:rsidP="0087445B">
            <w:r>
              <w:t>Renal dysfunction</w:t>
            </w:r>
          </w:p>
        </w:tc>
      </w:tr>
      <w:tr w:rsidR="004D1A15" w14:paraId="7C2940D4" w14:textId="77777777" w:rsidTr="00DC1F8D">
        <w:tc>
          <w:tcPr>
            <w:tcW w:w="3480" w:type="dxa"/>
            <w:vMerge/>
            <w:shd w:val="clear" w:color="auto" w:fill="D9D9D9" w:themeFill="background1" w:themeFillShade="D9"/>
            <w:tcMar>
              <w:left w:w="29" w:type="dxa"/>
              <w:right w:w="115" w:type="dxa"/>
            </w:tcMar>
            <w:vAlign w:val="center"/>
          </w:tcPr>
          <w:p w14:paraId="25FB1802" w14:textId="77777777" w:rsidR="004D1A15" w:rsidRDefault="004D1A15" w:rsidP="001F1C1C"/>
        </w:tc>
        <w:tc>
          <w:tcPr>
            <w:tcW w:w="5870" w:type="dxa"/>
            <w:gridSpan w:val="2"/>
          </w:tcPr>
          <w:p w14:paraId="2CD4D62D" w14:textId="77777777" w:rsidR="004D1A15" w:rsidRDefault="004D1A15" w:rsidP="0087445B">
            <w:r>
              <w:t>Liver dysfunction</w:t>
            </w:r>
          </w:p>
        </w:tc>
      </w:tr>
      <w:tr w:rsidR="004D1A15" w14:paraId="2BEF009F" w14:textId="77777777" w:rsidTr="00DC1F8D">
        <w:tc>
          <w:tcPr>
            <w:tcW w:w="3480" w:type="dxa"/>
            <w:vMerge/>
            <w:shd w:val="clear" w:color="auto" w:fill="D9D9D9" w:themeFill="background1" w:themeFillShade="D9"/>
            <w:tcMar>
              <w:left w:w="29" w:type="dxa"/>
              <w:right w:w="115" w:type="dxa"/>
            </w:tcMar>
            <w:vAlign w:val="center"/>
          </w:tcPr>
          <w:p w14:paraId="55A905F7" w14:textId="77777777" w:rsidR="004D1A15" w:rsidRDefault="004D1A15" w:rsidP="001F1C1C"/>
        </w:tc>
        <w:tc>
          <w:tcPr>
            <w:tcW w:w="5870" w:type="dxa"/>
            <w:gridSpan w:val="2"/>
          </w:tcPr>
          <w:p w14:paraId="5056C5CC" w14:textId="77777777" w:rsidR="004D1A15" w:rsidRDefault="004D1A15" w:rsidP="0087445B">
            <w:r>
              <w:t>Stroke</w:t>
            </w:r>
          </w:p>
        </w:tc>
      </w:tr>
      <w:tr w:rsidR="004D1A15" w14:paraId="695A5E48" w14:textId="77777777" w:rsidTr="00DC1F8D">
        <w:tc>
          <w:tcPr>
            <w:tcW w:w="3480" w:type="dxa"/>
            <w:vMerge/>
            <w:shd w:val="clear" w:color="auto" w:fill="D9D9D9" w:themeFill="background1" w:themeFillShade="D9"/>
            <w:tcMar>
              <w:left w:w="29" w:type="dxa"/>
              <w:right w:w="115" w:type="dxa"/>
            </w:tcMar>
            <w:vAlign w:val="center"/>
          </w:tcPr>
          <w:p w14:paraId="0AF7A19E" w14:textId="77777777" w:rsidR="004D1A15" w:rsidRDefault="004D1A15" w:rsidP="001F1C1C"/>
        </w:tc>
        <w:tc>
          <w:tcPr>
            <w:tcW w:w="5870" w:type="dxa"/>
            <w:gridSpan w:val="2"/>
          </w:tcPr>
          <w:p w14:paraId="58FFD34F" w14:textId="77777777" w:rsidR="004D1A15" w:rsidRDefault="004D1A15" w:rsidP="0087445B">
            <w:r>
              <w:t>Peptic ulcer</w:t>
            </w:r>
          </w:p>
        </w:tc>
      </w:tr>
      <w:tr w:rsidR="004D1A15" w14:paraId="40E6F38B" w14:textId="77777777" w:rsidTr="00DC1F8D">
        <w:tc>
          <w:tcPr>
            <w:tcW w:w="3480" w:type="dxa"/>
            <w:vMerge/>
            <w:shd w:val="clear" w:color="auto" w:fill="D9D9D9" w:themeFill="background1" w:themeFillShade="D9"/>
            <w:tcMar>
              <w:left w:w="29" w:type="dxa"/>
              <w:right w:w="115" w:type="dxa"/>
            </w:tcMar>
            <w:vAlign w:val="center"/>
          </w:tcPr>
          <w:p w14:paraId="4ADFCF2A" w14:textId="77777777" w:rsidR="004D1A15" w:rsidRDefault="004D1A15" w:rsidP="001F1C1C"/>
        </w:tc>
        <w:tc>
          <w:tcPr>
            <w:tcW w:w="5870" w:type="dxa"/>
            <w:gridSpan w:val="2"/>
          </w:tcPr>
          <w:p w14:paraId="071B6464" w14:textId="77777777" w:rsidR="004D1A15" w:rsidRDefault="004D1A15" w:rsidP="0087445B">
            <w:r>
              <w:t>Bleeding</w:t>
            </w:r>
            <w:r w:rsidRPr="00DB0CA7">
              <w:rPr>
                <w:vertAlign w:val="superscript"/>
              </w:rPr>
              <w:t>*</w:t>
            </w:r>
          </w:p>
        </w:tc>
      </w:tr>
      <w:tr w:rsidR="004D1A15" w14:paraId="14C342A0" w14:textId="77777777" w:rsidTr="00DC1F8D">
        <w:tc>
          <w:tcPr>
            <w:tcW w:w="3480" w:type="dxa"/>
            <w:vMerge/>
            <w:shd w:val="clear" w:color="auto" w:fill="D9D9D9" w:themeFill="background1" w:themeFillShade="D9"/>
            <w:tcMar>
              <w:left w:w="29" w:type="dxa"/>
              <w:right w:w="115" w:type="dxa"/>
            </w:tcMar>
            <w:vAlign w:val="center"/>
          </w:tcPr>
          <w:p w14:paraId="771A0392" w14:textId="77777777" w:rsidR="004D1A15" w:rsidRDefault="004D1A15" w:rsidP="001F1C1C"/>
        </w:tc>
        <w:tc>
          <w:tcPr>
            <w:tcW w:w="5870" w:type="dxa"/>
            <w:gridSpan w:val="2"/>
          </w:tcPr>
          <w:p w14:paraId="3C07DD58" w14:textId="77777777" w:rsidR="004D1A15" w:rsidRDefault="004D1A15" w:rsidP="0087445B">
            <w:r>
              <w:t>Atrial fibrillation</w:t>
            </w:r>
          </w:p>
        </w:tc>
      </w:tr>
      <w:tr w:rsidR="004D1A15" w14:paraId="02E8E5DA" w14:textId="77777777" w:rsidTr="00DC1F8D">
        <w:tc>
          <w:tcPr>
            <w:tcW w:w="3480" w:type="dxa"/>
            <w:vMerge/>
            <w:shd w:val="clear" w:color="auto" w:fill="D9D9D9" w:themeFill="background1" w:themeFillShade="D9"/>
            <w:tcMar>
              <w:left w:w="29" w:type="dxa"/>
              <w:right w:w="115" w:type="dxa"/>
            </w:tcMar>
            <w:vAlign w:val="center"/>
          </w:tcPr>
          <w:p w14:paraId="21DFBCCF" w14:textId="77777777" w:rsidR="004D1A15" w:rsidRDefault="004D1A15" w:rsidP="001F1C1C"/>
        </w:tc>
        <w:tc>
          <w:tcPr>
            <w:tcW w:w="5870" w:type="dxa"/>
            <w:gridSpan w:val="2"/>
          </w:tcPr>
          <w:p w14:paraId="1F5B0C05" w14:textId="77777777" w:rsidR="004D1A15" w:rsidRDefault="004D1A15" w:rsidP="0087445B">
            <w:r>
              <w:t>Deep vein thrombosis</w:t>
            </w:r>
          </w:p>
        </w:tc>
      </w:tr>
      <w:tr w:rsidR="004D1A15" w14:paraId="0637441B" w14:textId="77777777" w:rsidTr="00DC1F8D">
        <w:tc>
          <w:tcPr>
            <w:tcW w:w="3480" w:type="dxa"/>
            <w:vMerge/>
            <w:shd w:val="clear" w:color="auto" w:fill="D9D9D9" w:themeFill="background1" w:themeFillShade="D9"/>
            <w:tcMar>
              <w:left w:w="29" w:type="dxa"/>
              <w:right w:w="115" w:type="dxa"/>
            </w:tcMar>
            <w:vAlign w:val="center"/>
          </w:tcPr>
          <w:p w14:paraId="3BC67AFE" w14:textId="77777777" w:rsidR="004D1A15" w:rsidRDefault="004D1A15" w:rsidP="001F1C1C"/>
        </w:tc>
        <w:tc>
          <w:tcPr>
            <w:tcW w:w="5870" w:type="dxa"/>
            <w:gridSpan w:val="2"/>
          </w:tcPr>
          <w:p w14:paraId="48692EDA" w14:textId="77777777" w:rsidR="004D1A15" w:rsidRDefault="004D1A15" w:rsidP="0087445B">
            <w:r>
              <w:t>Pulmonary embolism</w:t>
            </w:r>
          </w:p>
        </w:tc>
      </w:tr>
      <w:tr w:rsidR="004D1A15" w14:paraId="4BD1EBB2" w14:textId="77777777" w:rsidTr="00DC1F8D">
        <w:tc>
          <w:tcPr>
            <w:tcW w:w="3480" w:type="dxa"/>
            <w:vMerge w:val="restart"/>
            <w:shd w:val="clear" w:color="auto" w:fill="D9D9D9" w:themeFill="background1" w:themeFillShade="D9"/>
            <w:tcMar>
              <w:left w:w="29" w:type="dxa"/>
              <w:right w:w="115" w:type="dxa"/>
            </w:tcMar>
            <w:vAlign w:val="center"/>
          </w:tcPr>
          <w:p w14:paraId="113C6A4C" w14:textId="77777777" w:rsidR="004D1A15" w:rsidRDefault="004D1A15" w:rsidP="001F1C1C">
            <w:r>
              <w:t>Concomitant medications</w:t>
            </w:r>
          </w:p>
        </w:tc>
        <w:tc>
          <w:tcPr>
            <w:tcW w:w="2935" w:type="dxa"/>
            <w:vMerge w:val="restart"/>
            <w:vAlign w:val="center"/>
          </w:tcPr>
          <w:p w14:paraId="55C698B6" w14:textId="77777777" w:rsidR="004D1A15" w:rsidRDefault="004D1A15" w:rsidP="0087445B">
            <w:r>
              <w:t>Medications associated with bleeding risk</w:t>
            </w:r>
          </w:p>
        </w:tc>
        <w:tc>
          <w:tcPr>
            <w:tcW w:w="2935" w:type="dxa"/>
          </w:tcPr>
          <w:p w14:paraId="3EDD5350" w14:textId="77777777" w:rsidR="004D1A15" w:rsidRDefault="004D1A15" w:rsidP="0087445B">
            <w:r>
              <w:t>Antiplatelets</w:t>
            </w:r>
          </w:p>
        </w:tc>
      </w:tr>
      <w:tr w:rsidR="004D1A15" w14:paraId="11A01AA0" w14:textId="77777777" w:rsidTr="00DC1F8D">
        <w:tc>
          <w:tcPr>
            <w:tcW w:w="3480" w:type="dxa"/>
            <w:vMerge/>
            <w:shd w:val="clear" w:color="auto" w:fill="D9D9D9" w:themeFill="background1" w:themeFillShade="D9"/>
            <w:tcMar>
              <w:left w:w="29" w:type="dxa"/>
              <w:right w:w="115" w:type="dxa"/>
            </w:tcMar>
            <w:vAlign w:val="center"/>
          </w:tcPr>
          <w:p w14:paraId="4F4BD804" w14:textId="77777777" w:rsidR="004D1A15" w:rsidRDefault="004D1A15" w:rsidP="001F1C1C"/>
        </w:tc>
        <w:tc>
          <w:tcPr>
            <w:tcW w:w="2935" w:type="dxa"/>
            <w:vMerge/>
            <w:vAlign w:val="center"/>
          </w:tcPr>
          <w:p w14:paraId="2BAAEED1" w14:textId="77777777" w:rsidR="004D1A15" w:rsidRDefault="004D1A15" w:rsidP="0087445B"/>
        </w:tc>
        <w:tc>
          <w:tcPr>
            <w:tcW w:w="2935" w:type="dxa"/>
          </w:tcPr>
          <w:p w14:paraId="579887D7" w14:textId="77777777" w:rsidR="004D1A15" w:rsidRDefault="004D1A15" w:rsidP="0087445B">
            <w:r>
              <w:t>NSAIDs</w:t>
            </w:r>
          </w:p>
        </w:tc>
      </w:tr>
      <w:tr w:rsidR="004D1A15" w14:paraId="697739D4" w14:textId="77777777" w:rsidTr="00DC1F8D">
        <w:tc>
          <w:tcPr>
            <w:tcW w:w="3480" w:type="dxa"/>
            <w:vMerge/>
            <w:shd w:val="clear" w:color="auto" w:fill="D9D9D9" w:themeFill="background1" w:themeFillShade="D9"/>
            <w:tcMar>
              <w:left w:w="29" w:type="dxa"/>
              <w:right w:w="115" w:type="dxa"/>
            </w:tcMar>
            <w:vAlign w:val="center"/>
          </w:tcPr>
          <w:p w14:paraId="462A2598" w14:textId="77777777" w:rsidR="004D1A15" w:rsidRDefault="004D1A15" w:rsidP="001F1C1C"/>
        </w:tc>
        <w:tc>
          <w:tcPr>
            <w:tcW w:w="2935" w:type="dxa"/>
            <w:vMerge/>
            <w:vAlign w:val="center"/>
          </w:tcPr>
          <w:p w14:paraId="59F11E45" w14:textId="77777777" w:rsidR="004D1A15" w:rsidRDefault="004D1A15" w:rsidP="0087445B"/>
        </w:tc>
        <w:tc>
          <w:tcPr>
            <w:tcW w:w="2935" w:type="dxa"/>
          </w:tcPr>
          <w:p w14:paraId="1223260B" w14:textId="77777777" w:rsidR="004D1A15" w:rsidRDefault="004D1A15" w:rsidP="0087445B">
            <w:r>
              <w:t>Heparin</w:t>
            </w:r>
          </w:p>
        </w:tc>
      </w:tr>
      <w:tr w:rsidR="004D1A15" w14:paraId="070B54F7" w14:textId="77777777" w:rsidTr="00DC1F8D">
        <w:tc>
          <w:tcPr>
            <w:tcW w:w="3480" w:type="dxa"/>
            <w:vMerge/>
            <w:shd w:val="clear" w:color="auto" w:fill="D9D9D9" w:themeFill="background1" w:themeFillShade="D9"/>
            <w:tcMar>
              <w:left w:w="29" w:type="dxa"/>
              <w:right w:w="115" w:type="dxa"/>
            </w:tcMar>
            <w:vAlign w:val="center"/>
          </w:tcPr>
          <w:p w14:paraId="1DF25EF2" w14:textId="77777777" w:rsidR="004D1A15" w:rsidRDefault="004D1A15" w:rsidP="001F1C1C"/>
        </w:tc>
        <w:tc>
          <w:tcPr>
            <w:tcW w:w="2935" w:type="dxa"/>
            <w:vMerge w:val="restart"/>
            <w:vAlign w:val="center"/>
          </w:tcPr>
          <w:p w14:paraId="76313716" w14:textId="77777777" w:rsidR="004D1A15" w:rsidRDefault="004D1A15" w:rsidP="0087445B">
            <w:r>
              <w:t>Anticancer therapy</w:t>
            </w:r>
          </w:p>
        </w:tc>
        <w:tc>
          <w:tcPr>
            <w:tcW w:w="2935" w:type="dxa"/>
          </w:tcPr>
          <w:p w14:paraId="591B4AA4" w14:textId="77777777" w:rsidR="004D1A15" w:rsidRDefault="004D1A15" w:rsidP="0087445B">
            <w:r>
              <w:t>Targeted therapy</w:t>
            </w:r>
            <w:r w:rsidRPr="008A4947">
              <w:rPr>
                <w:rFonts w:eastAsia="Calibri"/>
                <w:vertAlign w:val="superscript"/>
              </w:rPr>
              <w:t>†</w:t>
            </w:r>
          </w:p>
        </w:tc>
      </w:tr>
      <w:tr w:rsidR="004D1A15" w14:paraId="02E27383" w14:textId="77777777" w:rsidTr="00DC1F8D">
        <w:tc>
          <w:tcPr>
            <w:tcW w:w="3480" w:type="dxa"/>
            <w:vMerge/>
            <w:shd w:val="clear" w:color="auto" w:fill="D9D9D9" w:themeFill="background1" w:themeFillShade="D9"/>
            <w:tcMar>
              <w:left w:w="29" w:type="dxa"/>
              <w:right w:w="115" w:type="dxa"/>
            </w:tcMar>
            <w:vAlign w:val="center"/>
          </w:tcPr>
          <w:p w14:paraId="58C743F9" w14:textId="77777777" w:rsidR="004D1A15" w:rsidRDefault="004D1A15" w:rsidP="001F1C1C"/>
        </w:tc>
        <w:tc>
          <w:tcPr>
            <w:tcW w:w="2935" w:type="dxa"/>
            <w:vMerge/>
            <w:vAlign w:val="center"/>
          </w:tcPr>
          <w:p w14:paraId="6F8782CB" w14:textId="77777777" w:rsidR="004D1A15" w:rsidRDefault="004D1A15" w:rsidP="0087445B"/>
        </w:tc>
        <w:tc>
          <w:tcPr>
            <w:tcW w:w="2935" w:type="dxa"/>
          </w:tcPr>
          <w:p w14:paraId="3CB18FB2" w14:textId="77777777" w:rsidR="004D1A15" w:rsidRDefault="004D1A15" w:rsidP="0087445B">
            <w:r>
              <w:t>Chemotherapy</w:t>
            </w:r>
          </w:p>
        </w:tc>
      </w:tr>
      <w:tr w:rsidR="004D1A15" w14:paraId="13EB92CB" w14:textId="77777777" w:rsidTr="00DC1F8D">
        <w:tc>
          <w:tcPr>
            <w:tcW w:w="3480" w:type="dxa"/>
            <w:vMerge/>
            <w:shd w:val="clear" w:color="auto" w:fill="D9D9D9" w:themeFill="background1" w:themeFillShade="D9"/>
            <w:tcMar>
              <w:left w:w="29" w:type="dxa"/>
              <w:right w:w="115" w:type="dxa"/>
            </w:tcMar>
            <w:vAlign w:val="center"/>
          </w:tcPr>
          <w:p w14:paraId="447625E2" w14:textId="77777777" w:rsidR="004D1A15" w:rsidRDefault="004D1A15" w:rsidP="001F1C1C"/>
        </w:tc>
        <w:tc>
          <w:tcPr>
            <w:tcW w:w="2935" w:type="dxa"/>
            <w:vMerge w:val="restart"/>
            <w:vAlign w:val="center"/>
          </w:tcPr>
          <w:p w14:paraId="039818EA" w14:textId="77777777" w:rsidR="004D1A15" w:rsidRDefault="004D1A15" w:rsidP="0087445B">
            <w:r>
              <w:t>Medications that can affect CYP metabolism</w:t>
            </w:r>
            <w:r w:rsidRPr="00DB0CA7">
              <w:rPr>
                <w:vertAlign w:val="superscript"/>
              </w:rPr>
              <w:t>1</w:t>
            </w:r>
            <w:r>
              <w:rPr>
                <w:vertAlign w:val="superscript"/>
              </w:rPr>
              <w:t>,2</w:t>
            </w:r>
          </w:p>
        </w:tc>
        <w:tc>
          <w:tcPr>
            <w:tcW w:w="2935" w:type="dxa"/>
          </w:tcPr>
          <w:p w14:paraId="7D0069E6" w14:textId="77777777" w:rsidR="004D1A15" w:rsidRDefault="004D1A15" w:rsidP="0087445B">
            <w:r>
              <w:t>CYP3A4 inhibitors</w:t>
            </w:r>
          </w:p>
        </w:tc>
      </w:tr>
      <w:tr w:rsidR="004D1A15" w14:paraId="6E0A1368" w14:textId="77777777" w:rsidTr="00DC1F8D">
        <w:tc>
          <w:tcPr>
            <w:tcW w:w="3480" w:type="dxa"/>
            <w:vMerge/>
            <w:shd w:val="clear" w:color="auto" w:fill="D9D9D9" w:themeFill="background1" w:themeFillShade="D9"/>
            <w:tcMar>
              <w:left w:w="29" w:type="dxa"/>
              <w:right w:w="115" w:type="dxa"/>
            </w:tcMar>
            <w:vAlign w:val="center"/>
          </w:tcPr>
          <w:p w14:paraId="4F6B417F" w14:textId="77777777" w:rsidR="004D1A15" w:rsidRDefault="004D1A15" w:rsidP="001F1C1C"/>
        </w:tc>
        <w:tc>
          <w:tcPr>
            <w:tcW w:w="2935" w:type="dxa"/>
            <w:vMerge/>
          </w:tcPr>
          <w:p w14:paraId="60BC977A" w14:textId="77777777" w:rsidR="004D1A15" w:rsidRDefault="004D1A15" w:rsidP="0087445B"/>
        </w:tc>
        <w:tc>
          <w:tcPr>
            <w:tcW w:w="2935" w:type="dxa"/>
          </w:tcPr>
          <w:p w14:paraId="3E0C0434" w14:textId="77777777" w:rsidR="004D1A15" w:rsidRDefault="004D1A15" w:rsidP="0087445B">
            <w:r>
              <w:t>CYP3A4 inducers</w:t>
            </w:r>
          </w:p>
        </w:tc>
      </w:tr>
      <w:tr w:rsidR="004D1A15" w14:paraId="1B106B0F" w14:textId="77777777" w:rsidTr="00DC1F8D">
        <w:tc>
          <w:tcPr>
            <w:tcW w:w="3480" w:type="dxa"/>
            <w:vMerge/>
            <w:shd w:val="clear" w:color="auto" w:fill="D9D9D9" w:themeFill="background1" w:themeFillShade="D9"/>
            <w:tcMar>
              <w:left w:w="29" w:type="dxa"/>
              <w:right w:w="115" w:type="dxa"/>
            </w:tcMar>
            <w:vAlign w:val="center"/>
          </w:tcPr>
          <w:p w14:paraId="139778CA" w14:textId="77777777" w:rsidR="004D1A15" w:rsidRDefault="004D1A15" w:rsidP="001F1C1C"/>
        </w:tc>
        <w:tc>
          <w:tcPr>
            <w:tcW w:w="2935" w:type="dxa"/>
            <w:vMerge/>
          </w:tcPr>
          <w:p w14:paraId="3501A889" w14:textId="77777777" w:rsidR="004D1A15" w:rsidRDefault="004D1A15" w:rsidP="0087445B"/>
        </w:tc>
        <w:tc>
          <w:tcPr>
            <w:tcW w:w="2935" w:type="dxa"/>
          </w:tcPr>
          <w:p w14:paraId="1BAB70BB" w14:textId="77777777" w:rsidR="004D1A15" w:rsidRDefault="004D1A15" w:rsidP="0087445B">
            <w:r>
              <w:t>CYP2D6 inhibitors</w:t>
            </w:r>
            <w:r w:rsidRPr="00BD4E16">
              <w:rPr>
                <w:rFonts w:eastAsia="Calibri"/>
                <w:vertAlign w:val="superscript"/>
              </w:rPr>
              <w:t>‡</w:t>
            </w:r>
          </w:p>
        </w:tc>
      </w:tr>
      <w:tr w:rsidR="004D1A15" w14:paraId="1E961E8A" w14:textId="77777777" w:rsidTr="00DC1F8D">
        <w:tc>
          <w:tcPr>
            <w:tcW w:w="3480" w:type="dxa"/>
            <w:vMerge/>
            <w:shd w:val="clear" w:color="auto" w:fill="D9D9D9" w:themeFill="background1" w:themeFillShade="D9"/>
            <w:tcMar>
              <w:left w:w="29" w:type="dxa"/>
              <w:right w:w="115" w:type="dxa"/>
            </w:tcMar>
            <w:vAlign w:val="center"/>
          </w:tcPr>
          <w:p w14:paraId="5FE7EFF8" w14:textId="77777777" w:rsidR="004D1A15" w:rsidRDefault="004D1A15" w:rsidP="001F1C1C"/>
        </w:tc>
        <w:tc>
          <w:tcPr>
            <w:tcW w:w="2935" w:type="dxa"/>
            <w:vMerge/>
          </w:tcPr>
          <w:p w14:paraId="5FEDEEE8" w14:textId="77777777" w:rsidR="004D1A15" w:rsidRDefault="004D1A15" w:rsidP="0087445B"/>
        </w:tc>
        <w:tc>
          <w:tcPr>
            <w:tcW w:w="2935" w:type="dxa"/>
          </w:tcPr>
          <w:p w14:paraId="45F3371D" w14:textId="77777777" w:rsidR="004D1A15" w:rsidRDefault="004D1A15" w:rsidP="0087445B">
            <w:r>
              <w:t>CYP2D6 inducers</w:t>
            </w:r>
            <w:r w:rsidRPr="0050061C">
              <w:rPr>
                <w:vertAlign w:val="superscript"/>
              </w:rPr>
              <w:t>§</w:t>
            </w:r>
          </w:p>
        </w:tc>
      </w:tr>
      <w:tr w:rsidR="004D1A15" w14:paraId="40CA7566" w14:textId="77777777" w:rsidTr="00DC1F8D">
        <w:tc>
          <w:tcPr>
            <w:tcW w:w="3480" w:type="dxa"/>
            <w:vMerge/>
            <w:shd w:val="clear" w:color="auto" w:fill="D9D9D9" w:themeFill="background1" w:themeFillShade="D9"/>
            <w:tcMar>
              <w:left w:w="29" w:type="dxa"/>
              <w:right w:w="115" w:type="dxa"/>
            </w:tcMar>
            <w:vAlign w:val="center"/>
          </w:tcPr>
          <w:p w14:paraId="001E6728" w14:textId="77777777" w:rsidR="004D1A15" w:rsidRDefault="004D1A15" w:rsidP="001F1C1C"/>
        </w:tc>
        <w:tc>
          <w:tcPr>
            <w:tcW w:w="2935" w:type="dxa"/>
            <w:vMerge/>
          </w:tcPr>
          <w:p w14:paraId="296826E6" w14:textId="77777777" w:rsidR="004D1A15" w:rsidRDefault="004D1A15" w:rsidP="0087445B"/>
        </w:tc>
        <w:tc>
          <w:tcPr>
            <w:tcW w:w="2935" w:type="dxa"/>
          </w:tcPr>
          <w:p w14:paraId="1BA91655" w14:textId="77777777" w:rsidR="004D1A15" w:rsidRDefault="004D1A15" w:rsidP="0087445B">
            <w:r>
              <w:t>CYP1A2 inhibitors</w:t>
            </w:r>
          </w:p>
        </w:tc>
      </w:tr>
      <w:tr w:rsidR="004D1A15" w14:paraId="67EE18AD" w14:textId="77777777" w:rsidTr="00DC1F8D">
        <w:tc>
          <w:tcPr>
            <w:tcW w:w="3480" w:type="dxa"/>
            <w:vMerge/>
            <w:shd w:val="clear" w:color="auto" w:fill="D9D9D9" w:themeFill="background1" w:themeFillShade="D9"/>
            <w:tcMar>
              <w:left w:w="29" w:type="dxa"/>
              <w:right w:w="115" w:type="dxa"/>
            </w:tcMar>
            <w:vAlign w:val="center"/>
          </w:tcPr>
          <w:p w14:paraId="32069E93" w14:textId="77777777" w:rsidR="004D1A15" w:rsidRDefault="004D1A15" w:rsidP="001F1C1C"/>
        </w:tc>
        <w:tc>
          <w:tcPr>
            <w:tcW w:w="2935" w:type="dxa"/>
            <w:vMerge/>
          </w:tcPr>
          <w:p w14:paraId="42FE430C" w14:textId="77777777" w:rsidR="004D1A15" w:rsidRDefault="004D1A15" w:rsidP="0087445B"/>
        </w:tc>
        <w:tc>
          <w:tcPr>
            <w:tcW w:w="2935" w:type="dxa"/>
          </w:tcPr>
          <w:p w14:paraId="2F5EEE70" w14:textId="77777777" w:rsidR="004D1A15" w:rsidRDefault="004D1A15" w:rsidP="0087445B">
            <w:r>
              <w:t>CYP1A2 inducers</w:t>
            </w:r>
          </w:p>
        </w:tc>
      </w:tr>
      <w:tr w:rsidR="004D1A15" w14:paraId="4F3654A6" w14:textId="77777777" w:rsidTr="00DC1F8D">
        <w:tc>
          <w:tcPr>
            <w:tcW w:w="3480" w:type="dxa"/>
            <w:vMerge/>
            <w:shd w:val="clear" w:color="auto" w:fill="D9D9D9" w:themeFill="background1" w:themeFillShade="D9"/>
            <w:tcMar>
              <w:left w:w="29" w:type="dxa"/>
              <w:right w:w="115" w:type="dxa"/>
            </w:tcMar>
            <w:vAlign w:val="center"/>
          </w:tcPr>
          <w:p w14:paraId="34358475" w14:textId="77777777" w:rsidR="004D1A15" w:rsidRDefault="004D1A15" w:rsidP="001F1C1C"/>
        </w:tc>
        <w:tc>
          <w:tcPr>
            <w:tcW w:w="2935" w:type="dxa"/>
            <w:vMerge/>
          </w:tcPr>
          <w:p w14:paraId="04274DA8" w14:textId="77777777" w:rsidR="004D1A15" w:rsidRDefault="004D1A15" w:rsidP="0087445B"/>
        </w:tc>
        <w:tc>
          <w:tcPr>
            <w:tcW w:w="2935" w:type="dxa"/>
          </w:tcPr>
          <w:p w14:paraId="72DACEA4" w14:textId="77777777" w:rsidR="004D1A15" w:rsidRDefault="004D1A15" w:rsidP="0087445B">
            <w:r>
              <w:t>P-</w:t>
            </w:r>
            <w:proofErr w:type="spellStart"/>
            <w:r>
              <w:t>gp</w:t>
            </w:r>
            <w:proofErr w:type="spellEnd"/>
            <w:r>
              <w:t xml:space="preserve"> inhibitors</w:t>
            </w:r>
          </w:p>
        </w:tc>
      </w:tr>
      <w:tr w:rsidR="004D1A15" w14:paraId="436F3520" w14:textId="77777777" w:rsidTr="00DC1F8D">
        <w:tc>
          <w:tcPr>
            <w:tcW w:w="3480" w:type="dxa"/>
            <w:vMerge/>
            <w:shd w:val="clear" w:color="auto" w:fill="D9D9D9" w:themeFill="background1" w:themeFillShade="D9"/>
            <w:tcMar>
              <w:left w:w="29" w:type="dxa"/>
              <w:right w:w="115" w:type="dxa"/>
            </w:tcMar>
            <w:vAlign w:val="center"/>
          </w:tcPr>
          <w:p w14:paraId="725A53DF" w14:textId="77777777" w:rsidR="004D1A15" w:rsidRDefault="004D1A15" w:rsidP="001F1C1C"/>
        </w:tc>
        <w:tc>
          <w:tcPr>
            <w:tcW w:w="2935" w:type="dxa"/>
            <w:vMerge/>
          </w:tcPr>
          <w:p w14:paraId="0E507D9D" w14:textId="77777777" w:rsidR="004D1A15" w:rsidRDefault="004D1A15" w:rsidP="0087445B"/>
        </w:tc>
        <w:tc>
          <w:tcPr>
            <w:tcW w:w="2935" w:type="dxa"/>
          </w:tcPr>
          <w:p w14:paraId="40EF9D38" w14:textId="77777777" w:rsidR="004D1A15" w:rsidRDefault="004D1A15" w:rsidP="0087445B">
            <w:r>
              <w:t>P-</w:t>
            </w:r>
            <w:proofErr w:type="spellStart"/>
            <w:r>
              <w:t>gp</w:t>
            </w:r>
            <w:proofErr w:type="spellEnd"/>
            <w:r>
              <w:t xml:space="preserve"> inducers</w:t>
            </w:r>
          </w:p>
        </w:tc>
      </w:tr>
      <w:tr w:rsidR="004D1A15" w14:paraId="5BDBD6A6" w14:textId="77777777" w:rsidTr="00DC1F8D">
        <w:tc>
          <w:tcPr>
            <w:tcW w:w="3480" w:type="dxa"/>
            <w:shd w:val="clear" w:color="auto" w:fill="D9D9D9" w:themeFill="background1" w:themeFillShade="D9"/>
            <w:tcMar>
              <w:left w:w="29" w:type="dxa"/>
              <w:right w:w="115" w:type="dxa"/>
            </w:tcMar>
            <w:vAlign w:val="center"/>
          </w:tcPr>
          <w:p w14:paraId="1C55E6EB" w14:textId="77777777" w:rsidR="004D1A15" w:rsidRDefault="004D1A15" w:rsidP="001F1C1C">
            <w:r>
              <w:t>Measure of frailty</w:t>
            </w:r>
          </w:p>
        </w:tc>
        <w:tc>
          <w:tcPr>
            <w:tcW w:w="5870" w:type="dxa"/>
            <w:gridSpan w:val="2"/>
          </w:tcPr>
          <w:p w14:paraId="26887421" w14:textId="77777777" w:rsidR="004D1A15" w:rsidRDefault="004D1A15" w:rsidP="0087445B">
            <w:r>
              <w:t>Claims-based frailty index</w:t>
            </w:r>
            <w:r w:rsidRPr="006D5B31">
              <w:rPr>
                <w:vertAlign w:val="superscript"/>
              </w:rPr>
              <w:t>3</w:t>
            </w:r>
          </w:p>
        </w:tc>
      </w:tr>
      <w:tr w:rsidR="004D1A15" w14:paraId="30AD3E77" w14:textId="77777777" w:rsidTr="00DC1F8D">
        <w:tc>
          <w:tcPr>
            <w:tcW w:w="9350" w:type="dxa"/>
            <w:gridSpan w:val="3"/>
            <w:tcMar>
              <w:left w:w="29" w:type="dxa"/>
              <w:right w:w="115" w:type="dxa"/>
            </w:tcMar>
          </w:tcPr>
          <w:p w14:paraId="1BC69525" w14:textId="77777777" w:rsidR="004D1A15" w:rsidRDefault="004D1A15" w:rsidP="0087445B">
            <w:pPr>
              <w:rPr>
                <w:sz w:val="20"/>
              </w:rPr>
            </w:pPr>
            <w:r>
              <w:rPr>
                <w:sz w:val="20"/>
              </w:rPr>
              <w:t xml:space="preserve">BR = </w:t>
            </w:r>
            <w:proofErr w:type="spellStart"/>
            <w:r>
              <w:rPr>
                <w:sz w:val="20"/>
              </w:rPr>
              <w:t>bendamustine</w:t>
            </w:r>
            <w:proofErr w:type="spellEnd"/>
            <w:r>
              <w:rPr>
                <w:sz w:val="20"/>
              </w:rPr>
              <w:t xml:space="preserve">-rituximab; </w:t>
            </w:r>
            <w:r w:rsidRPr="00DB0CA7">
              <w:rPr>
                <w:sz w:val="20"/>
              </w:rPr>
              <w:t>CYP = cytochrome P450; NSAID = nonsteroidal anti-inflammatory drug</w:t>
            </w:r>
            <w:r>
              <w:rPr>
                <w:sz w:val="20"/>
              </w:rPr>
              <w:t>; P-</w:t>
            </w:r>
            <w:proofErr w:type="spellStart"/>
            <w:r>
              <w:rPr>
                <w:sz w:val="20"/>
              </w:rPr>
              <w:t>gp</w:t>
            </w:r>
            <w:proofErr w:type="spellEnd"/>
            <w:r>
              <w:rPr>
                <w:sz w:val="20"/>
              </w:rPr>
              <w:t xml:space="preserve"> = p-glycoprotein</w:t>
            </w:r>
          </w:p>
          <w:p w14:paraId="2C546311" w14:textId="77777777" w:rsidR="004D1A15" w:rsidRDefault="004D1A15" w:rsidP="0087445B"/>
          <w:p w14:paraId="3C69469D" w14:textId="43C6523B" w:rsidR="004D1A15" w:rsidRPr="00713AE1" w:rsidRDefault="004D1A15" w:rsidP="0087445B">
            <w:pPr>
              <w:rPr>
                <w:sz w:val="20"/>
                <w:szCs w:val="20"/>
              </w:rPr>
            </w:pPr>
            <w:r w:rsidRPr="00713AE1">
              <w:rPr>
                <w:sz w:val="20"/>
                <w:szCs w:val="20"/>
              </w:rPr>
              <w:t xml:space="preserve">See </w:t>
            </w:r>
            <w:r w:rsidRPr="00713AE1">
              <w:rPr>
                <w:b/>
                <w:bCs/>
                <w:sz w:val="20"/>
                <w:szCs w:val="20"/>
              </w:rPr>
              <w:t xml:space="preserve">Supplementary Figure </w:t>
            </w:r>
            <w:r w:rsidR="00F34F1C">
              <w:rPr>
                <w:b/>
                <w:bCs/>
                <w:sz w:val="20"/>
                <w:szCs w:val="20"/>
              </w:rPr>
              <w:t>2</w:t>
            </w:r>
            <w:r w:rsidRPr="00713AE1">
              <w:rPr>
                <w:sz w:val="20"/>
                <w:szCs w:val="20"/>
              </w:rPr>
              <w:t xml:space="preserve"> for details on timing of covariate measurement</w:t>
            </w:r>
          </w:p>
          <w:p w14:paraId="2DC6BACB" w14:textId="77777777" w:rsidR="004D1A15" w:rsidRDefault="004D1A15" w:rsidP="0087445B">
            <w:pPr>
              <w:rPr>
                <w:rFonts w:eastAsia="Calibri"/>
                <w:sz w:val="20"/>
                <w:szCs w:val="20"/>
              </w:rPr>
            </w:pPr>
            <w:r>
              <w:br/>
            </w:r>
            <w:r w:rsidRPr="00DB0CA7">
              <w:rPr>
                <w:sz w:val="20"/>
              </w:rPr>
              <w:t>*</w:t>
            </w:r>
            <w:r>
              <w:rPr>
                <w:sz w:val="20"/>
              </w:rPr>
              <w:t xml:space="preserve">  </w:t>
            </w:r>
            <w:r>
              <w:rPr>
                <w:rFonts w:eastAsia="Calibri"/>
                <w:sz w:val="20"/>
                <w:szCs w:val="20"/>
              </w:rPr>
              <w:t>Baseline bleeding was identified using the same diagnosis codes as the primary outcome definition, but permitted in any diagnosis position on the claim</w:t>
            </w:r>
          </w:p>
          <w:p w14:paraId="3BF8DBB5" w14:textId="77777777" w:rsidR="004D1A15" w:rsidRDefault="004D1A15" w:rsidP="0087445B">
            <w:pPr>
              <w:rPr>
                <w:rFonts w:eastAsia="Calibri"/>
                <w:sz w:val="20"/>
                <w:szCs w:val="20"/>
              </w:rPr>
            </w:pPr>
            <w:r w:rsidRPr="00043D18">
              <w:rPr>
                <w:rFonts w:eastAsia="Calibri"/>
                <w:sz w:val="20"/>
                <w:szCs w:val="20"/>
              </w:rPr>
              <w:t>†</w:t>
            </w:r>
            <w:r>
              <w:rPr>
                <w:rFonts w:eastAsia="Calibri"/>
                <w:sz w:val="20"/>
                <w:szCs w:val="20"/>
              </w:rPr>
              <w:t xml:space="preserve">  Rituximab was excluded from targeted anticancer therapy covariate as it is part of the BR regimen</w:t>
            </w:r>
          </w:p>
          <w:p w14:paraId="5511800D" w14:textId="77777777" w:rsidR="004D1A15" w:rsidRDefault="004D1A15" w:rsidP="0087445B">
            <w:pPr>
              <w:rPr>
                <w:rFonts w:eastAsia="Calibri"/>
                <w:sz w:val="20"/>
                <w:szCs w:val="20"/>
              </w:rPr>
            </w:pPr>
            <w:r w:rsidRPr="00043D18">
              <w:rPr>
                <w:rFonts w:eastAsia="Calibri"/>
                <w:sz w:val="20"/>
                <w:szCs w:val="20"/>
              </w:rPr>
              <w:t>‡</w:t>
            </w:r>
            <w:r>
              <w:rPr>
                <w:rFonts w:eastAsia="Calibri"/>
                <w:sz w:val="20"/>
                <w:szCs w:val="20"/>
              </w:rPr>
              <w:t xml:space="preserve">  Diphenhydramine and hydroxyzine were excluded from CYP2D6 inhibitors covariate as they are used as pre-treatment medications for BR, thus are highly correlated to exposure status but are not confounders</w:t>
            </w:r>
          </w:p>
          <w:p w14:paraId="1B6A4FA3" w14:textId="77777777" w:rsidR="004D1A15" w:rsidRDefault="004D1A15" w:rsidP="0087445B">
            <w:pPr>
              <w:rPr>
                <w:sz w:val="20"/>
                <w:szCs w:val="20"/>
              </w:rPr>
            </w:pPr>
            <w:r w:rsidRPr="00320589">
              <w:rPr>
                <w:sz w:val="20"/>
                <w:szCs w:val="20"/>
              </w:rPr>
              <w:t>§</w:t>
            </w:r>
            <w:r>
              <w:rPr>
                <w:sz w:val="20"/>
                <w:szCs w:val="20"/>
              </w:rPr>
              <w:t xml:space="preserve">  Dexamethasone was excluded from CYP2D6 inducers covariate as it is used as a pre-treatment medication for BR, thus is highly correlated to exposure status but is not a confounder</w:t>
            </w:r>
          </w:p>
          <w:p w14:paraId="587DDCAE" w14:textId="77777777" w:rsidR="004D1A15" w:rsidRDefault="004D1A15" w:rsidP="0087445B">
            <w:pPr>
              <w:rPr>
                <w:sz w:val="20"/>
              </w:rPr>
            </w:pPr>
            <w:r>
              <w:lastRenderedPageBreak/>
              <w:br/>
            </w:r>
            <w:r w:rsidRPr="00931139">
              <w:rPr>
                <w:sz w:val="20"/>
              </w:rPr>
              <w:t>1. Flockhart DA, et al. The Flockhart Table™. Drug Interactions: Cytochrome P450 drug interaction table. Indiana University School of Medicine. 2020.</w:t>
            </w:r>
          </w:p>
          <w:p w14:paraId="6F87EF73" w14:textId="77777777" w:rsidR="004D1A15" w:rsidRPr="00B466D6" w:rsidRDefault="004D1A15" w:rsidP="006D5B31">
            <w:pPr>
              <w:rPr>
                <w:rFonts w:eastAsia="Calibri"/>
                <w:sz w:val="20"/>
                <w:szCs w:val="20"/>
              </w:rPr>
            </w:pPr>
            <w:r w:rsidRPr="00B466D6">
              <w:rPr>
                <w:rFonts w:eastAsia="Calibri"/>
                <w:sz w:val="20"/>
                <w:szCs w:val="20"/>
              </w:rPr>
              <w:t>2. Inhibitors and inducers of P-glycoprotein (P-</w:t>
            </w:r>
            <w:proofErr w:type="spellStart"/>
            <w:r w:rsidRPr="00B466D6">
              <w:rPr>
                <w:rFonts w:eastAsia="Calibri"/>
                <w:sz w:val="20"/>
                <w:szCs w:val="20"/>
              </w:rPr>
              <w:t>gp</w:t>
            </w:r>
            <w:proofErr w:type="spellEnd"/>
            <w:r w:rsidRPr="00B466D6">
              <w:rPr>
                <w:rFonts w:eastAsia="Calibri"/>
                <w:sz w:val="20"/>
                <w:szCs w:val="20"/>
              </w:rPr>
              <w:t>) drug efflux pump (P-</w:t>
            </w:r>
            <w:proofErr w:type="spellStart"/>
            <w:r w:rsidRPr="00B466D6">
              <w:rPr>
                <w:rFonts w:eastAsia="Calibri"/>
                <w:sz w:val="20"/>
                <w:szCs w:val="20"/>
              </w:rPr>
              <w:t>gp</w:t>
            </w:r>
            <w:proofErr w:type="spellEnd"/>
            <w:r w:rsidRPr="00B466D6">
              <w:rPr>
                <w:rFonts w:eastAsia="Calibri"/>
                <w:sz w:val="20"/>
                <w:szCs w:val="20"/>
              </w:rPr>
              <w:t xml:space="preserve"> multidrug resistance transporter). UpToDate</w:t>
            </w:r>
            <w:r w:rsidRPr="00B466D6">
              <w:rPr>
                <w:sz w:val="20"/>
                <w:szCs w:val="20"/>
                <w:vertAlign w:val="superscript"/>
              </w:rPr>
              <w:t>®</w:t>
            </w:r>
            <w:r w:rsidRPr="00B466D6">
              <w:rPr>
                <w:sz w:val="20"/>
                <w:szCs w:val="20"/>
              </w:rPr>
              <w:t>. 2022.</w:t>
            </w:r>
          </w:p>
          <w:p w14:paraId="4CFA12BA" w14:textId="77777777" w:rsidR="004D1A15" w:rsidRPr="00C10D17" w:rsidRDefault="004D1A15" w:rsidP="0087445B">
            <w:pPr>
              <w:rPr>
                <w:sz w:val="20"/>
              </w:rPr>
            </w:pPr>
            <w:r>
              <w:rPr>
                <w:sz w:val="20"/>
              </w:rPr>
              <w:t>3</w:t>
            </w:r>
            <w:r w:rsidRPr="00931139">
              <w:rPr>
                <w:sz w:val="20"/>
              </w:rPr>
              <w:t xml:space="preserve">. Kim DH, et al. Measuring Frailty in Medicare Data: Development and Validation of a Claims-Based Frailty Index. </w:t>
            </w:r>
            <w:r w:rsidRPr="00931139">
              <w:rPr>
                <w:i/>
                <w:sz w:val="20"/>
              </w:rPr>
              <w:t xml:space="preserve">J </w:t>
            </w:r>
            <w:proofErr w:type="spellStart"/>
            <w:r w:rsidRPr="00931139">
              <w:rPr>
                <w:i/>
                <w:sz w:val="20"/>
              </w:rPr>
              <w:t>Gerontol</w:t>
            </w:r>
            <w:proofErr w:type="spellEnd"/>
            <w:r w:rsidRPr="00931139">
              <w:rPr>
                <w:i/>
                <w:sz w:val="20"/>
              </w:rPr>
              <w:t xml:space="preserve"> A Biol Sci Med Sci</w:t>
            </w:r>
            <w:r w:rsidRPr="00931139">
              <w:rPr>
                <w:sz w:val="20"/>
              </w:rPr>
              <w:t>. 2018;73(7):980-7.</w:t>
            </w:r>
          </w:p>
        </w:tc>
      </w:tr>
    </w:tbl>
    <w:p w14:paraId="01422D5B" w14:textId="77777777" w:rsidR="004D1A15" w:rsidRDefault="004D1A15">
      <w:pPr>
        <w:sectPr w:rsidR="004D1A15" w:rsidSect="00AA1D42">
          <w:footerReference w:type="default" r:id="rId7"/>
          <w:pgSz w:w="12240" w:h="15840"/>
          <w:pgMar w:top="1440" w:right="1440" w:bottom="1440" w:left="1440" w:header="720" w:footer="720" w:gutter="0"/>
          <w:cols w:space="720"/>
          <w:docGrid w:linePitch="360"/>
        </w:sectPr>
      </w:pPr>
    </w:p>
    <w:p w14:paraId="62D2B288" w14:textId="77777777" w:rsidR="004D1A15" w:rsidRPr="00E75620" w:rsidRDefault="004D1A15" w:rsidP="00E75620">
      <w:pPr>
        <w:pStyle w:val="Heading1"/>
        <w:rPr>
          <w:rFonts w:ascii="Times New Roman" w:hAnsi="Times New Roman" w:cs="Times New Roman"/>
          <w:b/>
          <w:bCs/>
          <w:color w:val="auto"/>
          <w:sz w:val="24"/>
          <w:szCs w:val="24"/>
        </w:rPr>
      </w:pPr>
      <w:r w:rsidRPr="00E75620">
        <w:rPr>
          <w:rFonts w:ascii="Times New Roman" w:hAnsi="Times New Roman" w:cs="Times New Roman"/>
          <w:b/>
          <w:bCs/>
          <w:color w:val="auto"/>
          <w:sz w:val="24"/>
          <w:szCs w:val="24"/>
        </w:rPr>
        <w:lastRenderedPageBreak/>
        <w:t>Supplementary Table 2. Diagnosis codes used in primary outcome definition.</w:t>
      </w:r>
    </w:p>
    <w:tbl>
      <w:tblPr>
        <w:tblW w:w="14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7"/>
        <w:gridCol w:w="1677"/>
        <w:gridCol w:w="6845"/>
        <w:gridCol w:w="4225"/>
      </w:tblGrid>
      <w:tr w:rsidR="004D1A15" w:rsidRPr="000E2AA1" w14:paraId="7405761D" w14:textId="77777777" w:rsidTr="0087445B">
        <w:trPr>
          <w:trHeight w:val="286"/>
          <w:jc w:val="center"/>
        </w:trPr>
        <w:tc>
          <w:tcPr>
            <w:tcW w:w="1677" w:type="dxa"/>
            <w:shd w:val="clear" w:color="auto" w:fill="D9D9D9" w:themeFill="background1" w:themeFillShade="D9"/>
            <w:vAlign w:val="center"/>
          </w:tcPr>
          <w:p w14:paraId="4817E745" w14:textId="77777777" w:rsidR="004D1A15" w:rsidRPr="000E2AA1" w:rsidRDefault="004D1A15" w:rsidP="0087445B">
            <w:pPr>
              <w:spacing w:after="0"/>
              <w:jc w:val="center"/>
              <w:rPr>
                <w:rFonts w:eastAsia="Times New Roman"/>
                <w:b/>
                <w:bCs/>
                <w:color w:val="000000"/>
                <w:sz w:val="20"/>
                <w:szCs w:val="20"/>
              </w:rPr>
            </w:pPr>
            <w:r w:rsidRPr="000E2AA1">
              <w:rPr>
                <w:rFonts w:eastAsia="Times New Roman"/>
                <w:b/>
                <w:bCs/>
                <w:color w:val="000000"/>
                <w:sz w:val="20"/>
                <w:szCs w:val="20"/>
              </w:rPr>
              <w:t>Bleed Site</w:t>
            </w:r>
          </w:p>
        </w:tc>
        <w:tc>
          <w:tcPr>
            <w:tcW w:w="1677" w:type="dxa"/>
            <w:shd w:val="clear" w:color="auto" w:fill="D9D9D9" w:themeFill="background1" w:themeFillShade="D9"/>
            <w:noWrap/>
            <w:vAlign w:val="center"/>
            <w:hideMark/>
          </w:tcPr>
          <w:p w14:paraId="58101B88" w14:textId="77777777" w:rsidR="004D1A15" w:rsidRPr="00937EE1" w:rsidRDefault="004D1A15" w:rsidP="0087445B">
            <w:pPr>
              <w:spacing w:after="0"/>
              <w:jc w:val="center"/>
              <w:rPr>
                <w:rFonts w:eastAsia="Times New Roman"/>
                <w:b/>
                <w:bCs/>
                <w:color w:val="000000"/>
                <w:sz w:val="20"/>
                <w:szCs w:val="20"/>
              </w:rPr>
            </w:pPr>
            <w:r w:rsidRPr="000E2AA1">
              <w:rPr>
                <w:rFonts w:eastAsia="Times New Roman"/>
                <w:b/>
                <w:bCs/>
                <w:color w:val="000000"/>
                <w:sz w:val="20"/>
                <w:szCs w:val="20"/>
              </w:rPr>
              <w:t>ICD-9-CM Code</w:t>
            </w:r>
          </w:p>
        </w:tc>
        <w:tc>
          <w:tcPr>
            <w:tcW w:w="6845" w:type="dxa"/>
            <w:shd w:val="clear" w:color="auto" w:fill="D9D9D9" w:themeFill="background1" w:themeFillShade="D9"/>
            <w:noWrap/>
            <w:vAlign w:val="center"/>
            <w:hideMark/>
          </w:tcPr>
          <w:p w14:paraId="7CFD0599" w14:textId="77777777" w:rsidR="004D1A15" w:rsidRPr="00937EE1" w:rsidRDefault="004D1A15" w:rsidP="0087445B">
            <w:pPr>
              <w:spacing w:after="0"/>
              <w:jc w:val="center"/>
              <w:rPr>
                <w:rFonts w:eastAsia="Times New Roman"/>
                <w:b/>
                <w:bCs/>
                <w:color w:val="000000"/>
                <w:sz w:val="20"/>
                <w:szCs w:val="20"/>
              </w:rPr>
            </w:pPr>
            <w:r w:rsidRPr="000E2AA1">
              <w:rPr>
                <w:rFonts w:eastAsia="Times New Roman"/>
                <w:b/>
                <w:bCs/>
                <w:color w:val="000000"/>
                <w:sz w:val="20"/>
                <w:szCs w:val="20"/>
              </w:rPr>
              <w:t>ICD-9-CM Code Description</w:t>
            </w:r>
          </w:p>
        </w:tc>
        <w:tc>
          <w:tcPr>
            <w:tcW w:w="4225" w:type="dxa"/>
            <w:shd w:val="clear" w:color="auto" w:fill="D9D9D9" w:themeFill="background1" w:themeFillShade="D9"/>
            <w:noWrap/>
            <w:vAlign w:val="center"/>
            <w:hideMark/>
          </w:tcPr>
          <w:p w14:paraId="11CCAC94" w14:textId="77777777" w:rsidR="004D1A15" w:rsidRPr="00937EE1" w:rsidRDefault="004D1A15" w:rsidP="0087445B">
            <w:pPr>
              <w:spacing w:after="0"/>
              <w:jc w:val="center"/>
              <w:rPr>
                <w:rFonts w:eastAsia="Times New Roman"/>
                <w:b/>
                <w:bCs/>
                <w:color w:val="000000"/>
                <w:sz w:val="20"/>
                <w:szCs w:val="20"/>
              </w:rPr>
            </w:pPr>
            <w:r w:rsidRPr="000E2AA1">
              <w:rPr>
                <w:rFonts w:eastAsia="Times New Roman"/>
                <w:b/>
                <w:bCs/>
                <w:color w:val="000000"/>
                <w:sz w:val="20"/>
                <w:szCs w:val="20"/>
              </w:rPr>
              <w:t>ICD-10-CM Code</w:t>
            </w:r>
            <w:r w:rsidRPr="003742F2">
              <w:rPr>
                <w:rFonts w:eastAsia="Times New Roman"/>
                <w:b/>
                <w:bCs/>
                <w:color w:val="000000"/>
                <w:sz w:val="20"/>
                <w:szCs w:val="20"/>
                <w:vertAlign w:val="superscript"/>
              </w:rPr>
              <w:t>*</w:t>
            </w:r>
          </w:p>
        </w:tc>
      </w:tr>
      <w:tr w:rsidR="004D1A15" w:rsidRPr="000E2AA1" w14:paraId="2E74DC68" w14:textId="77777777" w:rsidTr="0087445B">
        <w:trPr>
          <w:trHeight w:val="286"/>
          <w:jc w:val="center"/>
        </w:trPr>
        <w:tc>
          <w:tcPr>
            <w:tcW w:w="14424" w:type="dxa"/>
            <w:gridSpan w:val="4"/>
            <w:shd w:val="clear" w:color="auto" w:fill="D9D9D9" w:themeFill="background1" w:themeFillShade="D9"/>
            <w:vAlign w:val="center"/>
          </w:tcPr>
          <w:p w14:paraId="10913A43" w14:textId="77777777" w:rsidR="004D1A15" w:rsidRPr="00C6128A" w:rsidRDefault="004D1A15" w:rsidP="0087445B">
            <w:pPr>
              <w:spacing w:after="0"/>
              <w:jc w:val="center"/>
              <w:rPr>
                <w:rFonts w:eastAsia="Times New Roman"/>
                <w:b/>
                <w:color w:val="000000"/>
                <w:sz w:val="20"/>
                <w:szCs w:val="20"/>
              </w:rPr>
            </w:pPr>
            <w:r>
              <w:rPr>
                <w:rFonts w:eastAsia="Times New Roman"/>
                <w:b/>
                <w:color w:val="000000"/>
                <w:sz w:val="20"/>
                <w:szCs w:val="20"/>
              </w:rPr>
              <w:t>Diagnosis Codes Indicating B</w:t>
            </w:r>
            <w:r w:rsidRPr="00C6128A">
              <w:rPr>
                <w:rFonts w:eastAsia="Times New Roman"/>
                <w:b/>
                <w:color w:val="000000"/>
                <w:sz w:val="20"/>
                <w:szCs w:val="20"/>
              </w:rPr>
              <w:t>leeding</w:t>
            </w:r>
            <w:r w:rsidRPr="00A26123">
              <w:rPr>
                <w:rFonts w:eastAsia="Calibri"/>
                <w:sz w:val="20"/>
                <w:szCs w:val="20"/>
                <w:vertAlign w:val="superscript"/>
              </w:rPr>
              <w:t>†‡</w:t>
            </w:r>
          </w:p>
        </w:tc>
      </w:tr>
      <w:tr w:rsidR="004D1A15" w:rsidRPr="000E2AA1" w14:paraId="7C47BDC6" w14:textId="77777777" w:rsidTr="0087445B">
        <w:trPr>
          <w:trHeight w:val="286"/>
          <w:jc w:val="center"/>
        </w:trPr>
        <w:tc>
          <w:tcPr>
            <w:tcW w:w="1677" w:type="dxa"/>
            <w:vMerge w:val="restart"/>
            <w:vAlign w:val="center"/>
          </w:tcPr>
          <w:p w14:paraId="543840DF" w14:textId="77777777" w:rsidR="004D1A15" w:rsidRPr="000E2AA1" w:rsidRDefault="004D1A15" w:rsidP="0087445B">
            <w:pPr>
              <w:spacing w:after="0"/>
              <w:jc w:val="center"/>
              <w:rPr>
                <w:rFonts w:eastAsia="Times New Roman"/>
                <w:color w:val="000000"/>
                <w:sz w:val="20"/>
                <w:szCs w:val="20"/>
              </w:rPr>
            </w:pPr>
            <w:r>
              <w:rPr>
                <w:rFonts w:eastAsia="Times New Roman"/>
                <w:color w:val="000000"/>
                <w:sz w:val="20"/>
                <w:szCs w:val="20"/>
              </w:rPr>
              <w:t>Gastrointestinal</w:t>
            </w:r>
          </w:p>
        </w:tc>
        <w:tc>
          <w:tcPr>
            <w:tcW w:w="1677" w:type="dxa"/>
            <w:shd w:val="clear" w:color="auto" w:fill="auto"/>
            <w:noWrap/>
            <w:vAlign w:val="center"/>
            <w:hideMark/>
          </w:tcPr>
          <w:p w14:paraId="0D1D829B"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531.0x, 531.2x, 531.4x, 531.6x</w:t>
            </w:r>
          </w:p>
        </w:tc>
        <w:tc>
          <w:tcPr>
            <w:tcW w:w="6845" w:type="dxa"/>
            <w:shd w:val="clear" w:color="auto" w:fill="auto"/>
            <w:noWrap/>
            <w:vAlign w:val="center"/>
            <w:hideMark/>
          </w:tcPr>
          <w:p w14:paraId="402834BF"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Gastric ulcer with hemorrhage</w:t>
            </w:r>
          </w:p>
        </w:tc>
        <w:tc>
          <w:tcPr>
            <w:tcW w:w="4225" w:type="dxa"/>
            <w:shd w:val="clear" w:color="auto" w:fill="auto"/>
            <w:noWrap/>
            <w:vAlign w:val="center"/>
            <w:hideMark/>
          </w:tcPr>
          <w:p w14:paraId="617C6551"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K25.0, K25.2, K25.4, K25.6</w:t>
            </w:r>
          </w:p>
        </w:tc>
      </w:tr>
      <w:tr w:rsidR="004D1A15" w:rsidRPr="000E2AA1" w14:paraId="53E6A3CB" w14:textId="77777777" w:rsidTr="0087445B">
        <w:trPr>
          <w:trHeight w:val="286"/>
          <w:jc w:val="center"/>
        </w:trPr>
        <w:tc>
          <w:tcPr>
            <w:tcW w:w="1677" w:type="dxa"/>
            <w:vMerge/>
            <w:vAlign w:val="center"/>
          </w:tcPr>
          <w:p w14:paraId="67483D9A"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597033B5"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532.0x, 532.2x, 532.4x, 532.6x</w:t>
            </w:r>
          </w:p>
        </w:tc>
        <w:tc>
          <w:tcPr>
            <w:tcW w:w="6845" w:type="dxa"/>
            <w:shd w:val="clear" w:color="auto" w:fill="auto"/>
            <w:noWrap/>
            <w:vAlign w:val="center"/>
            <w:hideMark/>
          </w:tcPr>
          <w:p w14:paraId="407C7CC6"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Duodenal ulcer with hemorrhage</w:t>
            </w:r>
          </w:p>
        </w:tc>
        <w:tc>
          <w:tcPr>
            <w:tcW w:w="4225" w:type="dxa"/>
            <w:shd w:val="clear" w:color="auto" w:fill="auto"/>
            <w:noWrap/>
            <w:vAlign w:val="center"/>
            <w:hideMark/>
          </w:tcPr>
          <w:p w14:paraId="02CB7F7E"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K26.0, K26.2, K26.4, K26.6</w:t>
            </w:r>
          </w:p>
        </w:tc>
      </w:tr>
      <w:tr w:rsidR="004D1A15" w:rsidRPr="000E2AA1" w14:paraId="343A5D0C" w14:textId="77777777" w:rsidTr="0087445B">
        <w:trPr>
          <w:trHeight w:val="286"/>
          <w:jc w:val="center"/>
        </w:trPr>
        <w:tc>
          <w:tcPr>
            <w:tcW w:w="1677" w:type="dxa"/>
            <w:vMerge/>
            <w:vAlign w:val="center"/>
          </w:tcPr>
          <w:p w14:paraId="5226843B"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2AABA1FA"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533.0x, 533.2x, 533.4x, 533.6x</w:t>
            </w:r>
          </w:p>
        </w:tc>
        <w:tc>
          <w:tcPr>
            <w:tcW w:w="6845" w:type="dxa"/>
            <w:shd w:val="clear" w:color="auto" w:fill="auto"/>
            <w:noWrap/>
            <w:vAlign w:val="center"/>
            <w:hideMark/>
          </w:tcPr>
          <w:p w14:paraId="1571C5CB"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Peptic ulcer with hemorrhage</w:t>
            </w:r>
          </w:p>
        </w:tc>
        <w:tc>
          <w:tcPr>
            <w:tcW w:w="4225" w:type="dxa"/>
            <w:shd w:val="clear" w:color="auto" w:fill="auto"/>
            <w:noWrap/>
            <w:vAlign w:val="center"/>
            <w:hideMark/>
          </w:tcPr>
          <w:p w14:paraId="48BDCBA5"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K27.0, K27.2, K27.4, K27.6</w:t>
            </w:r>
          </w:p>
        </w:tc>
      </w:tr>
      <w:tr w:rsidR="004D1A15" w:rsidRPr="000E2AA1" w14:paraId="56CF4658" w14:textId="77777777" w:rsidTr="0087445B">
        <w:trPr>
          <w:trHeight w:val="286"/>
          <w:jc w:val="center"/>
        </w:trPr>
        <w:tc>
          <w:tcPr>
            <w:tcW w:w="1677" w:type="dxa"/>
            <w:vMerge/>
            <w:vAlign w:val="center"/>
          </w:tcPr>
          <w:p w14:paraId="3E10629C"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15A3DEEE"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534.0x, 534.2x, 534.4x, 534.6x</w:t>
            </w:r>
          </w:p>
        </w:tc>
        <w:tc>
          <w:tcPr>
            <w:tcW w:w="6845" w:type="dxa"/>
            <w:shd w:val="clear" w:color="auto" w:fill="auto"/>
            <w:noWrap/>
            <w:vAlign w:val="center"/>
            <w:hideMark/>
          </w:tcPr>
          <w:p w14:paraId="4AAC0549" w14:textId="77777777" w:rsidR="004D1A15" w:rsidRPr="00937EE1" w:rsidRDefault="004D1A15" w:rsidP="0087445B">
            <w:pPr>
              <w:spacing w:after="0"/>
              <w:rPr>
                <w:rFonts w:eastAsia="Times New Roman"/>
                <w:color w:val="000000"/>
                <w:sz w:val="20"/>
                <w:szCs w:val="20"/>
              </w:rPr>
            </w:pPr>
            <w:proofErr w:type="spellStart"/>
            <w:r w:rsidRPr="00937EE1">
              <w:rPr>
                <w:rFonts w:eastAsia="Times New Roman"/>
                <w:color w:val="000000"/>
                <w:sz w:val="20"/>
                <w:szCs w:val="20"/>
              </w:rPr>
              <w:t>Gastrojejunal</w:t>
            </w:r>
            <w:proofErr w:type="spellEnd"/>
            <w:r w:rsidRPr="00937EE1">
              <w:rPr>
                <w:rFonts w:eastAsia="Times New Roman"/>
                <w:color w:val="000000"/>
                <w:sz w:val="20"/>
                <w:szCs w:val="20"/>
              </w:rPr>
              <w:t xml:space="preserve"> ulcer with hemorrhage</w:t>
            </w:r>
          </w:p>
        </w:tc>
        <w:tc>
          <w:tcPr>
            <w:tcW w:w="4225" w:type="dxa"/>
            <w:shd w:val="clear" w:color="auto" w:fill="auto"/>
            <w:noWrap/>
            <w:vAlign w:val="center"/>
            <w:hideMark/>
          </w:tcPr>
          <w:p w14:paraId="44539D88"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K28.0, K28.2, K28.4, K28.6</w:t>
            </w:r>
          </w:p>
        </w:tc>
      </w:tr>
      <w:tr w:rsidR="004D1A15" w:rsidRPr="000E2AA1" w14:paraId="3E5DB8B6" w14:textId="77777777" w:rsidTr="0087445B">
        <w:trPr>
          <w:trHeight w:val="286"/>
          <w:jc w:val="center"/>
        </w:trPr>
        <w:tc>
          <w:tcPr>
            <w:tcW w:w="1677" w:type="dxa"/>
            <w:vMerge/>
            <w:vAlign w:val="center"/>
          </w:tcPr>
          <w:p w14:paraId="68CA72EF"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39A83A47"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535.01, 535.11, 525.21, 535.31, 535.41, 535.51, 535.61</w:t>
            </w:r>
          </w:p>
        </w:tc>
        <w:tc>
          <w:tcPr>
            <w:tcW w:w="6845" w:type="dxa"/>
            <w:shd w:val="clear" w:color="auto" w:fill="auto"/>
            <w:noWrap/>
            <w:vAlign w:val="center"/>
            <w:hideMark/>
          </w:tcPr>
          <w:p w14:paraId="05D08E83"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 xml:space="preserve">Gastritis, </w:t>
            </w:r>
            <w:proofErr w:type="spellStart"/>
            <w:r w:rsidRPr="00937EE1">
              <w:rPr>
                <w:rFonts w:eastAsia="Times New Roman"/>
                <w:color w:val="000000"/>
                <w:sz w:val="20"/>
                <w:szCs w:val="20"/>
              </w:rPr>
              <w:t>gastroduodenitis</w:t>
            </w:r>
            <w:proofErr w:type="spellEnd"/>
            <w:r w:rsidRPr="00937EE1">
              <w:rPr>
                <w:rFonts w:eastAsia="Times New Roman"/>
                <w:color w:val="000000"/>
                <w:sz w:val="20"/>
                <w:szCs w:val="20"/>
              </w:rPr>
              <w:t>, or duodenitis with hemorrhage</w:t>
            </w:r>
          </w:p>
        </w:tc>
        <w:tc>
          <w:tcPr>
            <w:tcW w:w="4225" w:type="dxa"/>
            <w:shd w:val="clear" w:color="auto" w:fill="auto"/>
            <w:noWrap/>
            <w:vAlign w:val="center"/>
            <w:hideMark/>
          </w:tcPr>
          <w:p w14:paraId="2CF7ED77"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K29.01, K29.21, K29.31, K29.41, K29.51, K29.61, K29.71, K29.81, K29.91</w:t>
            </w:r>
          </w:p>
        </w:tc>
      </w:tr>
      <w:tr w:rsidR="004D1A15" w:rsidRPr="000E2AA1" w14:paraId="0D73D200" w14:textId="77777777" w:rsidTr="0087445B">
        <w:trPr>
          <w:trHeight w:val="286"/>
          <w:jc w:val="center"/>
        </w:trPr>
        <w:tc>
          <w:tcPr>
            <w:tcW w:w="1677" w:type="dxa"/>
            <w:vMerge/>
            <w:vAlign w:val="center"/>
          </w:tcPr>
          <w:p w14:paraId="2C83E6B9"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5B37216B"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537.83</w:t>
            </w:r>
          </w:p>
        </w:tc>
        <w:tc>
          <w:tcPr>
            <w:tcW w:w="6845" w:type="dxa"/>
            <w:shd w:val="clear" w:color="auto" w:fill="auto"/>
            <w:noWrap/>
            <w:vAlign w:val="center"/>
            <w:hideMark/>
          </w:tcPr>
          <w:p w14:paraId="6D09FA62"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Angiodysplasia of stomach and duodenum with hemorrhage</w:t>
            </w:r>
          </w:p>
        </w:tc>
        <w:tc>
          <w:tcPr>
            <w:tcW w:w="4225" w:type="dxa"/>
            <w:shd w:val="clear" w:color="auto" w:fill="auto"/>
            <w:noWrap/>
            <w:vAlign w:val="center"/>
            <w:hideMark/>
          </w:tcPr>
          <w:p w14:paraId="32D76CC0"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K31.811</w:t>
            </w:r>
          </w:p>
        </w:tc>
      </w:tr>
      <w:tr w:rsidR="004D1A15" w:rsidRPr="000E2AA1" w14:paraId="4B61AFC6" w14:textId="77777777" w:rsidTr="0087445B">
        <w:trPr>
          <w:trHeight w:val="286"/>
          <w:jc w:val="center"/>
        </w:trPr>
        <w:tc>
          <w:tcPr>
            <w:tcW w:w="1677" w:type="dxa"/>
            <w:vMerge/>
            <w:vAlign w:val="center"/>
          </w:tcPr>
          <w:p w14:paraId="2F4C1215"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145E7F6E"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456.0, 456.20</w:t>
            </w:r>
          </w:p>
        </w:tc>
        <w:tc>
          <w:tcPr>
            <w:tcW w:w="6845" w:type="dxa"/>
            <w:shd w:val="clear" w:color="auto" w:fill="auto"/>
            <w:noWrap/>
            <w:vAlign w:val="center"/>
            <w:hideMark/>
          </w:tcPr>
          <w:p w14:paraId="084B6399"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Esophageal varices with bleeding</w:t>
            </w:r>
          </w:p>
        </w:tc>
        <w:tc>
          <w:tcPr>
            <w:tcW w:w="4225" w:type="dxa"/>
            <w:shd w:val="clear" w:color="auto" w:fill="auto"/>
            <w:noWrap/>
            <w:vAlign w:val="center"/>
            <w:hideMark/>
          </w:tcPr>
          <w:p w14:paraId="4F38A6BE"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I85.01, I85.11</w:t>
            </w:r>
          </w:p>
        </w:tc>
      </w:tr>
      <w:tr w:rsidR="004D1A15" w:rsidRPr="000E2AA1" w14:paraId="13942FFD" w14:textId="77777777" w:rsidTr="0087445B">
        <w:trPr>
          <w:trHeight w:val="286"/>
          <w:jc w:val="center"/>
        </w:trPr>
        <w:tc>
          <w:tcPr>
            <w:tcW w:w="1677" w:type="dxa"/>
            <w:vMerge/>
            <w:vAlign w:val="center"/>
          </w:tcPr>
          <w:p w14:paraId="7DA11638"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27DE53A3"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530.7, 530.21</w:t>
            </w:r>
          </w:p>
        </w:tc>
        <w:tc>
          <w:tcPr>
            <w:tcW w:w="6845" w:type="dxa"/>
            <w:shd w:val="clear" w:color="auto" w:fill="auto"/>
            <w:noWrap/>
            <w:vAlign w:val="center"/>
            <w:hideMark/>
          </w:tcPr>
          <w:p w14:paraId="173B6045"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Mallory-Weiss tear (gastroesophageal laceration-hemorrhage syndrome) or ulcer of esophagus with bleeding</w:t>
            </w:r>
          </w:p>
        </w:tc>
        <w:tc>
          <w:tcPr>
            <w:tcW w:w="4225" w:type="dxa"/>
            <w:shd w:val="clear" w:color="auto" w:fill="auto"/>
            <w:noWrap/>
            <w:vAlign w:val="center"/>
            <w:hideMark/>
          </w:tcPr>
          <w:p w14:paraId="5BE8F88D"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K22.11, K22.6</w:t>
            </w:r>
          </w:p>
        </w:tc>
      </w:tr>
      <w:tr w:rsidR="004D1A15" w:rsidRPr="000E2AA1" w14:paraId="6A823CB3" w14:textId="77777777" w:rsidTr="0087445B">
        <w:trPr>
          <w:trHeight w:val="286"/>
          <w:jc w:val="center"/>
        </w:trPr>
        <w:tc>
          <w:tcPr>
            <w:tcW w:w="1677" w:type="dxa"/>
            <w:vMerge/>
            <w:vAlign w:val="center"/>
          </w:tcPr>
          <w:p w14:paraId="3701AC91"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5645FE3B"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530.82</w:t>
            </w:r>
          </w:p>
        </w:tc>
        <w:tc>
          <w:tcPr>
            <w:tcW w:w="6845" w:type="dxa"/>
            <w:shd w:val="clear" w:color="auto" w:fill="auto"/>
            <w:noWrap/>
            <w:vAlign w:val="center"/>
            <w:hideMark/>
          </w:tcPr>
          <w:p w14:paraId="5637092E"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Esophageal hemorrhage</w:t>
            </w:r>
          </w:p>
        </w:tc>
        <w:tc>
          <w:tcPr>
            <w:tcW w:w="4225" w:type="dxa"/>
            <w:shd w:val="clear" w:color="auto" w:fill="auto"/>
            <w:noWrap/>
            <w:vAlign w:val="center"/>
            <w:hideMark/>
          </w:tcPr>
          <w:p w14:paraId="18680B32" w14:textId="77777777" w:rsidR="004D1A15" w:rsidRPr="00937EE1" w:rsidRDefault="004D1A15" w:rsidP="0087445B">
            <w:pPr>
              <w:spacing w:after="0"/>
              <w:rPr>
                <w:rFonts w:eastAsia="Times New Roman"/>
                <w:color w:val="000000"/>
                <w:sz w:val="20"/>
                <w:szCs w:val="20"/>
              </w:rPr>
            </w:pPr>
            <w:r w:rsidRPr="000E2AA1">
              <w:rPr>
                <w:rFonts w:eastAsia="Times New Roman"/>
                <w:color w:val="000000"/>
                <w:sz w:val="20"/>
                <w:szCs w:val="20"/>
              </w:rPr>
              <w:t>-</w:t>
            </w:r>
          </w:p>
        </w:tc>
      </w:tr>
      <w:tr w:rsidR="004D1A15" w:rsidRPr="000E2AA1" w14:paraId="4F6660B7" w14:textId="77777777" w:rsidTr="0087445B">
        <w:trPr>
          <w:trHeight w:val="286"/>
          <w:jc w:val="center"/>
        </w:trPr>
        <w:tc>
          <w:tcPr>
            <w:tcW w:w="1677" w:type="dxa"/>
            <w:vMerge/>
            <w:vAlign w:val="center"/>
          </w:tcPr>
          <w:p w14:paraId="215FA06E"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6C9A6A09"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578.0</w:t>
            </w:r>
          </w:p>
        </w:tc>
        <w:tc>
          <w:tcPr>
            <w:tcW w:w="6845" w:type="dxa"/>
            <w:shd w:val="clear" w:color="auto" w:fill="auto"/>
            <w:noWrap/>
            <w:vAlign w:val="center"/>
            <w:hideMark/>
          </w:tcPr>
          <w:p w14:paraId="7AE2BF72"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Hematemesis</w:t>
            </w:r>
          </w:p>
        </w:tc>
        <w:tc>
          <w:tcPr>
            <w:tcW w:w="4225" w:type="dxa"/>
            <w:shd w:val="clear" w:color="auto" w:fill="auto"/>
            <w:noWrap/>
            <w:vAlign w:val="center"/>
            <w:hideMark/>
          </w:tcPr>
          <w:p w14:paraId="67D77312"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K92.0</w:t>
            </w:r>
          </w:p>
        </w:tc>
      </w:tr>
      <w:tr w:rsidR="004D1A15" w:rsidRPr="000E2AA1" w14:paraId="285AF4CA" w14:textId="77777777" w:rsidTr="0087445B">
        <w:trPr>
          <w:trHeight w:val="286"/>
          <w:jc w:val="center"/>
        </w:trPr>
        <w:tc>
          <w:tcPr>
            <w:tcW w:w="1677" w:type="dxa"/>
            <w:vMerge/>
            <w:vAlign w:val="center"/>
          </w:tcPr>
          <w:p w14:paraId="25992AE4"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000F4194"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455.2, 455.5, 455.8</w:t>
            </w:r>
          </w:p>
        </w:tc>
        <w:tc>
          <w:tcPr>
            <w:tcW w:w="6845" w:type="dxa"/>
            <w:shd w:val="clear" w:color="auto" w:fill="auto"/>
            <w:noWrap/>
            <w:vAlign w:val="center"/>
            <w:hideMark/>
          </w:tcPr>
          <w:p w14:paraId="64536896"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Hemorrhoids with other complication</w:t>
            </w:r>
          </w:p>
        </w:tc>
        <w:tc>
          <w:tcPr>
            <w:tcW w:w="4225" w:type="dxa"/>
            <w:shd w:val="clear" w:color="auto" w:fill="auto"/>
            <w:noWrap/>
            <w:vAlign w:val="center"/>
            <w:hideMark/>
          </w:tcPr>
          <w:p w14:paraId="6EE02792" w14:textId="77777777" w:rsidR="004D1A15" w:rsidRPr="00937EE1" w:rsidRDefault="004D1A15" w:rsidP="0087445B">
            <w:pPr>
              <w:spacing w:after="0"/>
              <w:rPr>
                <w:rFonts w:eastAsia="Times New Roman"/>
                <w:color w:val="000000"/>
                <w:sz w:val="20"/>
                <w:szCs w:val="20"/>
              </w:rPr>
            </w:pPr>
            <w:r w:rsidRPr="000E2AA1">
              <w:rPr>
                <w:rFonts w:eastAsia="Times New Roman"/>
                <w:color w:val="000000"/>
                <w:sz w:val="20"/>
                <w:szCs w:val="20"/>
              </w:rPr>
              <w:t>-</w:t>
            </w:r>
          </w:p>
        </w:tc>
      </w:tr>
      <w:tr w:rsidR="004D1A15" w:rsidRPr="000E2AA1" w14:paraId="2F01B36D" w14:textId="77777777" w:rsidTr="0087445B">
        <w:trPr>
          <w:trHeight w:val="286"/>
          <w:jc w:val="center"/>
        </w:trPr>
        <w:tc>
          <w:tcPr>
            <w:tcW w:w="1677" w:type="dxa"/>
            <w:vMerge/>
            <w:vAlign w:val="center"/>
          </w:tcPr>
          <w:p w14:paraId="446DC0D3"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418B3784"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562.02, 562.03, 562.12, 562.13</w:t>
            </w:r>
          </w:p>
        </w:tc>
        <w:tc>
          <w:tcPr>
            <w:tcW w:w="6845" w:type="dxa"/>
            <w:shd w:val="clear" w:color="auto" w:fill="auto"/>
            <w:noWrap/>
            <w:vAlign w:val="center"/>
            <w:hideMark/>
          </w:tcPr>
          <w:p w14:paraId="14DDAD21"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Diverticulosis or diverticulitis with hemorrhage</w:t>
            </w:r>
          </w:p>
        </w:tc>
        <w:tc>
          <w:tcPr>
            <w:tcW w:w="4225" w:type="dxa"/>
            <w:shd w:val="clear" w:color="auto" w:fill="auto"/>
            <w:noWrap/>
            <w:vAlign w:val="center"/>
            <w:hideMark/>
          </w:tcPr>
          <w:p w14:paraId="17478D3A"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K57.01, K57.11, K57.13, K57.21, K57.31, K57.33, K57.41, K57.51, K57.53, K57.81, K57.91, K57.93</w:t>
            </w:r>
          </w:p>
        </w:tc>
      </w:tr>
      <w:tr w:rsidR="004D1A15" w:rsidRPr="000E2AA1" w14:paraId="35A33A0F" w14:textId="77777777" w:rsidTr="0087445B">
        <w:trPr>
          <w:trHeight w:val="286"/>
          <w:jc w:val="center"/>
        </w:trPr>
        <w:tc>
          <w:tcPr>
            <w:tcW w:w="1677" w:type="dxa"/>
            <w:vMerge/>
            <w:vAlign w:val="center"/>
          </w:tcPr>
          <w:p w14:paraId="6F4D2FC4"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7F2E63DE"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568.81</w:t>
            </w:r>
          </w:p>
        </w:tc>
        <w:tc>
          <w:tcPr>
            <w:tcW w:w="6845" w:type="dxa"/>
            <w:shd w:val="clear" w:color="auto" w:fill="auto"/>
            <w:noWrap/>
            <w:vAlign w:val="center"/>
            <w:hideMark/>
          </w:tcPr>
          <w:p w14:paraId="31BA2A9E"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Hemoperitoneum</w:t>
            </w:r>
          </w:p>
        </w:tc>
        <w:tc>
          <w:tcPr>
            <w:tcW w:w="4225" w:type="dxa"/>
            <w:shd w:val="clear" w:color="auto" w:fill="auto"/>
            <w:noWrap/>
            <w:vAlign w:val="center"/>
            <w:hideMark/>
          </w:tcPr>
          <w:p w14:paraId="4E01C9B0"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K66.1</w:t>
            </w:r>
          </w:p>
        </w:tc>
      </w:tr>
      <w:tr w:rsidR="004D1A15" w:rsidRPr="000E2AA1" w14:paraId="48AEC021" w14:textId="77777777" w:rsidTr="0087445B">
        <w:trPr>
          <w:trHeight w:val="286"/>
          <w:jc w:val="center"/>
        </w:trPr>
        <w:tc>
          <w:tcPr>
            <w:tcW w:w="1677" w:type="dxa"/>
            <w:vMerge/>
            <w:vAlign w:val="center"/>
          </w:tcPr>
          <w:p w14:paraId="51F7121D"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0E7EB303"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569.3</w:t>
            </w:r>
          </w:p>
        </w:tc>
        <w:tc>
          <w:tcPr>
            <w:tcW w:w="6845" w:type="dxa"/>
            <w:shd w:val="clear" w:color="auto" w:fill="auto"/>
            <w:noWrap/>
            <w:vAlign w:val="center"/>
            <w:hideMark/>
          </w:tcPr>
          <w:p w14:paraId="2DA630B7"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Hemorrhage of rectum and anus</w:t>
            </w:r>
          </w:p>
        </w:tc>
        <w:tc>
          <w:tcPr>
            <w:tcW w:w="4225" w:type="dxa"/>
            <w:shd w:val="clear" w:color="auto" w:fill="auto"/>
            <w:noWrap/>
            <w:vAlign w:val="center"/>
            <w:hideMark/>
          </w:tcPr>
          <w:p w14:paraId="5BA79FEA"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K62.5</w:t>
            </w:r>
          </w:p>
        </w:tc>
      </w:tr>
      <w:tr w:rsidR="004D1A15" w:rsidRPr="000E2AA1" w14:paraId="20FA71F7" w14:textId="77777777" w:rsidTr="0087445B">
        <w:trPr>
          <w:trHeight w:val="286"/>
          <w:jc w:val="center"/>
        </w:trPr>
        <w:tc>
          <w:tcPr>
            <w:tcW w:w="1677" w:type="dxa"/>
            <w:vMerge/>
            <w:vAlign w:val="center"/>
          </w:tcPr>
          <w:p w14:paraId="730D8FF2"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6A582E93"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569.85</w:t>
            </w:r>
          </w:p>
        </w:tc>
        <w:tc>
          <w:tcPr>
            <w:tcW w:w="6845" w:type="dxa"/>
            <w:shd w:val="clear" w:color="auto" w:fill="auto"/>
            <w:noWrap/>
            <w:vAlign w:val="center"/>
            <w:hideMark/>
          </w:tcPr>
          <w:p w14:paraId="53FF9A63"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Angiodysplasia of intestine with hemorrhage</w:t>
            </w:r>
          </w:p>
        </w:tc>
        <w:tc>
          <w:tcPr>
            <w:tcW w:w="4225" w:type="dxa"/>
            <w:shd w:val="clear" w:color="auto" w:fill="auto"/>
            <w:noWrap/>
            <w:vAlign w:val="center"/>
            <w:hideMark/>
          </w:tcPr>
          <w:p w14:paraId="0FD2B1C4"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K55.21</w:t>
            </w:r>
          </w:p>
        </w:tc>
      </w:tr>
      <w:tr w:rsidR="004D1A15" w:rsidRPr="000E2AA1" w14:paraId="7B261642" w14:textId="77777777" w:rsidTr="0087445B">
        <w:trPr>
          <w:trHeight w:val="286"/>
          <w:jc w:val="center"/>
        </w:trPr>
        <w:tc>
          <w:tcPr>
            <w:tcW w:w="1677" w:type="dxa"/>
            <w:vMerge/>
            <w:vAlign w:val="center"/>
          </w:tcPr>
          <w:p w14:paraId="42F2C854"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76FC0FCF"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578.1</w:t>
            </w:r>
          </w:p>
        </w:tc>
        <w:tc>
          <w:tcPr>
            <w:tcW w:w="6845" w:type="dxa"/>
            <w:shd w:val="clear" w:color="auto" w:fill="auto"/>
            <w:noWrap/>
            <w:vAlign w:val="center"/>
            <w:hideMark/>
          </w:tcPr>
          <w:p w14:paraId="3EF77B79"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Blood in stool</w:t>
            </w:r>
          </w:p>
        </w:tc>
        <w:tc>
          <w:tcPr>
            <w:tcW w:w="4225" w:type="dxa"/>
            <w:shd w:val="clear" w:color="auto" w:fill="auto"/>
            <w:noWrap/>
            <w:vAlign w:val="center"/>
            <w:hideMark/>
          </w:tcPr>
          <w:p w14:paraId="3748B3CA"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K92.1</w:t>
            </w:r>
          </w:p>
        </w:tc>
      </w:tr>
      <w:tr w:rsidR="004D1A15" w:rsidRPr="000E2AA1" w14:paraId="0BFA42CD" w14:textId="77777777" w:rsidTr="0087445B">
        <w:trPr>
          <w:trHeight w:val="286"/>
          <w:jc w:val="center"/>
        </w:trPr>
        <w:tc>
          <w:tcPr>
            <w:tcW w:w="1677" w:type="dxa"/>
            <w:vMerge/>
            <w:vAlign w:val="center"/>
          </w:tcPr>
          <w:p w14:paraId="7F30E5EC"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11F189FF"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578.9</w:t>
            </w:r>
          </w:p>
        </w:tc>
        <w:tc>
          <w:tcPr>
            <w:tcW w:w="6845" w:type="dxa"/>
            <w:shd w:val="clear" w:color="auto" w:fill="auto"/>
            <w:noWrap/>
            <w:vAlign w:val="center"/>
            <w:hideMark/>
          </w:tcPr>
          <w:p w14:paraId="7A47A777"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Hemorrhage of gastrointestinal tract, unspecified</w:t>
            </w:r>
          </w:p>
        </w:tc>
        <w:tc>
          <w:tcPr>
            <w:tcW w:w="4225" w:type="dxa"/>
            <w:shd w:val="clear" w:color="auto" w:fill="auto"/>
            <w:noWrap/>
            <w:vAlign w:val="center"/>
            <w:hideMark/>
          </w:tcPr>
          <w:p w14:paraId="29F08A66"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K92.2</w:t>
            </w:r>
          </w:p>
        </w:tc>
      </w:tr>
      <w:tr w:rsidR="004D1A15" w:rsidRPr="000E2AA1" w14:paraId="4C1C97A1" w14:textId="77777777" w:rsidTr="0087445B">
        <w:trPr>
          <w:trHeight w:val="286"/>
          <w:jc w:val="center"/>
        </w:trPr>
        <w:tc>
          <w:tcPr>
            <w:tcW w:w="1677" w:type="dxa"/>
            <w:vMerge w:val="restart"/>
            <w:vAlign w:val="center"/>
          </w:tcPr>
          <w:p w14:paraId="1AE15A7D" w14:textId="77777777" w:rsidR="004D1A15" w:rsidRPr="000E2AA1" w:rsidRDefault="004D1A15" w:rsidP="0087445B">
            <w:pPr>
              <w:spacing w:after="0"/>
              <w:jc w:val="center"/>
              <w:rPr>
                <w:rFonts w:eastAsia="Times New Roman"/>
                <w:color w:val="000000"/>
                <w:sz w:val="20"/>
                <w:szCs w:val="20"/>
              </w:rPr>
            </w:pPr>
            <w:r>
              <w:rPr>
                <w:rFonts w:eastAsia="Times New Roman"/>
                <w:color w:val="000000"/>
                <w:sz w:val="20"/>
                <w:szCs w:val="20"/>
              </w:rPr>
              <w:t>Genitourinary</w:t>
            </w:r>
          </w:p>
        </w:tc>
        <w:tc>
          <w:tcPr>
            <w:tcW w:w="1677" w:type="dxa"/>
            <w:shd w:val="clear" w:color="auto" w:fill="auto"/>
            <w:noWrap/>
            <w:vAlign w:val="center"/>
            <w:hideMark/>
          </w:tcPr>
          <w:p w14:paraId="525920BC"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593.81</w:t>
            </w:r>
          </w:p>
        </w:tc>
        <w:tc>
          <w:tcPr>
            <w:tcW w:w="6845" w:type="dxa"/>
            <w:shd w:val="clear" w:color="auto" w:fill="auto"/>
            <w:noWrap/>
            <w:vAlign w:val="center"/>
            <w:hideMark/>
          </w:tcPr>
          <w:p w14:paraId="4049B665"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Vascular disorders of kidney</w:t>
            </w:r>
          </w:p>
        </w:tc>
        <w:tc>
          <w:tcPr>
            <w:tcW w:w="4225" w:type="dxa"/>
            <w:shd w:val="clear" w:color="auto" w:fill="auto"/>
            <w:noWrap/>
            <w:vAlign w:val="center"/>
            <w:hideMark/>
          </w:tcPr>
          <w:p w14:paraId="66E72252"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N28.0</w:t>
            </w:r>
          </w:p>
        </w:tc>
      </w:tr>
      <w:tr w:rsidR="004D1A15" w:rsidRPr="000E2AA1" w14:paraId="270C0F76" w14:textId="77777777" w:rsidTr="0087445B">
        <w:trPr>
          <w:trHeight w:val="286"/>
          <w:jc w:val="center"/>
        </w:trPr>
        <w:tc>
          <w:tcPr>
            <w:tcW w:w="1677" w:type="dxa"/>
            <w:vMerge/>
            <w:vAlign w:val="center"/>
          </w:tcPr>
          <w:p w14:paraId="7FF1CE48"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7A839557"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599.7x</w:t>
            </w:r>
          </w:p>
        </w:tc>
        <w:tc>
          <w:tcPr>
            <w:tcW w:w="6845" w:type="dxa"/>
            <w:shd w:val="clear" w:color="auto" w:fill="auto"/>
            <w:noWrap/>
            <w:vAlign w:val="center"/>
            <w:hideMark/>
          </w:tcPr>
          <w:p w14:paraId="25052E1B"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Hematuria</w:t>
            </w:r>
          </w:p>
        </w:tc>
        <w:tc>
          <w:tcPr>
            <w:tcW w:w="4225" w:type="dxa"/>
            <w:shd w:val="clear" w:color="auto" w:fill="auto"/>
            <w:noWrap/>
            <w:vAlign w:val="center"/>
            <w:hideMark/>
          </w:tcPr>
          <w:p w14:paraId="52C69341"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R31.0, R31.1, R31.21, R31.29, R31.9</w:t>
            </w:r>
          </w:p>
        </w:tc>
      </w:tr>
      <w:tr w:rsidR="004D1A15" w:rsidRPr="000E2AA1" w14:paraId="6BD90A28" w14:textId="77777777" w:rsidTr="0087445B">
        <w:trPr>
          <w:trHeight w:val="286"/>
          <w:jc w:val="center"/>
        </w:trPr>
        <w:tc>
          <w:tcPr>
            <w:tcW w:w="1677" w:type="dxa"/>
            <w:vMerge/>
            <w:vAlign w:val="center"/>
          </w:tcPr>
          <w:p w14:paraId="14B9FC75"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3E16DF22"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623.8</w:t>
            </w:r>
          </w:p>
        </w:tc>
        <w:tc>
          <w:tcPr>
            <w:tcW w:w="6845" w:type="dxa"/>
            <w:shd w:val="clear" w:color="auto" w:fill="auto"/>
            <w:noWrap/>
            <w:vAlign w:val="center"/>
            <w:hideMark/>
          </w:tcPr>
          <w:p w14:paraId="0E7AF1E6"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Other specified noninflammatory disorders of vagina</w:t>
            </w:r>
          </w:p>
        </w:tc>
        <w:tc>
          <w:tcPr>
            <w:tcW w:w="4225" w:type="dxa"/>
            <w:shd w:val="clear" w:color="auto" w:fill="auto"/>
            <w:noWrap/>
            <w:vAlign w:val="center"/>
            <w:hideMark/>
          </w:tcPr>
          <w:p w14:paraId="1D9EB02A"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N89.8</w:t>
            </w:r>
          </w:p>
        </w:tc>
      </w:tr>
      <w:tr w:rsidR="004D1A15" w:rsidRPr="000E2AA1" w14:paraId="08A697FB" w14:textId="77777777" w:rsidTr="0087445B">
        <w:trPr>
          <w:trHeight w:val="286"/>
          <w:jc w:val="center"/>
        </w:trPr>
        <w:tc>
          <w:tcPr>
            <w:tcW w:w="1677" w:type="dxa"/>
            <w:vMerge/>
            <w:vAlign w:val="center"/>
          </w:tcPr>
          <w:p w14:paraId="006784A4"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1E582E78"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626.6</w:t>
            </w:r>
          </w:p>
        </w:tc>
        <w:tc>
          <w:tcPr>
            <w:tcW w:w="6845" w:type="dxa"/>
            <w:shd w:val="clear" w:color="auto" w:fill="auto"/>
            <w:noWrap/>
            <w:vAlign w:val="center"/>
            <w:hideMark/>
          </w:tcPr>
          <w:p w14:paraId="37FB6F7D"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Metrorrhagia</w:t>
            </w:r>
          </w:p>
        </w:tc>
        <w:tc>
          <w:tcPr>
            <w:tcW w:w="4225" w:type="dxa"/>
            <w:shd w:val="clear" w:color="auto" w:fill="auto"/>
            <w:noWrap/>
            <w:vAlign w:val="center"/>
            <w:hideMark/>
          </w:tcPr>
          <w:p w14:paraId="43F0D19F"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N92.1</w:t>
            </w:r>
          </w:p>
        </w:tc>
      </w:tr>
      <w:tr w:rsidR="004D1A15" w:rsidRPr="000E2AA1" w14:paraId="5E5FDBA1" w14:textId="77777777" w:rsidTr="0087445B">
        <w:trPr>
          <w:trHeight w:val="286"/>
          <w:jc w:val="center"/>
        </w:trPr>
        <w:tc>
          <w:tcPr>
            <w:tcW w:w="1677" w:type="dxa"/>
            <w:vMerge w:val="restart"/>
            <w:vAlign w:val="center"/>
          </w:tcPr>
          <w:p w14:paraId="7A213C24" w14:textId="77777777" w:rsidR="004D1A15" w:rsidRPr="000E2AA1" w:rsidRDefault="004D1A15" w:rsidP="0087445B">
            <w:pPr>
              <w:spacing w:after="0"/>
              <w:jc w:val="center"/>
              <w:rPr>
                <w:rFonts w:eastAsia="Times New Roman"/>
                <w:color w:val="000000"/>
                <w:sz w:val="20"/>
                <w:szCs w:val="20"/>
              </w:rPr>
            </w:pPr>
            <w:r>
              <w:rPr>
                <w:rFonts w:eastAsia="Times New Roman"/>
                <w:color w:val="000000"/>
                <w:sz w:val="20"/>
                <w:szCs w:val="20"/>
              </w:rPr>
              <w:lastRenderedPageBreak/>
              <w:t>Cerebral</w:t>
            </w:r>
          </w:p>
        </w:tc>
        <w:tc>
          <w:tcPr>
            <w:tcW w:w="1677" w:type="dxa"/>
            <w:shd w:val="clear" w:color="auto" w:fill="auto"/>
            <w:noWrap/>
            <w:vAlign w:val="center"/>
            <w:hideMark/>
          </w:tcPr>
          <w:p w14:paraId="680D279D"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430</w:t>
            </w:r>
          </w:p>
        </w:tc>
        <w:tc>
          <w:tcPr>
            <w:tcW w:w="6845" w:type="dxa"/>
            <w:shd w:val="clear" w:color="auto" w:fill="auto"/>
            <w:noWrap/>
            <w:vAlign w:val="center"/>
            <w:hideMark/>
          </w:tcPr>
          <w:p w14:paraId="5BB599A9"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Subarachnoid hemorrhage</w:t>
            </w:r>
          </w:p>
        </w:tc>
        <w:tc>
          <w:tcPr>
            <w:tcW w:w="4225" w:type="dxa"/>
            <w:shd w:val="clear" w:color="auto" w:fill="auto"/>
            <w:noWrap/>
            <w:vAlign w:val="center"/>
            <w:hideMark/>
          </w:tcPr>
          <w:p w14:paraId="60D4CA40"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I60.00, I60.01, I60.02, I60.10, I60.11, I60.12, I60.2, I60.30, I60.31, I60.32, I60.4, I60.50, I60.51, I60.6, I60.7, I60.8, I60.9</w:t>
            </w:r>
          </w:p>
        </w:tc>
      </w:tr>
      <w:tr w:rsidR="004D1A15" w:rsidRPr="000E2AA1" w14:paraId="294310A2" w14:textId="77777777" w:rsidTr="0087445B">
        <w:trPr>
          <w:trHeight w:val="286"/>
          <w:jc w:val="center"/>
        </w:trPr>
        <w:tc>
          <w:tcPr>
            <w:tcW w:w="1677" w:type="dxa"/>
            <w:vMerge/>
            <w:vAlign w:val="center"/>
          </w:tcPr>
          <w:p w14:paraId="1E799C49"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3A6D6C78"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431</w:t>
            </w:r>
          </w:p>
        </w:tc>
        <w:tc>
          <w:tcPr>
            <w:tcW w:w="6845" w:type="dxa"/>
            <w:shd w:val="clear" w:color="auto" w:fill="auto"/>
            <w:noWrap/>
            <w:vAlign w:val="center"/>
            <w:hideMark/>
          </w:tcPr>
          <w:p w14:paraId="12E70A2B"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Intracerebral hemorrhage</w:t>
            </w:r>
          </w:p>
        </w:tc>
        <w:tc>
          <w:tcPr>
            <w:tcW w:w="4225" w:type="dxa"/>
            <w:shd w:val="clear" w:color="auto" w:fill="auto"/>
            <w:noWrap/>
            <w:vAlign w:val="center"/>
            <w:hideMark/>
          </w:tcPr>
          <w:p w14:paraId="447DCD8A"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I61.0, I61.1, I61.2, I61.3, I61.4, I61.5, I61.6, I61.8, I61.9</w:t>
            </w:r>
          </w:p>
        </w:tc>
      </w:tr>
      <w:tr w:rsidR="004D1A15" w:rsidRPr="000E2AA1" w14:paraId="42D556F8" w14:textId="77777777" w:rsidTr="0087445B">
        <w:trPr>
          <w:trHeight w:val="286"/>
          <w:jc w:val="center"/>
        </w:trPr>
        <w:tc>
          <w:tcPr>
            <w:tcW w:w="1677" w:type="dxa"/>
            <w:vMerge/>
            <w:vAlign w:val="center"/>
          </w:tcPr>
          <w:p w14:paraId="0CE1E71A"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516B9887"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432.0</w:t>
            </w:r>
          </w:p>
        </w:tc>
        <w:tc>
          <w:tcPr>
            <w:tcW w:w="6845" w:type="dxa"/>
            <w:shd w:val="clear" w:color="auto" w:fill="auto"/>
            <w:noWrap/>
            <w:vAlign w:val="center"/>
            <w:hideMark/>
          </w:tcPr>
          <w:p w14:paraId="27C742D8"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Nontraumatic extradural hemorrhage</w:t>
            </w:r>
          </w:p>
        </w:tc>
        <w:tc>
          <w:tcPr>
            <w:tcW w:w="4225" w:type="dxa"/>
            <w:shd w:val="clear" w:color="auto" w:fill="auto"/>
            <w:noWrap/>
            <w:vAlign w:val="center"/>
            <w:hideMark/>
          </w:tcPr>
          <w:p w14:paraId="225C1D1B"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I62.1</w:t>
            </w:r>
          </w:p>
        </w:tc>
      </w:tr>
      <w:tr w:rsidR="004D1A15" w:rsidRPr="000E2AA1" w14:paraId="76CEB63F" w14:textId="77777777" w:rsidTr="0087445B">
        <w:trPr>
          <w:trHeight w:val="286"/>
          <w:jc w:val="center"/>
        </w:trPr>
        <w:tc>
          <w:tcPr>
            <w:tcW w:w="1677" w:type="dxa"/>
            <w:vMerge/>
            <w:vAlign w:val="center"/>
          </w:tcPr>
          <w:p w14:paraId="0D7650D9"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0F0845C3"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432.1</w:t>
            </w:r>
          </w:p>
        </w:tc>
        <w:tc>
          <w:tcPr>
            <w:tcW w:w="6845" w:type="dxa"/>
            <w:shd w:val="clear" w:color="auto" w:fill="auto"/>
            <w:noWrap/>
            <w:vAlign w:val="center"/>
            <w:hideMark/>
          </w:tcPr>
          <w:p w14:paraId="4B6914C5"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Subdural hemorrhage</w:t>
            </w:r>
          </w:p>
        </w:tc>
        <w:tc>
          <w:tcPr>
            <w:tcW w:w="4225" w:type="dxa"/>
            <w:shd w:val="clear" w:color="auto" w:fill="auto"/>
            <w:noWrap/>
            <w:vAlign w:val="center"/>
            <w:hideMark/>
          </w:tcPr>
          <w:p w14:paraId="194E959F"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I62.00, I62.01, I62.02, I62.03</w:t>
            </w:r>
          </w:p>
        </w:tc>
      </w:tr>
      <w:tr w:rsidR="004D1A15" w:rsidRPr="000E2AA1" w14:paraId="48F8FAF2" w14:textId="77777777" w:rsidTr="0087445B">
        <w:trPr>
          <w:trHeight w:val="286"/>
          <w:jc w:val="center"/>
        </w:trPr>
        <w:tc>
          <w:tcPr>
            <w:tcW w:w="1677" w:type="dxa"/>
            <w:vMerge/>
            <w:vAlign w:val="center"/>
          </w:tcPr>
          <w:p w14:paraId="733285A5"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743E0765"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432.9</w:t>
            </w:r>
          </w:p>
        </w:tc>
        <w:tc>
          <w:tcPr>
            <w:tcW w:w="6845" w:type="dxa"/>
            <w:shd w:val="clear" w:color="auto" w:fill="auto"/>
            <w:noWrap/>
            <w:vAlign w:val="center"/>
            <w:hideMark/>
          </w:tcPr>
          <w:p w14:paraId="0AAEA2A8"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Unspecified intracranial hemorrhage</w:t>
            </w:r>
          </w:p>
        </w:tc>
        <w:tc>
          <w:tcPr>
            <w:tcW w:w="4225" w:type="dxa"/>
            <w:shd w:val="clear" w:color="auto" w:fill="auto"/>
            <w:noWrap/>
            <w:vAlign w:val="center"/>
            <w:hideMark/>
          </w:tcPr>
          <w:p w14:paraId="68A2CF56"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I62.9</w:t>
            </w:r>
          </w:p>
        </w:tc>
      </w:tr>
      <w:tr w:rsidR="004D1A15" w:rsidRPr="000E2AA1" w14:paraId="415389E1" w14:textId="77777777" w:rsidTr="0087445B">
        <w:trPr>
          <w:trHeight w:val="286"/>
          <w:jc w:val="center"/>
        </w:trPr>
        <w:tc>
          <w:tcPr>
            <w:tcW w:w="1677" w:type="dxa"/>
            <w:vMerge w:val="restart"/>
            <w:vAlign w:val="center"/>
          </w:tcPr>
          <w:p w14:paraId="12BFF48D" w14:textId="77777777" w:rsidR="004D1A15" w:rsidRPr="000E2AA1" w:rsidRDefault="004D1A15" w:rsidP="0087445B">
            <w:pPr>
              <w:spacing w:after="0"/>
              <w:jc w:val="center"/>
              <w:rPr>
                <w:rFonts w:eastAsia="Times New Roman"/>
                <w:color w:val="000000"/>
                <w:sz w:val="20"/>
                <w:szCs w:val="20"/>
              </w:rPr>
            </w:pPr>
            <w:r>
              <w:rPr>
                <w:rFonts w:eastAsia="Times New Roman"/>
                <w:color w:val="000000"/>
                <w:sz w:val="20"/>
                <w:szCs w:val="20"/>
              </w:rPr>
              <w:t>Other</w:t>
            </w:r>
          </w:p>
        </w:tc>
        <w:tc>
          <w:tcPr>
            <w:tcW w:w="1677" w:type="dxa"/>
            <w:shd w:val="clear" w:color="auto" w:fill="auto"/>
            <w:noWrap/>
            <w:vAlign w:val="center"/>
            <w:hideMark/>
          </w:tcPr>
          <w:p w14:paraId="69158882"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423.0</w:t>
            </w:r>
          </w:p>
        </w:tc>
        <w:tc>
          <w:tcPr>
            <w:tcW w:w="6845" w:type="dxa"/>
            <w:shd w:val="clear" w:color="auto" w:fill="auto"/>
            <w:noWrap/>
            <w:vAlign w:val="center"/>
            <w:hideMark/>
          </w:tcPr>
          <w:p w14:paraId="7A22C168"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Hemopericardium</w:t>
            </w:r>
          </w:p>
        </w:tc>
        <w:tc>
          <w:tcPr>
            <w:tcW w:w="4225" w:type="dxa"/>
            <w:shd w:val="clear" w:color="auto" w:fill="auto"/>
            <w:noWrap/>
            <w:vAlign w:val="center"/>
            <w:hideMark/>
          </w:tcPr>
          <w:p w14:paraId="2262BF59"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I31.2</w:t>
            </w:r>
          </w:p>
        </w:tc>
      </w:tr>
      <w:tr w:rsidR="004D1A15" w:rsidRPr="000E2AA1" w14:paraId="5A2F1C57" w14:textId="77777777" w:rsidTr="0087445B">
        <w:trPr>
          <w:trHeight w:val="286"/>
          <w:jc w:val="center"/>
        </w:trPr>
        <w:tc>
          <w:tcPr>
            <w:tcW w:w="1677" w:type="dxa"/>
            <w:vMerge/>
          </w:tcPr>
          <w:p w14:paraId="3CDD60B1" w14:textId="77777777" w:rsidR="004D1A15" w:rsidRPr="000E2AA1" w:rsidRDefault="004D1A15" w:rsidP="0087445B">
            <w:pPr>
              <w:spacing w:after="0"/>
              <w:rPr>
                <w:rFonts w:eastAsia="Times New Roman"/>
                <w:color w:val="000000"/>
                <w:sz w:val="20"/>
                <w:szCs w:val="20"/>
              </w:rPr>
            </w:pPr>
          </w:p>
        </w:tc>
        <w:tc>
          <w:tcPr>
            <w:tcW w:w="1677" w:type="dxa"/>
            <w:shd w:val="clear" w:color="auto" w:fill="auto"/>
            <w:noWrap/>
            <w:vAlign w:val="center"/>
            <w:hideMark/>
          </w:tcPr>
          <w:p w14:paraId="13D34BFB"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459.0</w:t>
            </w:r>
          </w:p>
        </w:tc>
        <w:tc>
          <w:tcPr>
            <w:tcW w:w="6845" w:type="dxa"/>
            <w:shd w:val="clear" w:color="auto" w:fill="auto"/>
            <w:noWrap/>
            <w:vAlign w:val="center"/>
            <w:hideMark/>
          </w:tcPr>
          <w:p w14:paraId="2C16A251"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Hemorrhage, unspecified</w:t>
            </w:r>
          </w:p>
        </w:tc>
        <w:tc>
          <w:tcPr>
            <w:tcW w:w="4225" w:type="dxa"/>
            <w:shd w:val="clear" w:color="auto" w:fill="auto"/>
            <w:noWrap/>
            <w:vAlign w:val="center"/>
            <w:hideMark/>
          </w:tcPr>
          <w:p w14:paraId="7B5DD7DC"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R58</w:t>
            </w:r>
          </w:p>
        </w:tc>
      </w:tr>
      <w:tr w:rsidR="004D1A15" w:rsidRPr="000E2AA1" w14:paraId="631FFDDC" w14:textId="77777777" w:rsidTr="0087445B">
        <w:trPr>
          <w:trHeight w:val="286"/>
          <w:jc w:val="center"/>
        </w:trPr>
        <w:tc>
          <w:tcPr>
            <w:tcW w:w="1677" w:type="dxa"/>
            <w:vMerge/>
          </w:tcPr>
          <w:p w14:paraId="5C5F148A" w14:textId="77777777" w:rsidR="004D1A15" w:rsidRPr="000E2AA1" w:rsidRDefault="004D1A15" w:rsidP="0087445B">
            <w:pPr>
              <w:spacing w:after="0"/>
              <w:rPr>
                <w:rFonts w:eastAsia="Times New Roman"/>
                <w:color w:val="000000"/>
                <w:sz w:val="20"/>
                <w:szCs w:val="20"/>
              </w:rPr>
            </w:pPr>
          </w:p>
        </w:tc>
        <w:tc>
          <w:tcPr>
            <w:tcW w:w="1677" w:type="dxa"/>
            <w:shd w:val="clear" w:color="auto" w:fill="auto"/>
            <w:noWrap/>
            <w:vAlign w:val="center"/>
            <w:hideMark/>
          </w:tcPr>
          <w:p w14:paraId="46A3D14B"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568.81</w:t>
            </w:r>
          </w:p>
        </w:tc>
        <w:tc>
          <w:tcPr>
            <w:tcW w:w="6845" w:type="dxa"/>
            <w:shd w:val="clear" w:color="auto" w:fill="auto"/>
            <w:noWrap/>
            <w:vAlign w:val="center"/>
            <w:hideMark/>
          </w:tcPr>
          <w:p w14:paraId="15A0F7F3"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Hemoperitoneum (nontraumatic)</w:t>
            </w:r>
          </w:p>
        </w:tc>
        <w:tc>
          <w:tcPr>
            <w:tcW w:w="4225" w:type="dxa"/>
            <w:shd w:val="clear" w:color="auto" w:fill="auto"/>
            <w:noWrap/>
            <w:vAlign w:val="center"/>
            <w:hideMark/>
          </w:tcPr>
          <w:p w14:paraId="5B54E69D"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K66.1</w:t>
            </w:r>
          </w:p>
        </w:tc>
      </w:tr>
      <w:tr w:rsidR="004D1A15" w:rsidRPr="000E2AA1" w14:paraId="617CDFAB" w14:textId="77777777" w:rsidTr="0087445B">
        <w:trPr>
          <w:trHeight w:val="286"/>
          <w:jc w:val="center"/>
        </w:trPr>
        <w:tc>
          <w:tcPr>
            <w:tcW w:w="1677" w:type="dxa"/>
            <w:vMerge/>
          </w:tcPr>
          <w:p w14:paraId="5D5ABF2E" w14:textId="77777777" w:rsidR="004D1A15" w:rsidRPr="000E2AA1" w:rsidRDefault="004D1A15" w:rsidP="0087445B">
            <w:pPr>
              <w:spacing w:after="0"/>
              <w:rPr>
                <w:rFonts w:eastAsia="Times New Roman"/>
                <w:color w:val="000000"/>
                <w:sz w:val="20"/>
                <w:szCs w:val="20"/>
              </w:rPr>
            </w:pPr>
          </w:p>
        </w:tc>
        <w:tc>
          <w:tcPr>
            <w:tcW w:w="1677" w:type="dxa"/>
            <w:shd w:val="clear" w:color="auto" w:fill="auto"/>
            <w:noWrap/>
            <w:vAlign w:val="center"/>
            <w:hideMark/>
          </w:tcPr>
          <w:p w14:paraId="7D6534E1"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719.1x</w:t>
            </w:r>
          </w:p>
        </w:tc>
        <w:tc>
          <w:tcPr>
            <w:tcW w:w="6845" w:type="dxa"/>
            <w:shd w:val="clear" w:color="auto" w:fill="auto"/>
            <w:noWrap/>
            <w:vAlign w:val="center"/>
            <w:hideMark/>
          </w:tcPr>
          <w:p w14:paraId="2EAA8E88"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Hemarthrosis</w:t>
            </w:r>
          </w:p>
        </w:tc>
        <w:tc>
          <w:tcPr>
            <w:tcW w:w="4225" w:type="dxa"/>
            <w:shd w:val="clear" w:color="auto" w:fill="auto"/>
            <w:noWrap/>
            <w:vAlign w:val="center"/>
            <w:hideMark/>
          </w:tcPr>
          <w:p w14:paraId="602AB55F"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M25.00, M25.011, M25.012, M25.019, M25.021, M25.022, M25.029, M25.031, M25.032, M25.039, M25.041, M25.042, M25.049, M25.051, M25.052, M25.059, M25.061, M25.062, M25.069, M25.071, M25.072, M25.073, M25.074, M25.075, M25.076, M25.08</w:t>
            </w:r>
          </w:p>
        </w:tc>
      </w:tr>
      <w:tr w:rsidR="004D1A15" w:rsidRPr="000E2AA1" w14:paraId="69986E16" w14:textId="77777777" w:rsidTr="0087445B">
        <w:trPr>
          <w:trHeight w:val="286"/>
          <w:jc w:val="center"/>
        </w:trPr>
        <w:tc>
          <w:tcPr>
            <w:tcW w:w="1677" w:type="dxa"/>
            <w:vMerge/>
          </w:tcPr>
          <w:p w14:paraId="0E9D7B04" w14:textId="77777777" w:rsidR="004D1A15" w:rsidRPr="000E2AA1" w:rsidRDefault="004D1A15" w:rsidP="0087445B">
            <w:pPr>
              <w:spacing w:after="0"/>
              <w:rPr>
                <w:rFonts w:eastAsia="Times New Roman"/>
                <w:color w:val="000000"/>
                <w:sz w:val="20"/>
                <w:szCs w:val="20"/>
              </w:rPr>
            </w:pPr>
          </w:p>
        </w:tc>
        <w:tc>
          <w:tcPr>
            <w:tcW w:w="1677" w:type="dxa"/>
            <w:shd w:val="clear" w:color="auto" w:fill="auto"/>
            <w:noWrap/>
            <w:vAlign w:val="center"/>
            <w:hideMark/>
          </w:tcPr>
          <w:p w14:paraId="4A84FE67"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784.7</w:t>
            </w:r>
          </w:p>
        </w:tc>
        <w:tc>
          <w:tcPr>
            <w:tcW w:w="6845" w:type="dxa"/>
            <w:shd w:val="clear" w:color="auto" w:fill="auto"/>
            <w:noWrap/>
            <w:vAlign w:val="center"/>
            <w:hideMark/>
          </w:tcPr>
          <w:p w14:paraId="6B2086DD"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Epistaxis</w:t>
            </w:r>
          </w:p>
        </w:tc>
        <w:tc>
          <w:tcPr>
            <w:tcW w:w="4225" w:type="dxa"/>
            <w:shd w:val="clear" w:color="auto" w:fill="auto"/>
            <w:noWrap/>
            <w:vAlign w:val="center"/>
            <w:hideMark/>
          </w:tcPr>
          <w:p w14:paraId="59E2B722"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R04.0</w:t>
            </w:r>
          </w:p>
        </w:tc>
      </w:tr>
      <w:tr w:rsidR="004D1A15" w:rsidRPr="000E2AA1" w14:paraId="1CC22A53" w14:textId="77777777" w:rsidTr="0087445B">
        <w:trPr>
          <w:trHeight w:val="286"/>
          <w:jc w:val="center"/>
        </w:trPr>
        <w:tc>
          <w:tcPr>
            <w:tcW w:w="1677" w:type="dxa"/>
            <w:vMerge/>
          </w:tcPr>
          <w:p w14:paraId="17C440EC" w14:textId="77777777" w:rsidR="004D1A15" w:rsidRPr="000E2AA1" w:rsidRDefault="004D1A15" w:rsidP="0087445B">
            <w:pPr>
              <w:spacing w:after="0"/>
              <w:rPr>
                <w:rFonts w:eastAsia="Times New Roman"/>
                <w:color w:val="000000"/>
                <w:sz w:val="20"/>
                <w:szCs w:val="20"/>
              </w:rPr>
            </w:pPr>
          </w:p>
        </w:tc>
        <w:tc>
          <w:tcPr>
            <w:tcW w:w="1677" w:type="dxa"/>
            <w:shd w:val="clear" w:color="auto" w:fill="auto"/>
            <w:noWrap/>
            <w:vAlign w:val="center"/>
            <w:hideMark/>
          </w:tcPr>
          <w:p w14:paraId="5EFB6C08"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784.8</w:t>
            </w:r>
          </w:p>
        </w:tc>
        <w:tc>
          <w:tcPr>
            <w:tcW w:w="6845" w:type="dxa"/>
            <w:shd w:val="clear" w:color="auto" w:fill="auto"/>
            <w:noWrap/>
            <w:vAlign w:val="center"/>
            <w:hideMark/>
          </w:tcPr>
          <w:p w14:paraId="6E6C67FD"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Hemorrhage from throat</w:t>
            </w:r>
          </w:p>
        </w:tc>
        <w:tc>
          <w:tcPr>
            <w:tcW w:w="4225" w:type="dxa"/>
            <w:shd w:val="clear" w:color="auto" w:fill="auto"/>
            <w:noWrap/>
            <w:vAlign w:val="center"/>
            <w:hideMark/>
          </w:tcPr>
          <w:p w14:paraId="4FDE4321"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R04.1</w:t>
            </w:r>
          </w:p>
        </w:tc>
      </w:tr>
      <w:tr w:rsidR="004D1A15" w:rsidRPr="000E2AA1" w14:paraId="56B405FD" w14:textId="77777777" w:rsidTr="0087445B">
        <w:trPr>
          <w:trHeight w:val="286"/>
          <w:jc w:val="center"/>
        </w:trPr>
        <w:tc>
          <w:tcPr>
            <w:tcW w:w="1677" w:type="dxa"/>
            <w:vMerge/>
          </w:tcPr>
          <w:p w14:paraId="5FDE63C1" w14:textId="77777777" w:rsidR="004D1A15" w:rsidRPr="000E2AA1" w:rsidRDefault="004D1A15" w:rsidP="0087445B">
            <w:pPr>
              <w:spacing w:after="0"/>
              <w:rPr>
                <w:rFonts w:eastAsia="Times New Roman"/>
                <w:color w:val="000000"/>
                <w:sz w:val="20"/>
                <w:szCs w:val="20"/>
              </w:rPr>
            </w:pPr>
          </w:p>
        </w:tc>
        <w:tc>
          <w:tcPr>
            <w:tcW w:w="1677" w:type="dxa"/>
            <w:shd w:val="clear" w:color="auto" w:fill="auto"/>
            <w:noWrap/>
            <w:vAlign w:val="center"/>
            <w:hideMark/>
          </w:tcPr>
          <w:p w14:paraId="71A5C664"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786.3x</w:t>
            </w:r>
          </w:p>
        </w:tc>
        <w:tc>
          <w:tcPr>
            <w:tcW w:w="6845" w:type="dxa"/>
            <w:shd w:val="clear" w:color="auto" w:fill="auto"/>
            <w:noWrap/>
            <w:vAlign w:val="center"/>
            <w:hideMark/>
          </w:tcPr>
          <w:p w14:paraId="7FB8DE04"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Hemoptysis</w:t>
            </w:r>
          </w:p>
        </w:tc>
        <w:tc>
          <w:tcPr>
            <w:tcW w:w="4225" w:type="dxa"/>
            <w:shd w:val="clear" w:color="auto" w:fill="auto"/>
            <w:noWrap/>
            <w:vAlign w:val="center"/>
            <w:hideMark/>
          </w:tcPr>
          <w:p w14:paraId="722A2AAC"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R04.2, R04.81, R04.89, R04.9</w:t>
            </w:r>
          </w:p>
        </w:tc>
      </w:tr>
      <w:tr w:rsidR="004D1A15" w:rsidRPr="000E2AA1" w14:paraId="3D054ADE" w14:textId="77777777" w:rsidTr="0087445B">
        <w:trPr>
          <w:trHeight w:val="286"/>
          <w:jc w:val="center"/>
        </w:trPr>
        <w:tc>
          <w:tcPr>
            <w:tcW w:w="14424" w:type="dxa"/>
            <w:gridSpan w:val="4"/>
            <w:shd w:val="clear" w:color="auto" w:fill="D9D9D9" w:themeFill="background1" w:themeFillShade="D9"/>
            <w:vAlign w:val="center"/>
          </w:tcPr>
          <w:p w14:paraId="53569E57" w14:textId="77777777" w:rsidR="004D1A15" w:rsidRPr="00C6128A" w:rsidRDefault="004D1A15" w:rsidP="0087445B">
            <w:pPr>
              <w:spacing w:after="0"/>
              <w:jc w:val="center"/>
              <w:rPr>
                <w:rFonts w:eastAsia="Times New Roman"/>
                <w:b/>
                <w:color w:val="000000"/>
                <w:sz w:val="20"/>
                <w:szCs w:val="20"/>
              </w:rPr>
            </w:pPr>
            <w:r>
              <w:rPr>
                <w:rFonts w:eastAsia="Times New Roman"/>
                <w:b/>
                <w:color w:val="000000"/>
                <w:sz w:val="20"/>
                <w:szCs w:val="20"/>
              </w:rPr>
              <w:t>Diagnosis Codes Suggestive of Possible B</w:t>
            </w:r>
            <w:r w:rsidRPr="00C6128A">
              <w:rPr>
                <w:rFonts w:eastAsia="Times New Roman"/>
                <w:b/>
                <w:color w:val="000000"/>
                <w:sz w:val="20"/>
                <w:szCs w:val="20"/>
              </w:rPr>
              <w:t>leeding</w:t>
            </w:r>
            <w:r w:rsidRPr="00A26123">
              <w:rPr>
                <w:rFonts w:eastAsia="Calibri"/>
                <w:sz w:val="20"/>
                <w:szCs w:val="20"/>
                <w:vertAlign w:val="superscript"/>
              </w:rPr>
              <w:t>§</w:t>
            </w:r>
          </w:p>
        </w:tc>
      </w:tr>
      <w:tr w:rsidR="004D1A15" w:rsidRPr="000E2AA1" w14:paraId="7A43A2C3" w14:textId="77777777" w:rsidTr="0087445B">
        <w:trPr>
          <w:trHeight w:val="286"/>
          <w:jc w:val="center"/>
        </w:trPr>
        <w:tc>
          <w:tcPr>
            <w:tcW w:w="1677" w:type="dxa"/>
            <w:vMerge w:val="restart"/>
            <w:vAlign w:val="center"/>
          </w:tcPr>
          <w:p w14:paraId="0F1609A2" w14:textId="77777777" w:rsidR="004D1A15" w:rsidRPr="000E2AA1" w:rsidRDefault="004D1A15" w:rsidP="0087445B">
            <w:pPr>
              <w:spacing w:after="0"/>
              <w:jc w:val="center"/>
              <w:rPr>
                <w:rFonts w:eastAsia="Times New Roman"/>
                <w:color w:val="000000"/>
                <w:sz w:val="20"/>
                <w:szCs w:val="20"/>
              </w:rPr>
            </w:pPr>
            <w:r>
              <w:rPr>
                <w:rFonts w:eastAsia="Times New Roman"/>
                <w:color w:val="000000"/>
                <w:sz w:val="20"/>
                <w:szCs w:val="20"/>
              </w:rPr>
              <w:t>Gastrointestinal</w:t>
            </w:r>
          </w:p>
        </w:tc>
        <w:tc>
          <w:tcPr>
            <w:tcW w:w="1677" w:type="dxa"/>
            <w:shd w:val="clear" w:color="auto" w:fill="auto"/>
            <w:noWrap/>
            <w:vAlign w:val="center"/>
            <w:hideMark/>
          </w:tcPr>
          <w:p w14:paraId="5B7C3D4E"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531.1x, 531.3x, 531.5x, 531.7x, 531.9x</w:t>
            </w:r>
          </w:p>
        </w:tc>
        <w:tc>
          <w:tcPr>
            <w:tcW w:w="6845" w:type="dxa"/>
            <w:shd w:val="clear" w:color="auto" w:fill="auto"/>
            <w:noWrap/>
            <w:vAlign w:val="center"/>
            <w:hideMark/>
          </w:tcPr>
          <w:p w14:paraId="4848AEAE"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Gastric ulcer without mention of hemorrhage</w:t>
            </w:r>
          </w:p>
        </w:tc>
        <w:tc>
          <w:tcPr>
            <w:tcW w:w="4225" w:type="dxa"/>
            <w:shd w:val="clear" w:color="auto" w:fill="auto"/>
            <w:noWrap/>
            <w:vAlign w:val="center"/>
            <w:hideMark/>
          </w:tcPr>
          <w:p w14:paraId="27621EC8"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K25.1, K25.3, K25.5, K25.7, K25.9</w:t>
            </w:r>
          </w:p>
        </w:tc>
      </w:tr>
      <w:tr w:rsidR="004D1A15" w:rsidRPr="000E2AA1" w14:paraId="6B053BB5" w14:textId="77777777" w:rsidTr="0087445B">
        <w:trPr>
          <w:trHeight w:val="286"/>
          <w:jc w:val="center"/>
        </w:trPr>
        <w:tc>
          <w:tcPr>
            <w:tcW w:w="1677" w:type="dxa"/>
            <w:vMerge/>
            <w:vAlign w:val="center"/>
          </w:tcPr>
          <w:p w14:paraId="0FC81751"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0A33374D"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532.1x, 531.3x, 531.5x, 531.7x, 532.9x</w:t>
            </w:r>
          </w:p>
        </w:tc>
        <w:tc>
          <w:tcPr>
            <w:tcW w:w="6845" w:type="dxa"/>
            <w:shd w:val="clear" w:color="auto" w:fill="auto"/>
            <w:noWrap/>
            <w:vAlign w:val="center"/>
            <w:hideMark/>
          </w:tcPr>
          <w:p w14:paraId="69DD3347"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Duodenal ulcer without mention of hemorrhage</w:t>
            </w:r>
          </w:p>
        </w:tc>
        <w:tc>
          <w:tcPr>
            <w:tcW w:w="4225" w:type="dxa"/>
            <w:shd w:val="clear" w:color="auto" w:fill="auto"/>
            <w:noWrap/>
            <w:vAlign w:val="center"/>
            <w:hideMark/>
          </w:tcPr>
          <w:p w14:paraId="66050E5F"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K26.1, K26.3, K26.5, K26.7, K26.9</w:t>
            </w:r>
          </w:p>
        </w:tc>
      </w:tr>
      <w:tr w:rsidR="004D1A15" w:rsidRPr="000E2AA1" w14:paraId="3A140059" w14:textId="77777777" w:rsidTr="0087445B">
        <w:trPr>
          <w:trHeight w:val="286"/>
          <w:jc w:val="center"/>
        </w:trPr>
        <w:tc>
          <w:tcPr>
            <w:tcW w:w="1677" w:type="dxa"/>
            <w:vMerge/>
            <w:vAlign w:val="center"/>
          </w:tcPr>
          <w:p w14:paraId="42D08FDB"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562B9D33"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533.1x, 533.3x, 533.5x, 533.7x, 533.9x</w:t>
            </w:r>
          </w:p>
        </w:tc>
        <w:tc>
          <w:tcPr>
            <w:tcW w:w="6845" w:type="dxa"/>
            <w:shd w:val="clear" w:color="auto" w:fill="auto"/>
            <w:noWrap/>
            <w:vAlign w:val="center"/>
            <w:hideMark/>
          </w:tcPr>
          <w:p w14:paraId="623A82CB"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Peptic ulcer without mention of hemorrhage</w:t>
            </w:r>
          </w:p>
        </w:tc>
        <w:tc>
          <w:tcPr>
            <w:tcW w:w="4225" w:type="dxa"/>
            <w:shd w:val="clear" w:color="auto" w:fill="auto"/>
            <w:noWrap/>
            <w:vAlign w:val="center"/>
            <w:hideMark/>
          </w:tcPr>
          <w:p w14:paraId="79B89AB5"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K27.1, K27.3, K27.5, K27.7, K27.9</w:t>
            </w:r>
          </w:p>
        </w:tc>
      </w:tr>
      <w:tr w:rsidR="004D1A15" w:rsidRPr="000E2AA1" w14:paraId="52C715CF" w14:textId="77777777" w:rsidTr="0087445B">
        <w:trPr>
          <w:trHeight w:val="286"/>
          <w:jc w:val="center"/>
        </w:trPr>
        <w:tc>
          <w:tcPr>
            <w:tcW w:w="1677" w:type="dxa"/>
            <w:vMerge/>
            <w:vAlign w:val="center"/>
          </w:tcPr>
          <w:p w14:paraId="2C5E3412"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350052EF"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534.1x, 534.3x, 534.5x, 534.7x, 534.9x</w:t>
            </w:r>
          </w:p>
        </w:tc>
        <w:tc>
          <w:tcPr>
            <w:tcW w:w="6845" w:type="dxa"/>
            <w:shd w:val="clear" w:color="auto" w:fill="auto"/>
            <w:noWrap/>
            <w:vAlign w:val="center"/>
            <w:hideMark/>
          </w:tcPr>
          <w:p w14:paraId="687A5DBC" w14:textId="77777777" w:rsidR="004D1A15" w:rsidRPr="00937EE1" w:rsidRDefault="004D1A15" w:rsidP="0087445B">
            <w:pPr>
              <w:spacing w:after="0"/>
              <w:rPr>
                <w:rFonts w:eastAsia="Times New Roman"/>
                <w:color w:val="000000"/>
                <w:sz w:val="20"/>
                <w:szCs w:val="20"/>
              </w:rPr>
            </w:pPr>
            <w:proofErr w:type="spellStart"/>
            <w:r w:rsidRPr="00937EE1">
              <w:rPr>
                <w:rFonts w:eastAsia="Times New Roman"/>
                <w:color w:val="000000"/>
                <w:sz w:val="20"/>
                <w:szCs w:val="20"/>
              </w:rPr>
              <w:t>Gastrojejunal</w:t>
            </w:r>
            <w:proofErr w:type="spellEnd"/>
            <w:r w:rsidRPr="00937EE1">
              <w:rPr>
                <w:rFonts w:eastAsia="Times New Roman"/>
                <w:color w:val="000000"/>
                <w:sz w:val="20"/>
                <w:szCs w:val="20"/>
              </w:rPr>
              <w:t xml:space="preserve"> ulcer without mention of hemorrhage</w:t>
            </w:r>
          </w:p>
        </w:tc>
        <w:tc>
          <w:tcPr>
            <w:tcW w:w="4225" w:type="dxa"/>
            <w:shd w:val="clear" w:color="auto" w:fill="auto"/>
            <w:noWrap/>
            <w:vAlign w:val="center"/>
            <w:hideMark/>
          </w:tcPr>
          <w:p w14:paraId="396AD701"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K28.1, K28.3, K28.5, K28.7, K28.9</w:t>
            </w:r>
          </w:p>
        </w:tc>
      </w:tr>
      <w:tr w:rsidR="004D1A15" w:rsidRPr="000E2AA1" w14:paraId="0C3F82F6" w14:textId="77777777" w:rsidTr="0087445B">
        <w:trPr>
          <w:trHeight w:val="286"/>
          <w:jc w:val="center"/>
        </w:trPr>
        <w:tc>
          <w:tcPr>
            <w:tcW w:w="1677" w:type="dxa"/>
            <w:vMerge/>
            <w:vAlign w:val="center"/>
          </w:tcPr>
          <w:p w14:paraId="3A9C74E0"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1F3C8494"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535.00, 535.10, 535.20, 535.30, 535.40, 535.50, 535.60</w:t>
            </w:r>
          </w:p>
        </w:tc>
        <w:tc>
          <w:tcPr>
            <w:tcW w:w="6845" w:type="dxa"/>
            <w:shd w:val="clear" w:color="auto" w:fill="auto"/>
            <w:noWrap/>
            <w:vAlign w:val="center"/>
            <w:hideMark/>
          </w:tcPr>
          <w:p w14:paraId="6FB6D504"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 xml:space="preserve">Gastritis, </w:t>
            </w:r>
            <w:proofErr w:type="spellStart"/>
            <w:r w:rsidRPr="00937EE1">
              <w:rPr>
                <w:rFonts w:eastAsia="Times New Roman"/>
                <w:color w:val="000000"/>
                <w:sz w:val="20"/>
                <w:szCs w:val="20"/>
              </w:rPr>
              <w:t>gastroduodenitis</w:t>
            </w:r>
            <w:proofErr w:type="spellEnd"/>
            <w:r w:rsidRPr="00937EE1">
              <w:rPr>
                <w:rFonts w:eastAsia="Times New Roman"/>
                <w:color w:val="000000"/>
                <w:sz w:val="20"/>
                <w:szCs w:val="20"/>
              </w:rPr>
              <w:t>, or duodenitis without mention of hemorrhage</w:t>
            </w:r>
          </w:p>
        </w:tc>
        <w:tc>
          <w:tcPr>
            <w:tcW w:w="4225" w:type="dxa"/>
            <w:shd w:val="clear" w:color="auto" w:fill="auto"/>
            <w:noWrap/>
            <w:vAlign w:val="center"/>
            <w:hideMark/>
          </w:tcPr>
          <w:p w14:paraId="5416DD95"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K29.00, K29.20, K29.30, K29.40, K29.50, K29.60, K29.70, K29.80, K29.90</w:t>
            </w:r>
          </w:p>
        </w:tc>
      </w:tr>
      <w:tr w:rsidR="004D1A15" w:rsidRPr="000E2AA1" w14:paraId="523B7385" w14:textId="77777777" w:rsidTr="0087445B">
        <w:trPr>
          <w:trHeight w:val="286"/>
          <w:jc w:val="center"/>
        </w:trPr>
        <w:tc>
          <w:tcPr>
            <w:tcW w:w="1677" w:type="dxa"/>
            <w:vMerge/>
            <w:vAlign w:val="center"/>
          </w:tcPr>
          <w:p w14:paraId="7B8FC512"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55883C19"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562.00, 562.01, 562.10, 562.11</w:t>
            </w:r>
          </w:p>
        </w:tc>
        <w:tc>
          <w:tcPr>
            <w:tcW w:w="6845" w:type="dxa"/>
            <w:shd w:val="clear" w:color="auto" w:fill="auto"/>
            <w:noWrap/>
            <w:vAlign w:val="center"/>
            <w:hideMark/>
          </w:tcPr>
          <w:p w14:paraId="66766EF6"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Diverticula or diverticulitis without mention of hemorrhage</w:t>
            </w:r>
          </w:p>
        </w:tc>
        <w:tc>
          <w:tcPr>
            <w:tcW w:w="4225" w:type="dxa"/>
            <w:shd w:val="clear" w:color="auto" w:fill="auto"/>
            <w:noWrap/>
            <w:vAlign w:val="center"/>
            <w:hideMark/>
          </w:tcPr>
          <w:p w14:paraId="688BB213"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K57.00, K57.10, K57.12, K57.20, K57.30, K57.32, K57.40, K57.50, K57.52, K57.80, K57.92</w:t>
            </w:r>
          </w:p>
        </w:tc>
      </w:tr>
      <w:tr w:rsidR="004D1A15" w:rsidRPr="000E2AA1" w14:paraId="56FFCC76" w14:textId="77777777" w:rsidTr="0087445B">
        <w:trPr>
          <w:trHeight w:val="286"/>
          <w:jc w:val="center"/>
        </w:trPr>
        <w:tc>
          <w:tcPr>
            <w:tcW w:w="1677" w:type="dxa"/>
            <w:vMerge/>
            <w:vAlign w:val="center"/>
          </w:tcPr>
          <w:p w14:paraId="4DCB8F61"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154862D1"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455.0, 455.1, 455.3, 455.4, 455.6, 455.7, 455.9</w:t>
            </w:r>
          </w:p>
        </w:tc>
        <w:tc>
          <w:tcPr>
            <w:tcW w:w="6845" w:type="dxa"/>
            <w:shd w:val="clear" w:color="auto" w:fill="auto"/>
            <w:noWrap/>
            <w:vAlign w:val="center"/>
            <w:hideMark/>
          </w:tcPr>
          <w:p w14:paraId="1503B8F4"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Hemorrhoids</w:t>
            </w:r>
          </w:p>
        </w:tc>
        <w:tc>
          <w:tcPr>
            <w:tcW w:w="4225" w:type="dxa"/>
            <w:shd w:val="clear" w:color="auto" w:fill="auto"/>
            <w:noWrap/>
            <w:vAlign w:val="center"/>
            <w:hideMark/>
          </w:tcPr>
          <w:p w14:paraId="4ADB37FD"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K64.0, K64.1, K64.2, K64.3, K64.4, K64.5, K64.8, K64.9</w:t>
            </w:r>
          </w:p>
        </w:tc>
      </w:tr>
      <w:tr w:rsidR="004D1A15" w:rsidRPr="000E2AA1" w14:paraId="5FCE60A2" w14:textId="77777777" w:rsidTr="0087445B">
        <w:trPr>
          <w:trHeight w:val="286"/>
          <w:jc w:val="center"/>
        </w:trPr>
        <w:tc>
          <w:tcPr>
            <w:tcW w:w="1677" w:type="dxa"/>
            <w:vMerge/>
            <w:vAlign w:val="center"/>
          </w:tcPr>
          <w:p w14:paraId="2E53A5C2"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5A0AC39D"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530.1x</w:t>
            </w:r>
          </w:p>
        </w:tc>
        <w:tc>
          <w:tcPr>
            <w:tcW w:w="6845" w:type="dxa"/>
            <w:shd w:val="clear" w:color="auto" w:fill="auto"/>
            <w:noWrap/>
            <w:vAlign w:val="center"/>
            <w:hideMark/>
          </w:tcPr>
          <w:p w14:paraId="69FF4A74"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Esophagitis</w:t>
            </w:r>
          </w:p>
        </w:tc>
        <w:tc>
          <w:tcPr>
            <w:tcW w:w="4225" w:type="dxa"/>
            <w:shd w:val="clear" w:color="auto" w:fill="auto"/>
            <w:noWrap/>
            <w:vAlign w:val="center"/>
            <w:hideMark/>
          </w:tcPr>
          <w:p w14:paraId="01D83DFA"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K20.0, K20.8, K20.9, K21.0</w:t>
            </w:r>
          </w:p>
        </w:tc>
      </w:tr>
      <w:tr w:rsidR="004D1A15" w:rsidRPr="000E2AA1" w14:paraId="49D195F6" w14:textId="77777777" w:rsidTr="0087445B">
        <w:trPr>
          <w:trHeight w:val="286"/>
          <w:jc w:val="center"/>
        </w:trPr>
        <w:tc>
          <w:tcPr>
            <w:tcW w:w="1677" w:type="dxa"/>
            <w:vMerge/>
            <w:vAlign w:val="center"/>
          </w:tcPr>
          <w:p w14:paraId="0B5E0544"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30FCC717"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530.20</w:t>
            </w:r>
          </w:p>
        </w:tc>
        <w:tc>
          <w:tcPr>
            <w:tcW w:w="6845" w:type="dxa"/>
            <w:shd w:val="clear" w:color="auto" w:fill="auto"/>
            <w:noWrap/>
            <w:vAlign w:val="center"/>
            <w:hideMark/>
          </w:tcPr>
          <w:p w14:paraId="6C6E7879"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Ulcer of esophagus without bleeding</w:t>
            </w:r>
          </w:p>
        </w:tc>
        <w:tc>
          <w:tcPr>
            <w:tcW w:w="4225" w:type="dxa"/>
            <w:shd w:val="clear" w:color="auto" w:fill="auto"/>
            <w:noWrap/>
            <w:vAlign w:val="center"/>
            <w:hideMark/>
          </w:tcPr>
          <w:p w14:paraId="65109FDC"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K22.10</w:t>
            </w:r>
          </w:p>
        </w:tc>
      </w:tr>
      <w:tr w:rsidR="004D1A15" w:rsidRPr="000E2AA1" w14:paraId="4390101C" w14:textId="77777777" w:rsidTr="0087445B">
        <w:trPr>
          <w:trHeight w:val="286"/>
          <w:jc w:val="center"/>
        </w:trPr>
        <w:tc>
          <w:tcPr>
            <w:tcW w:w="1677" w:type="dxa"/>
            <w:vMerge w:val="restart"/>
            <w:vAlign w:val="center"/>
          </w:tcPr>
          <w:p w14:paraId="0872CC72" w14:textId="77777777" w:rsidR="004D1A15" w:rsidRPr="000E2AA1" w:rsidRDefault="004D1A15" w:rsidP="0087445B">
            <w:pPr>
              <w:spacing w:after="0"/>
              <w:jc w:val="center"/>
              <w:rPr>
                <w:rFonts w:eastAsia="Times New Roman"/>
                <w:color w:val="000000"/>
                <w:sz w:val="20"/>
                <w:szCs w:val="20"/>
              </w:rPr>
            </w:pPr>
            <w:r>
              <w:rPr>
                <w:rFonts w:eastAsia="Times New Roman"/>
                <w:color w:val="000000"/>
                <w:sz w:val="20"/>
                <w:szCs w:val="20"/>
              </w:rPr>
              <w:t>Unspecified</w:t>
            </w:r>
          </w:p>
        </w:tc>
        <w:tc>
          <w:tcPr>
            <w:tcW w:w="1677" w:type="dxa"/>
            <w:shd w:val="clear" w:color="auto" w:fill="auto"/>
            <w:noWrap/>
            <w:vAlign w:val="center"/>
            <w:hideMark/>
          </w:tcPr>
          <w:p w14:paraId="3719EF3B"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285.1</w:t>
            </w:r>
          </w:p>
        </w:tc>
        <w:tc>
          <w:tcPr>
            <w:tcW w:w="6845" w:type="dxa"/>
            <w:shd w:val="clear" w:color="auto" w:fill="auto"/>
            <w:noWrap/>
            <w:vAlign w:val="center"/>
            <w:hideMark/>
          </w:tcPr>
          <w:p w14:paraId="78FB7EA6"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Acute posthemorrhagic anemia</w:t>
            </w:r>
            <w:r w:rsidRPr="007C1808">
              <w:rPr>
                <w:sz w:val="20"/>
                <w:szCs w:val="20"/>
                <w:vertAlign w:val="superscript"/>
              </w:rPr>
              <w:t>‖</w:t>
            </w:r>
          </w:p>
        </w:tc>
        <w:tc>
          <w:tcPr>
            <w:tcW w:w="4225" w:type="dxa"/>
            <w:shd w:val="clear" w:color="auto" w:fill="auto"/>
            <w:noWrap/>
            <w:vAlign w:val="center"/>
            <w:hideMark/>
          </w:tcPr>
          <w:p w14:paraId="6336ACCD"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D62</w:t>
            </w:r>
          </w:p>
        </w:tc>
      </w:tr>
      <w:tr w:rsidR="004D1A15" w:rsidRPr="000E2AA1" w14:paraId="08323AD3" w14:textId="77777777" w:rsidTr="0087445B">
        <w:trPr>
          <w:trHeight w:val="286"/>
          <w:jc w:val="center"/>
        </w:trPr>
        <w:tc>
          <w:tcPr>
            <w:tcW w:w="1677" w:type="dxa"/>
            <w:vMerge/>
            <w:vAlign w:val="center"/>
          </w:tcPr>
          <w:p w14:paraId="08C6E1A2"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50CAC710"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280.0</w:t>
            </w:r>
          </w:p>
        </w:tc>
        <w:tc>
          <w:tcPr>
            <w:tcW w:w="6845" w:type="dxa"/>
            <w:shd w:val="clear" w:color="auto" w:fill="auto"/>
            <w:noWrap/>
            <w:vAlign w:val="center"/>
            <w:hideMark/>
          </w:tcPr>
          <w:p w14:paraId="0E438808"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Anemia due to loss of blood</w:t>
            </w:r>
            <w:r w:rsidRPr="007C1808">
              <w:rPr>
                <w:sz w:val="20"/>
                <w:szCs w:val="20"/>
                <w:vertAlign w:val="superscript"/>
              </w:rPr>
              <w:t>‖</w:t>
            </w:r>
          </w:p>
        </w:tc>
        <w:tc>
          <w:tcPr>
            <w:tcW w:w="4225" w:type="dxa"/>
            <w:shd w:val="clear" w:color="auto" w:fill="auto"/>
            <w:noWrap/>
            <w:vAlign w:val="center"/>
            <w:hideMark/>
          </w:tcPr>
          <w:p w14:paraId="4FC65EDE"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D50.0</w:t>
            </w:r>
          </w:p>
        </w:tc>
      </w:tr>
      <w:tr w:rsidR="004D1A15" w:rsidRPr="000E2AA1" w14:paraId="2C9F71CC" w14:textId="77777777" w:rsidTr="0087445B">
        <w:trPr>
          <w:trHeight w:val="286"/>
          <w:jc w:val="center"/>
        </w:trPr>
        <w:tc>
          <w:tcPr>
            <w:tcW w:w="1677" w:type="dxa"/>
            <w:vMerge/>
            <w:vAlign w:val="center"/>
          </w:tcPr>
          <w:p w14:paraId="0A0771C5"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5AA4401F"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285.9</w:t>
            </w:r>
          </w:p>
        </w:tc>
        <w:tc>
          <w:tcPr>
            <w:tcW w:w="6845" w:type="dxa"/>
            <w:shd w:val="clear" w:color="auto" w:fill="auto"/>
            <w:noWrap/>
            <w:vAlign w:val="center"/>
            <w:hideMark/>
          </w:tcPr>
          <w:p w14:paraId="6A3CCFE2"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Anemia, unspecified</w:t>
            </w:r>
            <w:r w:rsidRPr="007C1808">
              <w:rPr>
                <w:sz w:val="20"/>
                <w:szCs w:val="20"/>
                <w:vertAlign w:val="superscript"/>
              </w:rPr>
              <w:t>‖</w:t>
            </w:r>
          </w:p>
        </w:tc>
        <w:tc>
          <w:tcPr>
            <w:tcW w:w="4225" w:type="dxa"/>
            <w:shd w:val="clear" w:color="auto" w:fill="auto"/>
            <w:noWrap/>
            <w:vAlign w:val="center"/>
            <w:hideMark/>
          </w:tcPr>
          <w:p w14:paraId="39FFFD26"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D64.9</w:t>
            </w:r>
          </w:p>
        </w:tc>
      </w:tr>
      <w:tr w:rsidR="004D1A15" w:rsidRPr="000E2AA1" w14:paraId="22E57914" w14:textId="77777777" w:rsidTr="0087445B">
        <w:trPr>
          <w:trHeight w:val="286"/>
          <w:jc w:val="center"/>
        </w:trPr>
        <w:tc>
          <w:tcPr>
            <w:tcW w:w="1677" w:type="dxa"/>
            <w:vMerge/>
            <w:vAlign w:val="center"/>
          </w:tcPr>
          <w:p w14:paraId="7BDD7486"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79CC3B94"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790.92</w:t>
            </w:r>
          </w:p>
        </w:tc>
        <w:tc>
          <w:tcPr>
            <w:tcW w:w="6845" w:type="dxa"/>
            <w:shd w:val="clear" w:color="auto" w:fill="auto"/>
            <w:noWrap/>
            <w:vAlign w:val="center"/>
            <w:hideMark/>
          </w:tcPr>
          <w:p w14:paraId="2B168332"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Abnormal coagulation profile</w:t>
            </w:r>
            <w:r w:rsidRPr="007C1808">
              <w:rPr>
                <w:sz w:val="20"/>
                <w:szCs w:val="20"/>
                <w:vertAlign w:val="superscript"/>
              </w:rPr>
              <w:t>‖</w:t>
            </w:r>
          </w:p>
        </w:tc>
        <w:tc>
          <w:tcPr>
            <w:tcW w:w="4225" w:type="dxa"/>
            <w:shd w:val="clear" w:color="auto" w:fill="auto"/>
            <w:noWrap/>
            <w:vAlign w:val="center"/>
            <w:hideMark/>
          </w:tcPr>
          <w:p w14:paraId="19B3D455"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R79.1</w:t>
            </w:r>
          </w:p>
        </w:tc>
      </w:tr>
      <w:tr w:rsidR="004D1A15" w:rsidRPr="000E2AA1" w14:paraId="2F3FF85C" w14:textId="77777777" w:rsidTr="0087445B">
        <w:trPr>
          <w:trHeight w:val="286"/>
          <w:jc w:val="center"/>
        </w:trPr>
        <w:tc>
          <w:tcPr>
            <w:tcW w:w="1677" w:type="dxa"/>
            <w:vMerge/>
            <w:vAlign w:val="center"/>
          </w:tcPr>
          <w:p w14:paraId="5862B095" w14:textId="77777777" w:rsidR="004D1A15" w:rsidRPr="000E2AA1" w:rsidRDefault="004D1A15" w:rsidP="0087445B">
            <w:pPr>
              <w:spacing w:after="0"/>
              <w:jc w:val="center"/>
              <w:rPr>
                <w:rFonts w:eastAsia="Times New Roman"/>
                <w:color w:val="000000"/>
                <w:sz w:val="20"/>
                <w:szCs w:val="20"/>
              </w:rPr>
            </w:pPr>
          </w:p>
        </w:tc>
        <w:tc>
          <w:tcPr>
            <w:tcW w:w="1677" w:type="dxa"/>
            <w:shd w:val="clear" w:color="auto" w:fill="auto"/>
            <w:noWrap/>
            <w:vAlign w:val="center"/>
            <w:hideMark/>
          </w:tcPr>
          <w:p w14:paraId="5D1D266F"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287.49, 287.5</w:t>
            </w:r>
          </w:p>
        </w:tc>
        <w:tc>
          <w:tcPr>
            <w:tcW w:w="6845" w:type="dxa"/>
            <w:shd w:val="clear" w:color="auto" w:fill="auto"/>
            <w:noWrap/>
            <w:vAlign w:val="center"/>
            <w:hideMark/>
          </w:tcPr>
          <w:p w14:paraId="42585627"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Thrombocytopenia</w:t>
            </w:r>
            <w:r w:rsidRPr="007C1808">
              <w:rPr>
                <w:sz w:val="20"/>
                <w:szCs w:val="20"/>
                <w:vertAlign w:val="superscript"/>
              </w:rPr>
              <w:t>‖</w:t>
            </w:r>
          </w:p>
        </w:tc>
        <w:tc>
          <w:tcPr>
            <w:tcW w:w="4225" w:type="dxa"/>
            <w:shd w:val="clear" w:color="auto" w:fill="auto"/>
            <w:noWrap/>
            <w:vAlign w:val="center"/>
            <w:hideMark/>
          </w:tcPr>
          <w:p w14:paraId="51EDEA3D"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D69.59, D69.6</w:t>
            </w:r>
          </w:p>
        </w:tc>
      </w:tr>
      <w:tr w:rsidR="004D1A15" w:rsidRPr="000E2AA1" w14:paraId="42DD4C9F" w14:textId="77777777" w:rsidTr="0087445B">
        <w:trPr>
          <w:trHeight w:val="286"/>
          <w:jc w:val="center"/>
        </w:trPr>
        <w:tc>
          <w:tcPr>
            <w:tcW w:w="1677" w:type="dxa"/>
            <w:vAlign w:val="center"/>
          </w:tcPr>
          <w:p w14:paraId="44279EDD" w14:textId="77777777" w:rsidR="004D1A15" w:rsidRPr="000E2AA1" w:rsidRDefault="004D1A15" w:rsidP="0087445B">
            <w:pPr>
              <w:spacing w:after="0"/>
              <w:jc w:val="center"/>
              <w:rPr>
                <w:rFonts w:eastAsia="Times New Roman"/>
                <w:color w:val="000000"/>
                <w:sz w:val="20"/>
                <w:szCs w:val="20"/>
              </w:rPr>
            </w:pPr>
            <w:r>
              <w:rPr>
                <w:rFonts w:eastAsia="Times New Roman"/>
                <w:color w:val="000000"/>
                <w:sz w:val="20"/>
                <w:szCs w:val="20"/>
              </w:rPr>
              <w:t>Genitourinary</w:t>
            </w:r>
          </w:p>
        </w:tc>
        <w:tc>
          <w:tcPr>
            <w:tcW w:w="1677" w:type="dxa"/>
            <w:shd w:val="clear" w:color="auto" w:fill="auto"/>
            <w:noWrap/>
            <w:vAlign w:val="center"/>
            <w:hideMark/>
          </w:tcPr>
          <w:p w14:paraId="3F065C07"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626.2</w:t>
            </w:r>
          </w:p>
        </w:tc>
        <w:tc>
          <w:tcPr>
            <w:tcW w:w="6845" w:type="dxa"/>
            <w:shd w:val="clear" w:color="auto" w:fill="auto"/>
            <w:noWrap/>
            <w:vAlign w:val="center"/>
            <w:hideMark/>
          </w:tcPr>
          <w:p w14:paraId="720546EA" w14:textId="77777777" w:rsidR="004D1A15" w:rsidRPr="00937EE1" w:rsidRDefault="004D1A15" w:rsidP="0087445B">
            <w:pPr>
              <w:spacing w:after="0"/>
              <w:rPr>
                <w:rFonts w:eastAsia="Times New Roman"/>
                <w:color w:val="000000"/>
                <w:sz w:val="20"/>
                <w:szCs w:val="20"/>
              </w:rPr>
            </w:pPr>
            <w:r w:rsidRPr="00937EE1">
              <w:rPr>
                <w:rFonts w:eastAsia="Times New Roman"/>
                <w:color w:val="000000"/>
                <w:sz w:val="20"/>
                <w:szCs w:val="20"/>
              </w:rPr>
              <w:t>Excessive/frequent menstruation</w:t>
            </w:r>
            <w:r>
              <w:rPr>
                <w:sz w:val="20"/>
                <w:szCs w:val="20"/>
                <w:vertAlign w:val="superscript"/>
              </w:rPr>
              <w:t>**</w:t>
            </w:r>
          </w:p>
        </w:tc>
        <w:tc>
          <w:tcPr>
            <w:tcW w:w="4225" w:type="dxa"/>
            <w:shd w:val="clear" w:color="auto" w:fill="auto"/>
            <w:noWrap/>
            <w:vAlign w:val="center"/>
            <w:hideMark/>
          </w:tcPr>
          <w:p w14:paraId="4F7E7F0F" w14:textId="77777777" w:rsidR="004D1A15" w:rsidRPr="00937EE1" w:rsidRDefault="004D1A15" w:rsidP="0087445B">
            <w:pPr>
              <w:spacing w:after="0"/>
              <w:rPr>
                <w:rFonts w:eastAsia="Times New Roman"/>
                <w:color w:val="000000"/>
                <w:sz w:val="20"/>
                <w:szCs w:val="20"/>
              </w:rPr>
            </w:pPr>
            <w:r w:rsidRPr="000E2AA1">
              <w:rPr>
                <w:rFonts w:eastAsia="Times New Roman"/>
                <w:color w:val="000000"/>
                <w:sz w:val="20"/>
                <w:szCs w:val="20"/>
              </w:rPr>
              <w:t>-</w:t>
            </w:r>
          </w:p>
        </w:tc>
      </w:tr>
      <w:tr w:rsidR="004D1A15" w:rsidRPr="000E2AA1" w14:paraId="1912366D" w14:textId="77777777" w:rsidTr="00DC1F8D">
        <w:trPr>
          <w:trHeight w:val="286"/>
          <w:jc w:val="center"/>
        </w:trPr>
        <w:tc>
          <w:tcPr>
            <w:tcW w:w="14424" w:type="dxa"/>
            <w:gridSpan w:val="4"/>
            <w:tcMar>
              <w:left w:w="29" w:type="dxa"/>
              <w:right w:w="115" w:type="dxa"/>
            </w:tcMar>
          </w:tcPr>
          <w:p w14:paraId="3ED1585D" w14:textId="77777777" w:rsidR="004D1A15" w:rsidRDefault="004D1A15" w:rsidP="0087445B">
            <w:pPr>
              <w:spacing w:after="0"/>
              <w:rPr>
                <w:rFonts w:eastAsia="Times New Roman"/>
                <w:color w:val="000000"/>
                <w:sz w:val="20"/>
                <w:szCs w:val="20"/>
              </w:rPr>
            </w:pPr>
            <w:r>
              <w:rPr>
                <w:rFonts w:eastAsia="Times New Roman"/>
                <w:color w:val="000000"/>
                <w:sz w:val="20"/>
                <w:szCs w:val="20"/>
              </w:rPr>
              <w:t>CM = clinical modification; ICD = International Classification of Diseases</w:t>
            </w:r>
          </w:p>
          <w:p w14:paraId="0037B125" w14:textId="77777777" w:rsidR="004D1A15" w:rsidRDefault="004D1A15" w:rsidP="0087445B">
            <w:pPr>
              <w:spacing w:after="0"/>
              <w:rPr>
                <w:rFonts w:eastAsia="Times New Roman"/>
                <w:color w:val="000000"/>
                <w:sz w:val="20"/>
                <w:szCs w:val="20"/>
              </w:rPr>
            </w:pPr>
          </w:p>
          <w:p w14:paraId="7393853F" w14:textId="77777777" w:rsidR="004D1A15" w:rsidRDefault="004D1A15" w:rsidP="0087445B">
            <w:pPr>
              <w:spacing w:after="0"/>
              <w:rPr>
                <w:rFonts w:eastAsia="Times New Roman"/>
                <w:color w:val="000000"/>
                <w:sz w:val="20"/>
                <w:szCs w:val="20"/>
              </w:rPr>
            </w:pPr>
            <w:r>
              <w:rPr>
                <w:rFonts w:eastAsia="Times New Roman"/>
                <w:color w:val="000000"/>
                <w:sz w:val="20"/>
                <w:szCs w:val="20"/>
              </w:rPr>
              <w:t xml:space="preserve">*  </w:t>
            </w:r>
            <w:r>
              <w:rPr>
                <w:sz w:val="20"/>
              </w:rPr>
              <w:t>ICD-9-CM diagnoses were mapped to ICD-10-CM diagnoses using forward-backwards mapping with general equivalence maps</w:t>
            </w:r>
            <w:r>
              <w:rPr>
                <w:sz w:val="20"/>
                <w:vertAlign w:val="superscript"/>
              </w:rPr>
              <w:t>1</w:t>
            </w:r>
          </w:p>
          <w:p w14:paraId="7D6BB38D" w14:textId="77777777" w:rsidR="004D1A15" w:rsidRPr="007C1808" w:rsidRDefault="004D1A15" w:rsidP="0087445B">
            <w:pPr>
              <w:spacing w:after="0"/>
              <w:rPr>
                <w:rFonts w:eastAsia="Times New Roman"/>
                <w:color w:val="000000"/>
                <w:sz w:val="20"/>
                <w:szCs w:val="20"/>
              </w:rPr>
            </w:pPr>
            <w:r>
              <w:rPr>
                <w:rFonts w:eastAsia="Calibri"/>
                <w:sz w:val="20"/>
                <w:szCs w:val="20"/>
              </w:rPr>
              <w:t>†</w:t>
            </w:r>
            <w:r>
              <w:rPr>
                <w:rFonts w:eastAsia="Times New Roman"/>
                <w:color w:val="000000"/>
                <w:sz w:val="20"/>
                <w:szCs w:val="20"/>
              </w:rPr>
              <w:t xml:space="preserve">  Outcomes were excluded if a major trauma code was recorded on the day prior to admission through the day after admission. See Cunningham et al.</w:t>
            </w:r>
            <w:r>
              <w:rPr>
                <w:rFonts w:eastAsia="Times New Roman"/>
                <w:color w:val="000000"/>
                <w:sz w:val="20"/>
                <w:szCs w:val="20"/>
                <w:vertAlign w:val="superscript"/>
              </w:rPr>
              <w:t>2</w:t>
            </w:r>
            <w:r>
              <w:rPr>
                <w:rFonts w:eastAsia="Times New Roman"/>
                <w:color w:val="000000"/>
                <w:sz w:val="20"/>
                <w:szCs w:val="20"/>
              </w:rPr>
              <w:t xml:space="preserve"> for list of trauma codes</w:t>
            </w:r>
          </w:p>
          <w:p w14:paraId="27D42594" w14:textId="77777777" w:rsidR="004D1A15" w:rsidRDefault="004D1A15" w:rsidP="0087445B">
            <w:pPr>
              <w:spacing w:after="0"/>
              <w:rPr>
                <w:sz w:val="20"/>
                <w:szCs w:val="20"/>
              </w:rPr>
            </w:pPr>
            <w:r>
              <w:rPr>
                <w:rFonts w:eastAsia="Calibri"/>
                <w:sz w:val="20"/>
                <w:szCs w:val="20"/>
              </w:rPr>
              <w:t>‡</w:t>
            </w:r>
            <w:r>
              <w:rPr>
                <w:sz w:val="20"/>
                <w:szCs w:val="20"/>
              </w:rPr>
              <w:t xml:space="preserve">  Diagnosis code required to be the principal discharge diagnosis</w:t>
            </w:r>
          </w:p>
          <w:p w14:paraId="10B27443" w14:textId="77777777" w:rsidR="004D1A15" w:rsidRDefault="004D1A15" w:rsidP="0087445B">
            <w:pPr>
              <w:spacing w:after="0"/>
              <w:rPr>
                <w:sz w:val="20"/>
                <w:szCs w:val="20"/>
              </w:rPr>
            </w:pPr>
            <w:r>
              <w:rPr>
                <w:rFonts w:eastAsia="Calibri"/>
                <w:sz w:val="20"/>
                <w:szCs w:val="20"/>
              </w:rPr>
              <w:t>§  Diagnosis code required to be the principal discharge diagnosis with either 1) a diagnosis code indicating bleeding as a secondary diagnosis or 2) a revenue code indicating a transfusion</w:t>
            </w:r>
          </w:p>
          <w:p w14:paraId="2922EB7C" w14:textId="77777777" w:rsidR="004D1A15" w:rsidRDefault="004D1A15" w:rsidP="0087445B">
            <w:pPr>
              <w:spacing w:after="0"/>
              <w:rPr>
                <w:rFonts w:eastAsia="Calibri"/>
                <w:sz w:val="20"/>
                <w:szCs w:val="20"/>
              </w:rPr>
            </w:pPr>
            <w:r w:rsidRPr="00006D43">
              <w:rPr>
                <w:sz w:val="20"/>
                <w:szCs w:val="20"/>
              </w:rPr>
              <w:t>‖</w:t>
            </w:r>
            <w:r>
              <w:rPr>
                <w:rFonts w:eastAsia="Calibri"/>
                <w:sz w:val="20"/>
                <w:szCs w:val="20"/>
              </w:rPr>
              <w:t xml:space="preserve">  Diagnosis code required to be the principal discharge diagnosis with a diagnosis code indicating bleeding as a secondary diagnosis (a transfusion revenue code is not sufficient)</w:t>
            </w:r>
          </w:p>
          <w:p w14:paraId="3BB0AFEA" w14:textId="77777777" w:rsidR="004D1A15" w:rsidRDefault="004D1A15" w:rsidP="0087445B">
            <w:pPr>
              <w:spacing w:after="0"/>
              <w:rPr>
                <w:rFonts w:eastAsia="Calibri"/>
                <w:sz w:val="20"/>
                <w:szCs w:val="20"/>
              </w:rPr>
            </w:pPr>
            <w:r>
              <w:rPr>
                <w:rFonts w:eastAsia="Calibri"/>
                <w:sz w:val="20"/>
                <w:szCs w:val="20"/>
              </w:rPr>
              <w:t>** Diagnosis code required to be the principal discharge diagnosis with a diagnosis code of either 1) anemia (ICD-9-CM: 280.0, 285.1, 285.9; ICD-10-CM: D50.0, D62, D64.9) 2), orthostasis (ICD-9-CM: 458.0; ICD-10-CM: I95.1), or 3) syncope (ICD-9-CM: 780.2; ICD-10-CM: R55) as a secondary diagnosis</w:t>
            </w:r>
          </w:p>
          <w:p w14:paraId="045982DF" w14:textId="77777777" w:rsidR="004D1A15" w:rsidRDefault="004D1A15" w:rsidP="0087445B">
            <w:pPr>
              <w:spacing w:after="0"/>
              <w:rPr>
                <w:rFonts w:eastAsia="Calibri"/>
                <w:sz w:val="20"/>
                <w:szCs w:val="20"/>
              </w:rPr>
            </w:pPr>
          </w:p>
          <w:p w14:paraId="78FE56D6" w14:textId="77777777" w:rsidR="004D1A15" w:rsidRDefault="004D1A15" w:rsidP="0087445B">
            <w:pPr>
              <w:spacing w:after="0"/>
              <w:rPr>
                <w:rFonts w:eastAsia="Calibri"/>
                <w:sz w:val="20"/>
                <w:szCs w:val="20"/>
              </w:rPr>
            </w:pPr>
            <w:r w:rsidRPr="007C1808">
              <w:rPr>
                <w:rFonts w:eastAsia="Calibri"/>
                <w:sz w:val="20"/>
                <w:szCs w:val="20"/>
              </w:rPr>
              <w:t>1.</w:t>
            </w:r>
            <w:r>
              <w:rPr>
                <w:rFonts w:eastAsia="Calibri"/>
                <w:sz w:val="20"/>
                <w:szCs w:val="20"/>
              </w:rPr>
              <w:t xml:space="preserve"> </w:t>
            </w:r>
            <w:r w:rsidRPr="00696356">
              <w:rPr>
                <w:rFonts w:eastAsia="Times New Roman"/>
                <w:sz w:val="20"/>
                <w:szCs w:val="20"/>
              </w:rPr>
              <w:t xml:space="preserve">Fung et al. Preparing for the ICD-10-CM transition: Automated methods for translating ICD codes in clinical phenotype definitions. </w:t>
            </w:r>
            <w:r w:rsidRPr="00696356">
              <w:rPr>
                <w:rFonts w:eastAsia="Times New Roman"/>
                <w:i/>
                <w:sz w:val="20"/>
                <w:szCs w:val="20"/>
              </w:rPr>
              <w:t>EGEMS (Wash DC)</w:t>
            </w:r>
            <w:r>
              <w:rPr>
                <w:rFonts w:eastAsia="Times New Roman"/>
                <w:i/>
                <w:sz w:val="20"/>
                <w:szCs w:val="20"/>
              </w:rPr>
              <w:t>.</w:t>
            </w:r>
            <w:r w:rsidRPr="00696356">
              <w:rPr>
                <w:rFonts w:eastAsia="Times New Roman"/>
                <w:sz w:val="20"/>
                <w:szCs w:val="20"/>
              </w:rPr>
              <w:t xml:space="preserve"> 2016;4(1):1211.</w:t>
            </w:r>
          </w:p>
          <w:p w14:paraId="505647ED" w14:textId="77777777" w:rsidR="004D1A15" w:rsidRPr="00C10D17" w:rsidRDefault="004D1A15" w:rsidP="0087445B">
            <w:pPr>
              <w:spacing w:after="0"/>
              <w:rPr>
                <w:rFonts w:eastAsia="Calibri"/>
                <w:sz w:val="20"/>
                <w:szCs w:val="20"/>
              </w:rPr>
            </w:pPr>
            <w:r>
              <w:rPr>
                <w:rFonts w:eastAsia="Calibri"/>
                <w:sz w:val="20"/>
                <w:szCs w:val="20"/>
              </w:rPr>
              <w:t xml:space="preserve">2. Cunningham et al. An Automated Database Case Definition for Serious Bleeding Related to Oral Anticoagulant Use. </w:t>
            </w:r>
            <w:proofErr w:type="spellStart"/>
            <w:r w:rsidRPr="007C1808">
              <w:rPr>
                <w:rFonts w:eastAsia="Calibri"/>
                <w:i/>
                <w:sz w:val="20"/>
                <w:szCs w:val="20"/>
              </w:rPr>
              <w:t>Pharmacoepidemiol</w:t>
            </w:r>
            <w:proofErr w:type="spellEnd"/>
            <w:r w:rsidRPr="007C1808">
              <w:rPr>
                <w:rFonts w:eastAsia="Calibri"/>
                <w:i/>
                <w:sz w:val="20"/>
                <w:szCs w:val="20"/>
              </w:rPr>
              <w:t xml:space="preserve"> Drug </w:t>
            </w:r>
            <w:proofErr w:type="spellStart"/>
            <w:r w:rsidRPr="007C1808">
              <w:rPr>
                <w:rFonts w:eastAsia="Calibri"/>
                <w:i/>
                <w:sz w:val="20"/>
                <w:szCs w:val="20"/>
              </w:rPr>
              <w:t>Saf</w:t>
            </w:r>
            <w:proofErr w:type="spellEnd"/>
            <w:r>
              <w:rPr>
                <w:rFonts w:eastAsia="Calibri"/>
                <w:sz w:val="20"/>
                <w:szCs w:val="20"/>
              </w:rPr>
              <w:t>. 2011:20(6):560-566.</w:t>
            </w:r>
          </w:p>
        </w:tc>
      </w:tr>
    </w:tbl>
    <w:p w14:paraId="6ABEB994" w14:textId="77777777" w:rsidR="004D1A15" w:rsidRDefault="004D1A15">
      <w:r>
        <w:br w:type="page"/>
      </w:r>
    </w:p>
    <w:p w14:paraId="31E255A2" w14:textId="77777777" w:rsidR="004D1A15" w:rsidRDefault="004D1A15">
      <w:pPr>
        <w:sectPr w:rsidR="004D1A15" w:rsidSect="00AA1D42">
          <w:pgSz w:w="15840" w:h="12240" w:orient="landscape"/>
          <w:pgMar w:top="1440" w:right="1440" w:bottom="1440" w:left="1440" w:header="720" w:footer="720" w:gutter="0"/>
          <w:cols w:space="720"/>
          <w:docGrid w:linePitch="360"/>
        </w:sectPr>
      </w:pPr>
    </w:p>
    <w:p w14:paraId="52FBECC9" w14:textId="77777777" w:rsidR="004D1A15" w:rsidRPr="00E75620" w:rsidRDefault="004D1A15" w:rsidP="00E75620">
      <w:pPr>
        <w:pStyle w:val="Heading1"/>
        <w:rPr>
          <w:rFonts w:ascii="Times New Roman" w:hAnsi="Times New Roman" w:cs="Times New Roman"/>
          <w:b/>
          <w:bCs/>
          <w:color w:val="auto"/>
          <w:sz w:val="24"/>
          <w:szCs w:val="24"/>
        </w:rPr>
      </w:pPr>
      <w:r w:rsidRPr="00E75620">
        <w:rPr>
          <w:rFonts w:ascii="Times New Roman" w:hAnsi="Times New Roman" w:cs="Times New Roman"/>
          <w:b/>
          <w:bCs/>
          <w:color w:val="auto"/>
          <w:sz w:val="24"/>
          <w:szCs w:val="24"/>
        </w:rPr>
        <w:lastRenderedPageBreak/>
        <w:t xml:space="preserve">Supplementary Table </w:t>
      </w:r>
      <w:r>
        <w:rPr>
          <w:rFonts w:ascii="Times New Roman" w:hAnsi="Times New Roman" w:cs="Times New Roman"/>
          <w:b/>
          <w:bCs/>
          <w:color w:val="auto"/>
          <w:sz w:val="24"/>
          <w:szCs w:val="24"/>
        </w:rPr>
        <w:t>3</w:t>
      </w:r>
      <w:r w:rsidRPr="00E75620">
        <w:rPr>
          <w:rFonts w:ascii="Times New Roman" w:hAnsi="Times New Roman" w:cs="Times New Roman"/>
          <w:b/>
          <w:bCs/>
          <w:color w:val="auto"/>
          <w:sz w:val="24"/>
          <w:szCs w:val="24"/>
        </w:rPr>
        <w:t>. Direct oral anticoagulant dose categories used for dose intensity adjustment in subgroup analysis.</w:t>
      </w:r>
    </w:p>
    <w:tbl>
      <w:tblPr>
        <w:tblStyle w:val="TableGrid"/>
        <w:tblW w:w="0" w:type="auto"/>
        <w:jc w:val="center"/>
        <w:tblLook w:val="0420" w:firstRow="1" w:lastRow="0" w:firstColumn="0" w:lastColumn="0" w:noHBand="0" w:noVBand="1"/>
      </w:tblPr>
      <w:tblGrid>
        <w:gridCol w:w="2801"/>
        <w:gridCol w:w="3234"/>
        <w:gridCol w:w="3315"/>
      </w:tblGrid>
      <w:tr w:rsidR="004D1A15" w:rsidRPr="00EE605F" w14:paraId="6F23237C" w14:textId="77777777" w:rsidTr="005E56F4">
        <w:trPr>
          <w:trHeight w:val="584"/>
          <w:jc w:val="center"/>
        </w:trPr>
        <w:tc>
          <w:tcPr>
            <w:tcW w:w="0" w:type="auto"/>
            <w:shd w:val="clear" w:color="auto" w:fill="D9D9D9" w:themeFill="background1" w:themeFillShade="D9"/>
          </w:tcPr>
          <w:p w14:paraId="25B7B90E" w14:textId="77777777" w:rsidR="004D1A15" w:rsidRPr="00EE605F" w:rsidRDefault="004D1A15" w:rsidP="00EE605F">
            <w:pPr>
              <w:rPr>
                <w:rFonts w:eastAsia="Times New Roman"/>
                <w:b/>
                <w:bCs/>
                <w:kern w:val="24"/>
              </w:rPr>
            </w:pPr>
          </w:p>
        </w:tc>
        <w:tc>
          <w:tcPr>
            <w:tcW w:w="0" w:type="auto"/>
            <w:gridSpan w:val="2"/>
            <w:shd w:val="clear" w:color="auto" w:fill="D9D9D9" w:themeFill="background1" w:themeFillShade="D9"/>
            <w:vAlign w:val="center"/>
          </w:tcPr>
          <w:p w14:paraId="1443265B" w14:textId="77777777" w:rsidR="004D1A15" w:rsidRPr="00EE605F" w:rsidRDefault="004D1A15" w:rsidP="00EE605F">
            <w:pPr>
              <w:jc w:val="center"/>
              <w:rPr>
                <w:rFonts w:eastAsia="Times New Roman"/>
                <w:b/>
                <w:bCs/>
                <w:kern w:val="24"/>
              </w:rPr>
            </w:pPr>
            <w:r w:rsidRPr="00EE605F">
              <w:rPr>
                <w:rFonts w:eastAsia="Times New Roman"/>
                <w:b/>
                <w:bCs/>
                <w:kern w:val="24"/>
              </w:rPr>
              <w:t>Average Daily Dose</w:t>
            </w:r>
            <w:r w:rsidRPr="00EE605F">
              <w:rPr>
                <w:rFonts w:eastAsia="Times New Roman"/>
                <w:b/>
                <w:bCs/>
                <w:kern w:val="24"/>
                <w:vertAlign w:val="superscript"/>
              </w:rPr>
              <w:t>*</w:t>
            </w:r>
          </w:p>
        </w:tc>
      </w:tr>
      <w:tr w:rsidR="004D1A15" w:rsidRPr="00EE605F" w14:paraId="508C7A87" w14:textId="77777777" w:rsidTr="00DC1F8D">
        <w:trPr>
          <w:trHeight w:val="584"/>
          <w:jc w:val="center"/>
        </w:trPr>
        <w:tc>
          <w:tcPr>
            <w:tcW w:w="0" w:type="auto"/>
            <w:shd w:val="clear" w:color="auto" w:fill="D9D9D9" w:themeFill="background1" w:themeFillShade="D9"/>
            <w:tcMar>
              <w:left w:w="29" w:type="dxa"/>
              <w:right w:w="115" w:type="dxa"/>
            </w:tcMar>
            <w:vAlign w:val="center"/>
            <w:hideMark/>
          </w:tcPr>
          <w:p w14:paraId="32152F41" w14:textId="77777777" w:rsidR="004D1A15" w:rsidRPr="00EE605F" w:rsidRDefault="004D1A15" w:rsidP="00EE605F">
            <w:pPr>
              <w:rPr>
                <w:rFonts w:eastAsia="Times New Roman"/>
              </w:rPr>
            </w:pPr>
            <w:r w:rsidRPr="00EE605F">
              <w:rPr>
                <w:rFonts w:eastAsia="Times New Roman"/>
                <w:b/>
                <w:bCs/>
                <w:kern w:val="24"/>
              </w:rPr>
              <w:t>D</w:t>
            </w:r>
            <w:r>
              <w:rPr>
                <w:rFonts w:eastAsia="Times New Roman"/>
                <w:b/>
                <w:bCs/>
                <w:kern w:val="24"/>
              </w:rPr>
              <w:t>OAC</w:t>
            </w:r>
          </w:p>
        </w:tc>
        <w:tc>
          <w:tcPr>
            <w:tcW w:w="0" w:type="auto"/>
            <w:shd w:val="clear" w:color="auto" w:fill="D9D9D9" w:themeFill="background1" w:themeFillShade="D9"/>
            <w:vAlign w:val="center"/>
            <w:hideMark/>
          </w:tcPr>
          <w:p w14:paraId="71C296F8" w14:textId="77777777" w:rsidR="004D1A15" w:rsidRPr="00EE605F" w:rsidRDefault="004D1A15" w:rsidP="00EE605F">
            <w:pPr>
              <w:jc w:val="center"/>
              <w:rPr>
                <w:rFonts w:eastAsia="Times New Roman"/>
              </w:rPr>
            </w:pPr>
            <w:r w:rsidRPr="00EE605F">
              <w:rPr>
                <w:rFonts w:eastAsia="Times New Roman"/>
                <w:b/>
                <w:bCs/>
                <w:kern w:val="24"/>
              </w:rPr>
              <w:t>Low</w:t>
            </w:r>
            <w:r>
              <w:rPr>
                <w:rFonts w:eastAsia="Times New Roman"/>
                <w:b/>
                <w:bCs/>
                <w:kern w:val="24"/>
              </w:rPr>
              <w:t xml:space="preserve"> </w:t>
            </w:r>
            <w:r w:rsidRPr="00EE605F">
              <w:rPr>
                <w:rFonts w:eastAsia="Times New Roman"/>
                <w:b/>
                <w:bCs/>
                <w:kern w:val="24"/>
              </w:rPr>
              <w:t>Intensity</w:t>
            </w:r>
            <w:r w:rsidRPr="00EE605F">
              <w:rPr>
                <w:rFonts w:eastAsia="Times New Roman"/>
                <w:b/>
                <w:bCs/>
                <w:kern w:val="24"/>
                <w:position w:val="11"/>
                <w:vertAlign w:val="superscript"/>
              </w:rPr>
              <w:t>†</w:t>
            </w:r>
          </w:p>
        </w:tc>
        <w:tc>
          <w:tcPr>
            <w:tcW w:w="0" w:type="auto"/>
            <w:shd w:val="clear" w:color="auto" w:fill="D9D9D9" w:themeFill="background1" w:themeFillShade="D9"/>
            <w:vAlign w:val="center"/>
            <w:hideMark/>
          </w:tcPr>
          <w:p w14:paraId="51269770" w14:textId="77777777" w:rsidR="004D1A15" w:rsidRPr="00EE605F" w:rsidRDefault="004D1A15" w:rsidP="00EE605F">
            <w:pPr>
              <w:jc w:val="center"/>
              <w:rPr>
                <w:rFonts w:eastAsia="Times New Roman"/>
              </w:rPr>
            </w:pPr>
            <w:r w:rsidRPr="00EE605F">
              <w:rPr>
                <w:rFonts w:eastAsia="Times New Roman"/>
                <w:b/>
                <w:bCs/>
                <w:kern w:val="24"/>
              </w:rPr>
              <w:t>High</w:t>
            </w:r>
            <w:r>
              <w:rPr>
                <w:rFonts w:eastAsia="Times New Roman"/>
                <w:b/>
                <w:bCs/>
                <w:kern w:val="24"/>
              </w:rPr>
              <w:t xml:space="preserve"> </w:t>
            </w:r>
            <w:r w:rsidRPr="00EE605F">
              <w:rPr>
                <w:rFonts w:eastAsia="Times New Roman"/>
                <w:b/>
                <w:bCs/>
                <w:kern w:val="24"/>
              </w:rPr>
              <w:t>Intensity</w:t>
            </w:r>
            <w:r w:rsidRPr="00EE605F">
              <w:rPr>
                <w:rFonts w:eastAsia="Times New Roman"/>
                <w:b/>
                <w:bCs/>
                <w:kern w:val="24"/>
                <w:position w:val="11"/>
                <w:vertAlign w:val="superscript"/>
              </w:rPr>
              <w:t>‡</w:t>
            </w:r>
          </w:p>
        </w:tc>
      </w:tr>
      <w:tr w:rsidR="004D1A15" w:rsidRPr="00EE605F" w14:paraId="7CC67426" w14:textId="77777777" w:rsidTr="00DC1F8D">
        <w:trPr>
          <w:trHeight w:val="584"/>
          <w:jc w:val="center"/>
        </w:trPr>
        <w:tc>
          <w:tcPr>
            <w:tcW w:w="0" w:type="auto"/>
            <w:tcMar>
              <w:left w:w="29" w:type="dxa"/>
              <w:right w:w="115" w:type="dxa"/>
            </w:tcMar>
            <w:vAlign w:val="center"/>
            <w:hideMark/>
          </w:tcPr>
          <w:p w14:paraId="38457AE3" w14:textId="77777777" w:rsidR="004D1A15" w:rsidRPr="00EE605F" w:rsidRDefault="004D1A15" w:rsidP="00EE605F">
            <w:pPr>
              <w:rPr>
                <w:rFonts w:eastAsia="Times New Roman"/>
              </w:rPr>
            </w:pPr>
            <w:r w:rsidRPr="00EE605F">
              <w:rPr>
                <w:rFonts w:eastAsia="Times New Roman"/>
                <w:kern w:val="24"/>
              </w:rPr>
              <w:t>Apixaban</w:t>
            </w:r>
          </w:p>
        </w:tc>
        <w:tc>
          <w:tcPr>
            <w:tcW w:w="0" w:type="auto"/>
            <w:vAlign w:val="center"/>
            <w:hideMark/>
          </w:tcPr>
          <w:p w14:paraId="5C883B3E" w14:textId="77777777" w:rsidR="004D1A15" w:rsidRPr="00EE605F" w:rsidRDefault="004D1A15" w:rsidP="00EE605F">
            <w:pPr>
              <w:jc w:val="center"/>
              <w:rPr>
                <w:rFonts w:eastAsia="Times New Roman"/>
              </w:rPr>
            </w:pPr>
            <w:r w:rsidRPr="00EE605F">
              <w:rPr>
                <w:rFonts w:eastAsia="Times New Roman"/>
                <w:kern w:val="24"/>
              </w:rPr>
              <w:t>≤ 5 mg</w:t>
            </w:r>
          </w:p>
        </w:tc>
        <w:tc>
          <w:tcPr>
            <w:tcW w:w="0" w:type="auto"/>
            <w:vAlign w:val="center"/>
            <w:hideMark/>
          </w:tcPr>
          <w:p w14:paraId="71559F20" w14:textId="77777777" w:rsidR="004D1A15" w:rsidRPr="00EE605F" w:rsidRDefault="004D1A15" w:rsidP="00EE605F">
            <w:pPr>
              <w:jc w:val="center"/>
              <w:rPr>
                <w:rFonts w:eastAsia="Times New Roman"/>
              </w:rPr>
            </w:pPr>
            <w:r w:rsidRPr="00EE605F">
              <w:rPr>
                <w:rFonts w:eastAsia="Times New Roman"/>
                <w:kern w:val="24"/>
              </w:rPr>
              <w:t>≥ 10 mg</w:t>
            </w:r>
          </w:p>
        </w:tc>
      </w:tr>
      <w:tr w:rsidR="004D1A15" w:rsidRPr="00EE605F" w14:paraId="404D7082" w14:textId="77777777" w:rsidTr="00DC1F8D">
        <w:trPr>
          <w:trHeight w:val="584"/>
          <w:jc w:val="center"/>
        </w:trPr>
        <w:tc>
          <w:tcPr>
            <w:tcW w:w="0" w:type="auto"/>
            <w:tcMar>
              <w:left w:w="29" w:type="dxa"/>
              <w:right w:w="115" w:type="dxa"/>
            </w:tcMar>
            <w:vAlign w:val="center"/>
            <w:hideMark/>
          </w:tcPr>
          <w:p w14:paraId="6462DACD" w14:textId="77777777" w:rsidR="004D1A15" w:rsidRPr="00EE605F" w:rsidRDefault="004D1A15" w:rsidP="00EE605F">
            <w:pPr>
              <w:rPr>
                <w:rFonts w:eastAsia="Times New Roman"/>
              </w:rPr>
            </w:pPr>
            <w:r w:rsidRPr="00EE605F">
              <w:rPr>
                <w:rFonts w:eastAsia="Times New Roman"/>
                <w:kern w:val="24"/>
              </w:rPr>
              <w:t>Rivaroxaban</w:t>
            </w:r>
          </w:p>
        </w:tc>
        <w:tc>
          <w:tcPr>
            <w:tcW w:w="0" w:type="auto"/>
            <w:vAlign w:val="center"/>
            <w:hideMark/>
          </w:tcPr>
          <w:p w14:paraId="3F70D432" w14:textId="77777777" w:rsidR="004D1A15" w:rsidRPr="00EE605F" w:rsidRDefault="004D1A15" w:rsidP="00EE605F">
            <w:pPr>
              <w:jc w:val="center"/>
              <w:rPr>
                <w:rFonts w:eastAsia="Times New Roman"/>
              </w:rPr>
            </w:pPr>
            <w:r w:rsidRPr="00EE605F">
              <w:rPr>
                <w:rFonts w:eastAsia="Times New Roman"/>
                <w:kern w:val="24"/>
              </w:rPr>
              <w:t>≤ 10 mg</w:t>
            </w:r>
          </w:p>
        </w:tc>
        <w:tc>
          <w:tcPr>
            <w:tcW w:w="0" w:type="auto"/>
            <w:vAlign w:val="center"/>
            <w:hideMark/>
          </w:tcPr>
          <w:p w14:paraId="66896751" w14:textId="77777777" w:rsidR="004D1A15" w:rsidRPr="00EE605F" w:rsidRDefault="004D1A15" w:rsidP="00EE605F">
            <w:pPr>
              <w:jc w:val="center"/>
              <w:rPr>
                <w:rFonts w:eastAsia="Times New Roman"/>
              </w:rPr>
            </w:pPr>
            <w:r w:rsidRPr="00EE605F">
              <w:rPr>
                <w:rFonts w:eastAsia="Times New Roman"/>
                <w:kern w:val="24"/>
              </w:rPr>
              <w:t>≥ 15 mg</w:t>
            </w:r>
          </w:p>
        </w:tc>
      </w:tr>
      <w:tr w:rsidR="004D1A15" w:rsidRPr="00EE605F" w14:paraId="281934C0" w14:textId="77777777" w:rsidTr="00DC1F8D">
        <w:trPr>
          <w:trHeight w:val="584"/>
          <w:jc w:val="center"/>
        </w:trPr>
        <w:tc>
          <w:tcPr>
            <w:tcW w:w="0" w:type="auto"/>
            <w:tcMar>
              <w:left w:w="29" w:type="dxa"/>
              <w:right w:w="115" w:type="dxa"/>
            </w:tcMar>
            <w:vAlign w:val="center"/>
            <w:hideMark/>
          </w:tcPr>
          <w:p w14:paraId="75E1FC25" w14:textId="77777777" w:rsidR="004D1A15" w:rsidRPr="00EE605F" w:rsidRDefault="004D1A15" w:rsidP="00EE605F">
            <w:pPr>
              <w:rPr>
                <w:rFonts w:eastAsia="Times New Roman"/>
              </w:rPr>
            </w:pPr>
            <w:r w:rsidRPr="00EE605F">
              <w:rPr>
                <w:rFonts w:eastAsia="Times New Roman"/>
                <w:kern w:val="24"/>
              </w:rPr>
              <w:t>Dabigatran</w:t>
            </w:r>
          </w:p>
        </w:tc>
        <w:tc>
          <w:tcPr>
            <w:tcW w:w="0" w:type="auto"/>
            <w:vAlign w:val="center"/>
            <w:hideMark/>
          </w:tcPr>
          <w:p w14:paraId="79931E3C" w14:textId="77777777" w:rsidR="004D1A15" w:rsidRPr="00EE605F" w:rsidRDefault="004D1A15" w:rsidP="00EE605F">
            <w:pPr>
              <w:jc w:val="center"/>
              <w:rPr>
                <w:rFonts w:eastAsia="Times New Roman"/>
              </w:rPr>
            </w:pPr>
            <w:r w:rsidRPr="00EE605F">
              <w:rPr>
                <w:rFonts w:eastAsia="Times New Roman"/>
                <w:kern w:val="24"/>
              </w:rPr>
              <w:t>≤ 220 mg</w:t>
            </w:r>
          </w:p>
        </w:tc>
        <w:tc>
          <w:tcPr>
            <w:tcW w:w="0" w:type="auto"/>
            <w:vAlign w:val="center"/>
            <w:hideMark/>
          </w:tcPr>
          <w:p w14:paraId="1BFBDB4F" w14:textId="77777777" w:rsidR="004D1A15" w:rsidRPr="00EE605F" w:rsidRDefault="004D1A15" w:rsidP="00EE605F">
            <w:pPr>
              <w:jc w:val="center"/>
              <w:rPr>
                <w:rFonts w:eastAsia="Times New Roman"/>
              </w:rPr>
            </w:pPr>
            <w:r w:rsidRPr="00EE605F">
              <w:rPr>
                <w:rFonts w:eastAsia="Times New Roman"/>
                <w:kern w:val="24"/>
              </w:rPr>
              <w:t>≥ 300 mg</w:t>
            </w:r>
          </w:p>
        </w:tc>
      </w:tr>
      <w:tr w:rsidR="004D1A15" w:rsidRPr="00EE605F" w14:paraId="71488F39" w14:textId="77777777" w:rsidTr="00DC1F8D">
        <w:trPr>
          <w:trHeight w:val="584"/>
          <w:jc w:val="center"/>
        </w:trPr>
        <w:tc>
          <w:tcPr>
            <w:tcW w:w="0" w:type="auto"/>
            <w:tcMar>
              <w:left w:w="29" w:type="dxa"/>
              <w:right w:w="115" w:type="dxa"/>
            </w:tcMar>
            <w:vAlign w:val="center"/>
            <w:hideMark/>
          </w:tcPr>
          <w:p w14:paraId="6A09756D" w14:textId="77777777" w:rsidR="004D1A15" w:rsidRPr="00EE605F" w:rsidRDefault="004D1A15" w:rsidP="00EE605F">
            <w:pPr>
              <w:rPr>
                <w:rFonts w:eastAsia="Times New Roman"/>
              </w:rPr>
            </w:pPr>
            <w:proofErr w:type="spellStart"/>
            <w:r w:rsidRPr="00EE605F">
              <w:rPr>
                <w:rFonts w:eastAsia="Times New Roman"/>
                <w:kern w:val="24"/>
              </w:rPr>
              <w:t>Edoxaban</w:t>
            </w:r>
            <w:proofErr w:type="spellEnd"/>
          </w:p>
        </w:tc>
        <w:tc>
          <w:tcPr>
            <w:tcW w:w="0" w:type="auto"/>
            <w:vAlign w:val="center"/>
            <w:hideMark/>
          </w:tcPr>
          <w:p w14:paraId="07EAC1F9" w14:textId="77777777" w:rsidR="004D1A15" w:rsidRPr="00EE605F" w:rsidRDefault="004D1A15" w:rsidP="00EE605F">
            <w:pPr>
              <w:jc w:val="center"/>
              <w:rPr>
                <w:rFonts w:eastAsia="Times New Roman"/>
              </w:rPr>
            </w:pPr>
            <w:r w:rsidRPr="00EE605F">
              <w:rPr>
                <w:rFonts w:eastAsia="Times New Roman"/>
                <w:kern w:val="24"/>
              </w:rPr>
              <w:t>≤ 30 mg</w:t>
            </w:r>
          </w:p>
        </w:tc>
        <w:tc>
          <w:tcPr>
            <w:tcW w:w="0" w:type="auto"/>
            <w:vAlign w:val="center"/>
            <w:hideMark/>
          </w:tcPr>
          <w:p w14:paraId="54202C19" w14:textId="77777777" w:rsidR="004D1A15" w:rsidRPr="00EE605F" w:rsidRDefault="004D1A15" w:rsidP="00EE605F">
            <w:pPr>
              <w:jc w:val="center"/>
              <w:rPr>
                <w:rFonts w:eastAsia="Times New Roman"/>
              </w:rPr>
            </w:pPr>
            <w:r w:rsidRPr="00EE605F">
              <w:rPr>
                <w:rFonts w:eastAsia="Times New Roman"/>
                <w:kern w:val="24"/>
              </w:rPr>
              <w:t>≥ 60 mg</w:t>
            </w:r>
          </w:p>
        </w:tc>
      </w:tr>
      <w:tr w:rsidR="004D1A15" w:rsidRPr="00EE605F" w14:paraId="7EF8D484" w14:textId="77777777" w:rsidTr="00DC1F8D">
        <w:trPr>
          <w:trHeight w:val="584"/>
          <w:jc w:val="center"/>
        </w:trPr>
        <w:tc>
          <w:tcPr>
            <w:tcW w:w="0" w:type="auto"/>
            <w:gridSpan w:val="3"/>
            <w:tcMar>
              <w:left w:w="29" w:type="dxa"/>
              <w:right w:w="115" w:type="dxa"/>
            </w:tcMar>
            <w:hideMark/>
          </w:tcPr>
          <w:p w14:paraId="07AB7D3D" w14:textId="77777777" w:rsidR="004D1A15" w:rsidRDefault="004D1A15" w:rsidP="00EE605F">
            <w:pPr>
              <w:rPr>
                <w:rFonts w:eastAsia="Times New Roman"/>
                <w:kern w:val="24"/>
                <w:sz w:val="20"/>
                <w:szCs w:val="20"/>
              </w:rPr>
            </w:pPr>
            <w:r>
              <w:rPr>
                <w:rFonts w:eastAsia="Times New Roman"/>
                <w:kern w:val="24"/>
                <w:sz w:val="20"/>
                <w:szCs w:val="20"/>
              </w:rPr>
              <w:t>DOAC = direct oral anticoagulant</w:t>
            </w:r>
          </w:p>
          <w:p w14:paraId="58F046A1" w14:textId="77777777" w:rsidR="004D1A15" w:rsidRDefault="004D1A15" w:rsidP="00EE605F">
            <w:pPr>
              <w:rPr>
                <w:rFonts w:eastAsia="Times New Roman"/>
                <w:kern w:val="24"/>
                <w:sz w:val="20"/>
                <w:szCs w:val="20"/>
              </w:rPr>
            </w:pPr>
          </w:p>
          <w:p w14:paraId="14D2748B" w14:textId="77777777" w:rsidR="004D1A15" w:rsidRPr="00EE605F" w:rsidRDefault="004D1A15" w:rsidP="00EE605F">
            <w:pPr>
              <w:rPr>
                <w:rFonts w:eastAsia="Times New Roman"/>
                <w:sz w:val="20"/>
                <w:szCs w:val="20"/>
              </w:rPr>
            </w:pPr>
            <w:r w:rsidRPr="00EE605F">
              <w:rPr>
                <w:rFonts w:eastAsia="Times New Roman"/>
                <w:kern w:val="24"/>
                <w:sz w:val="20"/>
                <w:szCs w:val="20"/>
              </w:rPr>
              <w:t xml:space="preserve">* </w:t>
            </w:r>
            <w:r>
              <w:rPr>
                <w:rFonts w:eastAsia="Times New Roman"/>
                <w:kern w:val="24"/>
                <w:sz w:val="20"/>
                <w:szCs w:val="20"/>
              </w:rPr>
              <w:t xml:space="preserve"> </w:t>
            </w:r>
            <w:r w:rsidRPr="00EE605F">
              <w:rPr>
                <w:rFonts w:eastAsia="Times New Roman"/>
                <w:kern w:val="24"/>
                <w:sz w:val="20"/>
                <w:szCs w:val="20"/>
              </w:rPr>
              <w:t>Average Daily Dose = prescription quantity x capsule or tablet strength / prescription days’ supply</w:t>
            </w:r>
          </w:p>
          <w:p w14:paraId="68CDBB1B" w14:textId="77777777" w:rsidR="004D1A15" w:rsidRPr="00FE7917" w:rsidRDefault="004D1A15" w:rsidP="00EE605F">
            <w:pPr>
              <w:rPr>
                <w:rFonts w:eastAsia="Times New Roman"/>
                <w:sz w:val="20"/>
                <w:szCs w:val="20"/>
                <w:vertAlign w:val="superscript"/>
              </w:rPr>
            </w:pPr>
            <w:r w:rsidRPr="00EE605F">
              <w:rPr>
                <w:rFonts w:eastAsia="Times New Roman"/>
                <w:kern w:val="24"/>
                <w:sz w:val="20"/>
                <w:szCs w:val="20"/>
              </w:rPr>
              <w:t xml:space="preserve">† </w:t>
            </w:r>
            <w:r>
              <w:rPr>
                <w:rFonts w:eastAsia="Times New Roman"/>
                <w:kern w:val="24"/>
                <w:sz w:val="20"/>
                <w:szCs w:val="20"/>
              </w:rPr>
              <w:t xml:space="preserve"> </w:t>
            </w:r>
            <w:r w:rsidRPr="00EE605F">
              <w:rPr>
                <w:rFonts w:eastAsia="Times New Roman"/>
                <w:kern w:val="24"/>
                <w:sz w:val="20"/>
                <w:szCs w:val="20"/>
              </w:rPr>
              <w:t>Low</w:t>
            </w:r>
            <w:r>
              <w:rPr>
                <w:rFonts w:eastAsia="Times New Roman"/>
                <w:kern w:val="24"/>
                <w:sz w:val="20"/>
                <w:szCs w:val="20"/>
              </w:rPr>
              <w:t xml:space="preserve"> </w:t>
            </w:r>
            <w:r w:rsidRPr="00EE605F">
              <w:rPr>
                <w:rFonts w:eastAsia="Times New Roman"/>
                <w:kern w:val="24"/>
                <w:sz w:val="20"/>
                <w:szCs w:val="20"/>
              </w:rPr>
              <w:t xml:space="preserve">intensity includes doses indicated for </w:t>
            </w:r>
            <w:r>
              <w:rPr>
                <w:rFonts w:eastAsia="Times New Roman"/>
                <w:kern w:val="24"/>
                <w:sz w:val="20"/>
                <w:szCs w:val="20"/>
              </w:rPr>
              <w:t xml:space="preserve">deep vein thrombosis/pulmonary embolism </w:t>
            </w:r>
            <w:r w:rsidRPr="00EE605F">
              <w:rPr>
                <w:rFonts w:eastAsia="Times New Roman"/>
                <w:kern w:val="24"/>
                <w:sz w:val="20"/>
                <w:szCs w:val="20"/>
              </w:rPr>
              <w:t>prophylaxis and</w:t>
            </w:r>
            <w:r>
              <w:rPr>
                <w:rFonts w:eastAsia="Times New Roman"/>
                <w:kern w:val="24"/>
                <w:sz w:val="20"/>
                <w:szCs w:val="20"/>
              </w:rPr>
              <w:t xml:space="preserve"> deep vein thrombosis/pulmonary embolism </w:t>
            </w:r>
            <w:r w:rsidRPr="00EE605F">
              <w:rPr>
                <w:rFonts w:eastAsia="Times New Roman"/>
                <w:kern w:val="24"/>
                <w:sz w:val="20"/>
                <w:szCs w:val="20"/>
              </w:rPr>
              <w:t>treatment in patients with renal dysfunction</w:t>
            </w:r>
            <w:r>
              <w:rPr>
                <w:rFonts w:eastAsia="Times New Roman"/>
                <w:kern w:val="24"/>
                <w:sz w:val="20"/>
                <w:szCs w:val="20"/>
                <w:vertAlign w:val="superscript"/>
              </w:rPr>
              <w:t>1</w:t>
            </w:r>
          </w:p>
          <w:p w14:paraId="378FE702" w14:textId="77777777" w:rsidR="004D1A15" w:rsidRPr="00FE7917" w:rsidRDefault="004D1A15" w:rsidP="00EE605F">
            <w:pPr>
              <w:rPr>
                <w:rFonts w:eastAsia="Times New Roman"/>
                <w:kern w:val="24"/>
                <w:sz w:val="20"/>
                <w:szCs w:val="20"/>
                <w:vertAlign w:val="superscript"/>
              </w:rPr>
            </w:pPr>
            <w:r w:rsidRPr="00EE605F">
              <w:rPr>
                <w:rFonts w:eastAsia="Times New Roman"/>
                <w:kern w:val="24"/>
                <w:sz w:val="20"/>
                <w:szCs w:val="20"/>
              </w:rPr>
              <w:t xml:space="preserve">‡ </w:t>
            </w:r>
            <w:r>
              <w:rPr>
                <w:rFonts w:eastAsia="Times New Roman"/>
                <w:kern w:val="24"/>
                <w:sz w:val="20"/>
                <w:szCs w:val="20"/>
              </w:rPr>
              <w:t xml:space="preserve"> </w:t>
            </w:r>
            <w:r w:rsidRPr="00EE605F">
              <w:rPr>
                <w:rFonts w:eastAsia="Times New Roman"/>
                <w:kern w:val="24"/>
                <w:sz w:val="20"/>
                <w:szCs w:val="20"/>
              </w:rPr>
              <w:t>High</w:t>
            </w:r>
            <w:r>
              <w:rPr>
                <w:rFonts w:eastAsia="Times New Roman"/>
                <w:kern w:val="24"/>
                <w:sz w:val="20"/>
                <w:szCs w:val="20"/>
              </w:rPr>
              <w:t xml:space="preserve"> </w:t>
            </w:r>
            <w:r w:rsidRPr="00EE605F">
              <w:rPr>
                <w:rFonts w:eastAsia="Times New Roman"/>
                <w:kern w:val="24"/>
                <w:sz w:val="20"/>
                <w:szCs w:val="20"/>
              </w:rPr>
              <w:t xml:space="preserve">intensity includes doses indicated for </w:t>
            </w:r>
            <w:r>
              <w:rPr>
                <w:rFonts w:eastAsia="Times New Roman"/>
                <w:kern w:val="24"/>
                <w:sz w:val="20"/>
                <w:szCs w:val="20"/>
              </w:rPr>
              <w:t xml:space="preserve">deep vein thrombosis/pulmonary embolism </w:t>
            </w:r>
            <w:r w:rsidRPr="00EE605F">
              <w:rPr>
                <w:rFonts w:eastAsia="Times New Roman"/>
                <w:kern w:val="24"/>
                <w:sz w:val="20"/>
                <w:szCs w:val="20"/>
              </w:rPr>
              <w:t>treatment and stroke</w:t>
            </w:r>
            <w:r>
              <w:rPr>
                <w:rFonts w:eastAsia="Times New Roman"/>
                <w:kern w:val="24"/>
                <w:sz w:val="20"/>
                <w:szCs w:val="20"/>
              </w:rPr>
              <w:t xml:space="preserve">/pulmonary embolism </w:t>
            </w:r>
            <w:r w:rsidRPr="00EE605F">
              <w:rPr>
                <w:rFonts w:eastAsia="Times New Roman"/>
                <w:kern w:val="24"/>
                <w:sz w:val="20"/>
                <w:szCs w:val="20"/>
              </w:rPr>
              <w:t xml:space="preserve">prevention in patients with </w:t>
            </w:r>
            <w:r>
              <w:rPr>
                <w:rFonts w:eastAsia="Times New Roman"/>
                <w:kern w:val="24"/>
                <w:sz w:val="20"/>
                <w:szCs w:val="20"/>
              </w:rPr>
              <w:t>non-valvular atrial fibrillation</w:t>
            </w:r>
            <w:r>
              <w:rPr>
                <w:rFonts w:eastAsia="Times New Roman"/>
                <w:kern w:val="24"/>
                <w:sz w:val="20"/>
                <w:szCs w:val="20"/>
                <w:vertAlign w:val="superscript"/>
              </w:rPr>
              <w:t>1</w:t>
            </w:r>
          </w:p>
          <w:p w14:paraId="269DF64B" w14:textId="77777777" w:rsidR="004D1A15" w:rsidRDefault="004D1A15" w:rsidP="00EE605F">
            <w:pPr>
              <w:rPr>
                <w:rFonts w:eastAsia="Times New Roman"/>
                <w:kern w:val="24"/>
                <w:sz w:val="20"/>
                <w:szCs w:val="20"/>
              </w:rPr>
            </w:pPr>
          </w:p>
          <w:p w14:paraId="14FE686D" w14:textId="77777777" w:rsidR="004D1A15" w:rsidRPr="00EE605F" w:rsidRDefault="004D1A15" w:rsidP="00EE605F">
            <w:pPr>
              <w:rPr>
                <w:rFonts w:eastAsia="Times New Roman"/>
              </w:rPr>
            </w:pPr>
            <w:r w:rsidRPr="007C1808">
              <w:rPr>
                <w:rFonts w:eastAsia="Calibri"/>
                <w:sz w:val="20"/>
                <w:szCs w:val="20"/>
              </w:rPr>
              <w:t>1.</w:t>
            </w:r>
            <w:r>
              <w:rPr>
                <w:rFonts w:eastAsia="Calibri"/>
                <w:sz w:val="20"/>
                <w:szCs w:val="20"/>
              </w:rPr>
              <w:t xml:space="preserve"> </w:t>
            </w:r>
            <w:proofErr w:type="spellStart"/>
            <w:r>
              <w:rPr>
                <w:rFonts w:eastAsia="Calibri"/>
                <w:sz w:val="20"/>
                <w:szCs w:val="20"/>
              </w:rPr>
              <w:t>Cuker</w:t>
            </w:r>
            <w:proofErr w:type="spellEnd"/>
            <w:r w:rsidRPr="00696356">
              <w:rPr>
                <w:rFonts w:eastAsia="Times New Roman"/>
                <w:sz w:val="20"/>
                <w:szCs w:val="20"/>
              </w:rPr>
              <w:t xml:space="preserve"> et al. </w:t>
            </w:r>
            <w:r>
              <w:rPr>
                <w:rFonts w:eastAsia="Times New Roman"/>
                <w:sz w:val="20"/>
                <w:szCs w:val="20"/>
              </w:rPr>
              <w:t>American Society of Hematology 2021 Guidelines on the Use of Anticoagulation for Thromboprophylaxis in Patients with COVID-19.</w:t>
            </w:r>
            <w:r w:rsidRPr="00696356">
              <w:rPr>
                <w:rFonts w:eastAsia="Times New Roman"/>
                <w:sz w:val="20"/>
                <w:szCs w:val="20"/>
              </w:rPr>
              <w:t xml:space="preserve"> </w:t>
            </w:r>
            <w:r>
              <w:rPr>
                <w:rFonts w:eastAsia="Times New Roman"/>
                <w:i/>
                <w:iCs/>
                <w:sz w:val="20"/>
                <w:szCs w:val="20"/>
              </w:rPr>
              <w:t>Blood Adv</w:t>
            </w:r>
            <w:r>
              <w:rPr>
                <w:rFonts w:eastAsia="Times New Roman"/>
                <w:i/>
                <w:sz w:val="20"/>
                <w:szCs w:val="20"/>
              </w:rPr>
              <w:t>.</w:t>
            </w:r>
            <w:r w:rsidRPr="00696356">
              <w:rPr>
                <w:rFonts w:eastAsia="Times New Roman"/>
                <w:sz w:val="20"/>
                <w:szCs w:val="20"/>
              </w:rPr>
              <w:t xml:space="preserve"> 20</w:t>
            </w:r>
            <w:r>
              <w:rPr>
                <w:rFonts w:eastAsia="Times New Roman"/>
                <w:sz w:val="20"/>
                <w:szCs w:val="20"/>
              </w:rPr>
              <w:t>21</w:t>
            </w:r>
            <w:r w:rsidRPr="00696356">
              <w:rPr>
                <w:rFonts w:eastAsia="Times New Roman"/>
                <w:sz w:val="20"/>
                <w:szCs w:val="20"/>
              </w:rPr>
              <w:t>;</w:t>
            </w:r>
            <w:r>
              <w:rPr>
                <w:rFonts w:eastAsia="Times New Roman"/>
                <w:sz w:val="20"/>
                <w:szCs w:val="20"/>
              </w:rPr>
              <w:t>5</w:t>
            </w:r>
            <w:r w:rsidRPr="00696356">
              <w:rPr>
                <w:rFonts w:eastAsia="Times New Roman"/>
                <w:sz w:val="20"/>
                <w:szCs w:val="20"/>
              </w:rPr>
              <w:t>(</w:t>
            </w:r>
            <w:r>
              <w:rPr>
                <w:rFonts w:eastAsia="Times New Roman"/>
                <w:sz w:val="20"/>
                <w:szCs w:val="20"/>
              </w:rPr>
              <w:t>3</w:t>
            </w:r>
            <w:r w:rsidRPr="00696356">
              <w:rPr>
                <w:rFonts w:eastAsia="Times New Roman"/>
                <w:sz w:val="20"/>
                <w:szCs w:val="20"/>
              </w:rPr>
              <w:t>):</w:t>
            </w:r>
            <w:r>
              <w:rPr>
                <w:rFonts w:eastAsia="Times New Roman"/>
                <w:sz w:val="20"/>
                <w:szCs w:val="20"/>
              </w:rPr>
              <w:t>872-888</w:t>
            </w:r>
            <w:r w:rsidRPr="00696356">
              <w:rPr>
                <w:rFonts w:eastAsia="Times New Roman"/>
                <w:sz w:val="20"/>
                <w:szCs w:val="20"/>
              </w:rPr>
              <w:t>.</w:t>
            </w:r>
          </w:p>
        </w:tc>
      </w:tr>
    </w:tbl>
    <w:p w14:paraId="2AFDD1A0" w14:textId="77777777" w:rsidR="004D1A15" w:rsidRDefault="004D1A15"/>
    <w:p w14:paraId="665FC2C3" w14:textId="77777777" w:rsidR="004D1A15" w:rsidRDefault="004D1A15">
      <w:r>
        <w:br w:type="page"/>
      </w:r>
    </w:p>
    <w:p w14:paraId="02BF924D" w14:textId="77777777" w:rsidR="004D1A15" w:rsidRPr="00E75620" w:rsidRDefault="004D1A15" w:rsidP="006C28B5">
      <w:pPr>
        <w:pStyle w:val="Heading1"/>
        <w:rPr>
          <w:rFonts w:ascii="Times New Roman" w:hAnsi="Times New Roman" w:cs="Times New Roman"/>
          <w:b/>
          <w:bCs/>
          <w:color w:val="auto"/>
          <w:sz w:val="24"/>
          <w:szCs w:val="24"/>
        </w:rPr>
      </w:pPr>
      <w:r w:rsidRPr="00E75620">
        <w:rPr>
          <w:rFonts w:ascii="Times New Roman" w:hAnsi="Times New Roman" w:cs="Times New Roman"/>
          <w:b/>
          <w:bCs/>
          <w:color w:val="auto"/>
          <w:sz w:val="24"/>
          <w:szCs w:val="24"/>
        </w:rPr>
        <w:lastRenderedPageBreak/>
        <w:t xml:space="preserve">Supplementary Table </w:t>
      </w:r>
      <w:r>
        <w:rPr>
          <w:rFonts w:ascii="Times New Roman" w:hAnsi="Times New Roman" w:cs="Times New Roman"/>
          <w:b/>
          <w:bCs/>
          <w:color w:val="auto"/>
          <w:sz w:val="24"/>
          <w:szCs w:val="24"/>
        </w:rPr>
        <w:t>4</w:t>
      </w:r>
      <w:r w:rsidRPr="00E75620">
        <w:rPr>
          <w:rFonts w:ascii="Times New Roman" w:hAnsi="Times New Roman" w:cs="Times New Roman"/>
          <w:b/>
          <w:bCs/>
          <w:color w:val="auto"/>
          <w:sz w:val="24"/>
          <w:szCs w:val="24"/>
        </w:rPr>
        <w:t>. Pre-specified and post-hoc sensitivity analyses.</w:t>
      </w:r>
    </w:p>
    <w:tbl>
      <w:tblPr>
        <w:tblStyle w:val="TableGrid"/>
        <w:tblW w:w="0" w:type="auto"/>
        <w:tblLook w:val="04A0" w:firstRow="1" w:lastRow="0" w:firstColumn="1" w:lastColumn="0" w:noHBand="0" w:noVBand="1"/>
      </w:tblPr>
      <w:tblGrid>
        <w:gridCol w:w="2632"/>
        <w:gridCol w:w="3321"/>
        <w:gridCol w:w="3397"/>
      </w:tblGrid>
      <w:tr w:rsidR="004D1A15" w14:paraId="21A15FC0" w14:textId="77777777" w:rsidTr="00255524">
        <w:tc>
          <w:tcPr>
            <w:tcW w:w="2632" w:type="dxa"/>
            <w:shd w:val="clear" w:color="auto" w:fill="D9D9D9" w:themeFill="background1" w:themeFillShade="D9"/>
          </w:tcPr>
          <w:p w14:paraId="0A5C5730" w14:textId="77777777" w:rsidR="004D1A15" w:rsidRDefault="004D1A15" w:rsidP="00255524">
            <w:pPr>
              <w:jc w:val="center"/>
              <w:rPr>
                <w:b/>
              </w:rPr>
            </w:pPr>
            <w:r>
              <w:rPr>
                <w:b/>
              </w:rPr>
              <w:t>Type</w:t>
            </w:r>
          </w:p>
        </w:tc>
        <w:tc>
          <w:tcPr>
            <w:tcW w:w="3321" w:type="dxa"/>
            <w:shd w:val="clear" w:color="auto" w:fill="D9D9D9" w:themeFill="background1" w:themeFillShade="D9"/>
            <w:vAlign w:val="center"/>
          </w:tcPr>
          <w:p w14:paraId="13897D4C" w14:textId="77777777" w:rsidR="004D1A15" w:rsidRDefault="004D1A15" w:rsidP="00255524">
            <w:pPr>
              <w:jc w:val="center"/>
              <w:rPr>
                <w:b/>
              </w:rPr>
            </w:pPr>
            <w:r>
              <w:rPr>
                <w:b/>
              </w:rPr>
              <w:t>Analysis</w:t>
            </w:r>
          </w:p>
        </w:tc>
        <w:tc>
          <w:tcPr>
            <w:tcW w:w="3397" w:type="dxa"/>
            <w:shd w:val="clear" w:color="auto" w:fill="D9D9D9" w:themeFill="background1" w:themeFillShade="D9"/>
            <w:vAlign w:val="center"/>
          </w:tcPr>
          <w:p w14:paraId="1C988134" w14:textId="77777777" w:rsidR="004D1A15" w:rsidRDefault="004D1A15" w:rsidP="00255524">
            <w:pPr>
              <w:jc w:val="center"/>
              <w:rPr>
                <w:b/>
              </w:rPr>
            </w:pPr>
            <w:r>
              <w:rPr>
                <w:b/>
              </w:rPr>
              <w:t>Rationale</w:t>
            </w:r>
          </w:p>
        </w:tc>
      </w:tr>
      <w:tr w:rsidR="004D1A15" w14:paraId="6F527F97" w14:textId="77777777" w:rsidTr="00255524">
        <w:tc>
          <w:tcPr>
            <w:tcW w:w="2632" w:type="dxa"/>
            <w:vMerge w:val="restart"/>
            <w:tcMar>
              <w:left w:w="29" w:type="dxa"/>
              <w:right w:w="115" w:type="dxa"/>
            </w:tcMar>
            <w:vAlign w:val="center"/>
          </w:tcPr>
          <w:p w14:paraId="46E31F41" w14:textId="77777777" w:rsidR="004D1A15" w:rsidRDefault="004D1A15" w:rsidP="00255524">
            <w:r>
              <w:t>Pre-specified</w:t>
            </w:r>
          </w:p>
        </w:tc>
        <w:tc>
          <w:tcPr>
            <w:tcW w:w="3321" w:type="dxa"/>
            <w:vAlign w:val="center"/>
          </w:tcPr>
          <w:p w14:paraId="1232E249" w14:textId="77777777" w:rsidR="004D1A15" w:rsidRDefault="004D1A15" w:rsidP="00255524">
            <w:pPr>
              <w:rPr>
                <w:b/>
              </w:rPr>
            </w:pPr>
            <w:r>
              <w:t xml:space="preserve">Depleting days’ supply of ibrutinib </w:t>
            </w:r>
            <w:proofErr w:type="spellStart"/>
            <w:r>
              <w:t>dispensings</w:t>
            </w:r>
            <w:proofErr w:type="spellEnd"/>
            <w:r w:rsidRPr="00B87516">
              <w:rPr>
                <w:vertAlign w:val="superscript"/>
              </w:rPr>
              <w:t>*</w:t>
            </w:r>
            <w:r>
              <w:t xml:space="preserve"> during non-outcome hospitalizations</w:t>
            </w:r>
          </w:p>
        </w:tc>
        <w:tc>
          <w:tcPr>
            <w:tcW w:w="3397" w:type="dxa"/>
          </w:tcPr>
          <w:p w14:paraId="451FC843" w14:textId="77777777" w:rsidR="004D1A15" w:rsidRPr="004442E3" w:rsidRDefault="004D1A15" w:rsidP="00255524">
            <w:r>
              <w:t xml:space="preserve">Days of non-outcome hospitalization are subtracted from ibrutinib </w:t>
            </w:r>
            <w:proofErr w:type="spellStart"/>
            <w:r>
              <w:t>dispensings</w:t>
            </w:r>
            <w:proofErr w:type="spellEnd"/>
            <w:r>
              <w:t>, as individuals may use their home supply of ibrutinib during the hospitalization stay, thereby minimizing exposure misclassification.</w:t>
            </w:r>
          </w:p>
        </w:tc>
      </w:tr>
      <w:tr w:rsidR="004D1A15" w14:paraId="28DEC00B" w14:textId="77777777" w:rsidTr="00255524">
        <w:tc>
          <w:tcPr>
            <w:tcW w:w="2632" w:type="dxa"/>
            <w:vMerge/>
            <w:tcMar>
              <w:left w:w="29" w:type="dxa"/>
              <w:right w:w="115" w:type="dxa"/>
            </w:tcMar>
          </w:tcPr>
          <w:p w14:paraId="4AF5A81C" w14:textId="77777777" w:rsidR="004D1A15" w:rsidRDefault="004D1A15" w:rsidP="00255524"/>
        </w:tc>
        <w:tc>
          <w:tcPr>
            <w:tcW w:w="3321" w:type="dxa"/>
            <w:vAlign w:val="center"/>
          </w:tcPr>
          <w:p w14:paraId="4D3F1582" w14:textId="77777777" w:rsidR="004D1A15" w:rsidRDefault="004D1A15" w:rsidP="00255524">
            <w:pPr>
              <w:rPr>
                <w:b/>
              </w:rPr>
            </w:pPr>
            <w:r>
              <w:t xml:space="preserve">Increasing permissible therapy gap between ibrutinib </w:t>
            </w:r>
            <w:proofErr w:type="spellStart"/>
            <w:r>
              <w:t>dispensings</w:t>
            </w:r>
            <w:proofErr w:type="spellEnd"/>
            <w:r>
              <w:t xml:space="preserve"> from 7 to 14 days</w:t>
            </w:r>
          </w:p>
        </w:tc>
        <w:tc>
          <w:tcPr>
            <w:tcW w:w="3397" w:type="dxa"/>
          </w:tcPr>
          <w:p w14:paraId="0829062E" w14:textId="77777777" w:rsidR="004D1A15" w:rsidRDefault="004D1A15" w:rsidP="00255524">
            <w:pPr>
              <w:rPr>
                <w:b/>
              </w:rPr>
            </w:pPr>
            <w:r w:rsidRPr="00B87516">
              <w:t>Increases proportion of follow-up time contributed by periods of presumed nonadhere</w:t>
            </w:r>
            <w:r>
              <w:t>nce to ibrutinib</w:t>
            </w:r>
            <w:r w:rsidRPr="00B87516">
              <w:t>, thereby minimizing premature censoring of follow-up among poor adherers</w:t>
            </w:r>
            <w:r>
              <w:t>.</w:t>
            </w:r>
          </w:p>
        </w:tc>
      </w:tr>
      <w:tr w:rsidR="004D1A15" w14:paraId="5E6C6FA0" w14:textId="77777777" w:rsidTr="00255524">
        <w:tc>
          <w:tcPr>
            <w:tcW w:w="2632" w:type="dxa"/>
            <w:vMerge/>
            <w:tcMar>
              <w:left w:w="29" w:type="dxa"/>
              <w:right w:w="115" w:type="dxa"/>
            </w:tcMar>
          </w:tcPr>
          <w:p w14:paraId="047A3BB8" w14:textId="77777777" w:rsidR="004D1A15" w:rsidRDefault="004D1A15" w:rsidP="00255524"/>
        </w:tc>
        <w:tc>
          <w:tcPr>
            <w:tcW w:w="3321" w:type="dxa"/>
            <w:vAlign w:val="center"/>
          </w:tcPr>
          <w:p w14:paraId="6051AD86" w14:textId="77777777" w:rsidR="004D1A15" w:rsidRDefault="004D1A15" w:rsidP="00255524">
            <w:r>
              <w:t xml:space="preserve">Increasing permissible therapy gap between OAC </w:t>
            </w:r>
            <w:proofErr w:type="spellStart"/>
            <w:r>
              <w:t>dispensings</w:t>
            </w:r>
            <w:proofErr w:type="spellEnd"/>
            <w:r>
              <w:t xml:space="preserve"> from 7 to 14 days</w:t>
            </w:r>
          </w:p>
        </w:tc>
        <w:tc>
          <w:tcPr>
            <w:tcW w:w="3397" w:type="dxa"/>
          </w:tcPr>
          <w:p w14:paraId="387AE9E9" w14:textId="77777777" w:rsidR="004D1A15" w:rsidRPr="00B87516" w:rsidRDefault="004D1A15" w:rsidP="00255524">
            <w:r w:rsidRPr="00B87516">
              <w:t>Increases proportion of follow-up time contributed by periods of presumed nonadhere</w:t>
            </w:r>
            <w:r>
              <w:t>nce to the OAC</w:t>
            </w:r>
            <w:r w:rsidRPr="00B87516">
              <w:t>, thereby minimizing premature censoring of follow-up among poor adherers</w:t>
            </w:r>
            <w:r>
              <w:t>.</w:t>
            </w:r>
          </w:p>
        </w:tc>
      </w:tr>
      <w:tr w:rsidR="004D1A15" w14:paraId="024C58BC" w14:textId="77777777" w:rsidTr="00255524">
        <w:tc>
          <w:tcPr>
            <w:tcW w:w="2632" w:type="dxa"/>
            <w:vMerge/>
            <w:tcMar>
              <w:left w:w="29" w:type="dxa"/>
              <w:right w:w="115" w:type="dxa"/>
            </w:tcMar>
          </w:tcPr>
          <w:p w14:paraId="0103411E" w14:textId="77777777" w:rsidR="004D1A15" w:rsidRDefault="004D1A15" w:rsidP="00255524"/>
        </w:tc>
        <w:tc>
          <w:tcPr>
            <w:tcW w:w="3321" w:type="dxa"/>
            <w:vAlign w:val="center"/>
          </w:tcPr>
          <w:p w14:paraId="74E5D644" w14:textId="77777777" w:rsidR="004D1A15" w:rsidRDefault="004D1A15" w:rsidP="00255524">
            <w:pPr>
              <w:rPr>
                <w:b/>
              </w:rPr>
            </w:pPr>
            <w:r>
              <w:t xml:space="preserve">Decreasing permissible therapy gap between </w:t>
            </w:r>
            <w:proofErr w:type="spellStart"/>
            <w:r>
              <w:t>bendamustine</w:t>
            </w:r>
            <w:proofErr w:type="spellEnd"/>
            <w:r>
              <w:t xml:space="preserve"> administrations from 56 to 42 days</w:t>
            </w:r>
          </w:p>
        </w:tc>
        <w:tc>
          <w:tcPr>
            <w:tcW w:w="3397" w:type="dxa"/>
          </w:tcPr>
          <w:p w14:paraId="3059DBA7" w14:textId="77777777" w:rsidR="004D1A15" w:rsidRPr="00B87516" w:rsidRDefault="004D1A15" w:rsidP="00255524">
            <w:r>
              <w:t>Decreases proportion of follow-up time contributed by periods of presumed delays in therapy administration, thereby minimizing exposure misclassification.</w:t>
            </w:r>
          </w:p>
        </w:tc>
      </w:tr>
      <w:tr w:rsidR="004D1A15" w14:paraId="474B5DF4" w14:textId="77777777" w:rsidTr="00255524">
        <w:tc>
          <w:tcPr>
            <w:tcW w:w="2632" w:type="dxa"/>
            <w:vMerge/>
            <w:tcMar>
              <w:left w:w="29" w:type="dxa"/>
              <w:right w:w="115" w:type="dxa"/>
            </w:tcMar>
          </w:tcPr>
          <w:p w14:paraId="45F4C737" w14:textId="77777777" w:rsidR="004D1A15" w:rsidRDefault="004D1A15" w:rsidP="00255524"/>
        </w:tc>
        <w:tc>
          <w:tcPr>
            <w:tcW w:w="3321" w:type="dxa"/>
            <w:vAlign w:val="center"/>
          </w:tcPr>
          <w:p w14:paraId="5A8B552F" w14:textId="77777777" w:rsidR="004D1A15" w:rsidRDefault="004D1A15" w:rsidP="00255524">
            <w:pPr>
              <w:rPr>
                <w:b/>
              </w:rPr>
            </w:pPr>
            <w:r>
              <w:t>Adjusting for cancer type (CLL, MCL, or MZL) in the Cox proportional hazards regression outcome model</w:t>
            </w:r>
          </w:p>
        </w:tc>
        <w:tc>
          <w:tcPr>
            <w:tcW w:w="3397" w:type="dxa"/>
          </w:tcPr>
          <w:p w14:paraId="2E4FD281" w14:textId="77777777" w:rsidR="004D1A15" w:rsidRPr="00F46334" w:rsidRDefault="004D1A15" w:rsidP="00255524">
            <w:r>
              <w:t>Adjusts for cancer type as a covariate in the outcome model. Cancer type was not included in the propensity score in the primary analysis, as it may be an instrument which can cause bias in the propensity score estimation.</w:t>
            </w:r>
          </w:p>
        </w:tc>
      </w:tr>
      <w:tr w:rsidR="004D1A15" w14:paraId="44B5EEEB" w14:textId="77777777" w:rsidTr="00255524">
        <w:tc>
          <w:tcPr>
            <w:tcW w:w="2632" w:type="dxa"/>
            <w:vMerge/>
            <w:tcMar>
              <w:left w:w="29" w:type="dxa"/>
              <w:right w:w="115" w:type="dxa"/>
            </w:tcMar>
          </w:tcPr>
          <w:p w14:paraId="3160313C" w14:textId="77777777" w:rsidR="004D1A15" w:rsidRDefault="004D1A15" w:rsidP="00255524"/>
        </w:tc>
        <w:tc>
          <w:tcPr>
            <w:tcW w:w="3321" w:type="dxa"/>
            <w:vAlign w:val="center"/>
          </w:tcPr>
          <w:p w14:paraId="524D8B3C" w14:textId="77777777" w:rsidR="004D1A15" w:rsidRDefault="004D1A15" w:rsidP="00255524">
            <w:pPr>
              <w:rPr>
                <w:b/>
              </w:rPr>
            </w:pPr>
            <w:r>
              <w:t>Competing risk analysis with disenrollment as competing event</w:t>
            </w:r>
          </w:p>
        </w:tc>
        <w:tc>
          <w:tcPr>
            <w:tcW w:w="3397" w:type="dxa"/>
          </w:tcPr>
          <w:p w14:paraId="03E35EBB" w14:textId="77777777" w:rsidR="004D1A15" w:rsidRPr="00777939" w:rsidRDefault="004D1A15" w:rsidP="00255524">
            <w:r w:rsidRPr="00777939">
              <w:t>Accounts for a possible competing risk of death that may preclude individuals from developing an outcome. Disenrollment was used as a proxy for death, as death dates were unavailable.</w:t>
            </w:r>
          </w:p>
        </w:tc>
      </w:tr>
      <w:tr w:rsidR="004D1A15" w14:paraId="3B6117E1" w14:textId="77777777" w:rsidTr="00255524">
        <w:tc>
          <w:tcPr>
            <w:tcW w:w="2632" w:type="dxa"/>
            <w:tcMar>
              <w:left w:w="29" w:type="dxa"/>
              <w:right w:w="115" w:type="dxa"/>
            </w:tcMar>
            <w:vAlign w:val="center"/>
          </w:tcPr>
          <w:p w14:paraId="129B960D" w14:textId="77777777" w:rsidR="004D1A15" w:rsidRDefault="004D1A15" w:rsidP="00255524">
            <w:r>
              <w:t>Post-hoc</w:t>
            </w:r>
          </w:p>
        </w:tc>
        <w:tc>
          <w:tcPr>
            <w:tcW w:w="3321" w:type="dxa"/>
            <w:vAlign w:val="center"/>
          </w:tcPr>
          <w:p w14:paraId="75D81AAE" w14:textId="77777777" w:rsidR="004D1A15" w:rsidRDefault="004D1A15" w:rsidP="00255524">
            <w:r>
              <w:t>Excluding individuals with bleeding during the baseline period</w:t>
            </w:r>
            <w:r w:rsidRPr="00861551">
              <w:rPr>
                <w:rFonts w:eastAsia="Calibri"/>
                <w:vertAlign w:val="superscript"/>
              </w:rPr>
              <w:t>†</w:t>
            </w:r>
          </w:p>
        </w:tc>
        <w:tc>
          <w:tcPr>
            <w:tcW w:w="3397" w:type="dxa"/>
          </w:tcPr>
          <w:p w14:paraId="7E847A9F" w14:textId="77777777" w:rsidR="004D1A15" w:rsidRPr="00777939" w:rsidRDefault="004D1A15" w:rsidP="00255524">
            <w:r>
              <w:t>Individuals with bleeds diagnosed during the baseline period may experience ‘carry-</w:t>
            </w:r>
            <w:r>
              <w:lastRenderedPageBreak/>
              <w:t>forward coding’ in which outcomes experienced during follow-up represent historic bleeding events</w:t>
            </w:r>
          </w:p>
        </w:tc>
      </w:tr>
      <w:tr w:rsidR="004D1A15" w14:paraId="59A4933C" w14:textId="77777777" w:rsidTr="00255524">
        <w:tc>
          <w:tcPr>
            <w:tcW w:w="9350" w:type="dxa"/>
            <w:gridSpan w:val="3"/>
            <w:tcMar>
              <w:left w:w="29" w:type="dxa"/>
              <w:right w:w="115" w:type="dxa"/>
            </w:tcMar>
          </w:tcPr>
          <w:p w14:paraId="16DDDECB" w14:textId="77777777" w:rsidR="004D1A15" w:rsidRPr="00E10C1D" w:rsidRDefault="004D1A15" w:rsidP="00255524">
            <w:pPr>
              <w:rPr>
                <w:sz w:val="20"/>
              </w:rPr>
            </w:pPr>
            <w:r w:rsidRPr="00E10C1D">
              <w:rPr>
                <w:sz w:val="20"/>
              </w:rPr>
              <w:lastRenderedPageBreak/>
              <w:t>CLL = chronic lymphocytic leukemia</w:t>
            </w:r>
            <w:r>
              <w:rPr>
                <w:sz w:val="20"/>
              </w:rPr>
              <w:t>, MCL = mantle cell lymphoma, MZL = marginal zone lymphoma; OAC = oral anticoagulant</w:t>
            </w:r>
          </w:p>
          <w:p w14:paraId="58B8D33B" w14:textId="77777777" w:rsidR="004D1A15" w:rsidRPr="00E10C1D" w:rsidRDefault="004D1A15" w:rsidP="00255524">
            <w:pPr>
              <w:rPr>
                <w:sz w:val="20"/>
              </w:rPr>
            </w:pPr>
          </w:p>
          <w:p w14:paraId="458C7532" w14:textId="77777777" w:rsidR="004D1A15" w:rsidRDefault="004D1A15" w:rsidP="00255524">
            <w:pPr>
              <w:rPr>
                <w:sz w:val="20"/>
              </w:rPr>
            </w:pPr>
            <w:r w:rsidRPr="00E10C1D">
              <w:rPr>
                <w:sz w:val="20"/>
              </w:rPr>
              <w:t>*  In the primary analysis, days of hospitalization were added to the ibrutinib prescription claim’s days’ supply, as individuals may receive hosp</w:t>
            </w:r>
            <w:r>
              <w:rPr>
                <w:sz w:val="20"/>
              </w:rPr>
              <w:t>ital</w:t>
            </w:r>
            <w:r w:rsidRPr="00E10C1D">
              <w:rPr>
                <w:sz w:val="20"/>
              </w:rPr>
              <w:t xml:space="preserve"> supply of i</w:t>
            </w:r>
            <w:r>
              <w:rPr>
                <w:sz w:val="20"/>
              </w:rPr>
              <w:t xml:space="preserve">brutinib during their hospitalization </w:t>
            </w:r>
            <w:r w:rsidRPr="00E10C1D">
              <w:rPr>
                <w:sz w:val="20"/>
              </w:rPr>
              <w:t>stay</w:t>
            </w:r>
          </w:p>
          <w:p w14:paraId="3878D52F" w14:textId="77777777" w:rsidR="004D1A15" w:rsidRPr="00043D18" w:rsidRDefault="004D1A15" w:rsidP="00255524">
            <w:pPr>
              <w:rPr>
                <w:rFonts w:eastAsia="Calibri"/>
                <w:sz w:val="20"/>
                <w:szCs w:val="20"/>
              </w:rPr>
            </w:pPr>
            <w:r w:rsidRPr="009649A7">
              <w:rPr>
                <w:rFonts w:eastAsia="Calibri"/>
                <w:sz w:val="20"/>
                <w:szCs w:val="20"/>
              </w:rPr>
              <w:t>†</w:t>
            </w:r>
            <w:r>
              <w:rPr>
                <w:rFonts w:eastAsia="Calibri"/>
                <w:sz w:val="20"/>
                <w:szCs w:val="20"/>
              </w:rPr>
              <w:t xml:space="preserve">  Baseline bl</w:t>
            </w:r>
            <w:r w:rsidRPr="00043D18">
              <w:rPr>
                <w:rFonts w:eastAsia="Calibri"/>
                <w:sz w:val="20"/>
                <w:szCs w:val="20"/>
              </w:rPr>
              <w:t xml:space="preserve">eeding </w:t>
            </w:r>
            <w:r>
              <w:rPr>
                <w:rFonts w:eastAsia="Calibri"/>
                <w:sz w:val="20"/>
                <w:szCs w:val="20"/>
              </w:rPr>
              <w:t>was identified using the same diagnosis codes as the</w:t>
            </w:r>
            <w:r w:rsidRPr="00043D18">
              <w:rPr>
                <w:rFonts w:eastAsia="Calibri"/>
                <w:sz w:val="20"/>
                <w:szCs w:val="20"/>
              </w:rPr>
              <w:t xml:space="preserve"> primary outcome</w:t>
            </w:r>
            <w:r>
              <w:rPr>
                <w:rFonts w:eastAsia="Calibri"/>
                <w:sz w:val="20"/>
                <w:szCs w:val="20"/>
              </w:rPr>
              <w:t xml:space="preserve"> definition,</w:t>
            </w:r>
            <w:r w:rsidRPr="00043D18">
              <w:rPr>
                <w:rFonts w:eastAsia="Calibri"/>
                <w:sz w:val="20"/>
                <w:szCs w:val="20"/>
              </w:rPr>
              <w:t xml:space="preserve"> but </w:t>
            </w:r>
            <w:r>
              <w:rPr>
                <w:rFonts w:eastAsia="Calibri"/>
                <w:sz w:val="20"/>
                <w:szCs w:val="20"/>
              </w:rPr>
              <w:t>permitted in any diagnosis position on the claim</w:t>
            </w:r>
          </w:p>
          <w:p w14:paraId="0E9733A2" w14:textId="77777777" w:rsidR="004D1A15" w:rsidRPr="00E10C1D" w:rsidRDefault="004D1A15" w:rsidP="00255524">
            <w:pPr>
              <w:rPr>
                <w:sz w:val="20"/>
              </w:rPr>
            </w:pPr>
          </w:p>
        </w:tc>
      </w:tr>
    </w:tbl>
    <w:p w14:paraId="19B14648" w14:textId="77777777" w:rsidR="004D1A15" w:rsidRDefault="004D1A15">
      <w:r>
        <w:br w:type="page"/>
      </w:r>
    </w:p>
    <w:p w14:paraId="40E1F7B2" w14:textId="77777777" w:rsidR="004D1A15" w:rsidRPr="0090076A" w:rsidRDefault="004D1A15" w:rsidP="003E273E">
      <w:pPr>
        <w:spacing w:after="0"/>
        <w:rPr>
          <w:b/>
          <w:bCs/>
        </w:rPr>
      </w:pPr>
      <w:r>
        <w:rPr>
          <w:b/>
          <w:bCs/>
        </w:rPr>
        <w:lastRenderedPageBreak/>
        <w:t>Supplementary Table 5</w:t>
      </w:r>
      <w:r w:rsidRPr="0090076A">
        <w:rPr>
          <w:b/>
          <w:bCs/>
        </w:rPr>
        <w:t xml:space="preserve">. Baseline characteristics of ibrutinib + OAC-treated and </w:t>
      </w:r>
      <w:proofErr w:type="spellStart"/>
      <w:r w:rsidRPr="0090076A">
        <w:rPr>
          <w:b/>
          <w:bCs/>
        </w:rPr>
        <w:t>bendamustine</w:t>
      </w:r>
      <w:proofErr w:type="spellEnd"/>
      <w:r w:rsidRPr="0090076A">
        <w:rPr>
          <w:b/>
          <w:bCs/>
        </w:rPr>
        <w:t>-rituximab + OAC-treated individuals.</w:t>
      </w:r>
    </w:p>
    <w:tbl>
      <w:tblPr>
        <w:tblStyle w:val="TableGrid"/>
        <w:tblW w:w="0" w:type="auto"/>
        <w:tblLook w:val="04A0" w:firstRow="1" w:lastRow="0" w:firstColumn="1" w:lastColumn="0" w:noHBand="0" w:noVBand="1"/>
      </w:tblPr>
      <w:tblGrid>
        <w:gridCol w:w="1971"/>
        <w:gridCol w:w="2060"/>
        <w:gridCol w:w="2139"/>
        <w:gridCol w:w="1590"/>
        <w:gridCol w:w="1590"/>
      </w:tblGrid>
      <w:tr w:rsidR="004D1A15" w14:paraId="1EFB4E5E" w14:textId="77777777" w:rsidTr="005C0567">
        <w:tc>
          <w:tcPr>
            <w:tcW w:w="0" w:type="auto"/>
            <w:shd w:val="clear" w:color="auto" w:fill="D9D9D9" w:themeFill="background1" w:themeFillShade="D9"/>
            <w:tcMar>
              <w:left w:w="29" w:type="dxa"/>
              <w:right w:w="115" w:type="dxa"/>
            </w:tcMar>
            <w:vAlign w:val="center"/>
          </w:tcPr>
          <w:p w14:paraId="37E842B4" w14:textId="77777777" w:rsidR="004D1A15" w:rsidRPr="00705776" w:rsidRDefault="004D1A15" w:rsidP="005C0567">
            <w:pPr>
              <w:rPr>
                <w:b/>
              </w:rPr>
            </w:pPr>
          </w:p>
        </w:tc>
        <w:tc>
          <w:tcPr>
            <w:tcW w:w="0" w:type="auto"/>
            <w:gridSpan w:val="3"/>
            <w:shd w:val="clear" w:color="auto" w:fill="D9D9D9" w:themeFill="background1" w:themeFillShade="D9"/>
            <w:vAlign w:val="center"/>
          </w:tcPr>
          <w:p w14:paraId="6453C177" w14:textId="77777777" w:rsidR="004D1A15" w:rsidRPr="00705776" w:rsidRDefault="004D1A15" w:rsidP="005C0567">
            <w:pPr>
              <w:jc w:val="center"/>
              <w:rPr>
                <w:b/>
              </w:rPr>
            </w:pPr>
            <w:r>
              <w:rPr>
                <w:b/>
              </w:rPr>
              <w:t>Unweighted</w:t>
            </w:r>
          </w:p>
        </w:tc>
        <w:tc>
          <w:tcPr>
            <w:tcW w:w="0" w:type="auto"/>
            <w:shd w:val="clear" w:color="auto" w:fill="D9D9D9" w:themeFill="background1" w:themeFillShade="D9"/>
            <w:vAlign w:val="center"/>
          </w:tcPr>
          <w:p w14:paraId="7C31D668" w14:textId="77777777" w:rsidR="004D1A15" w:rsidRPr="00705776" w:rsidRDefault="004D1A15" w:rsidP="005C0567">
            <w:pPr>
              <w:jc w:val="center"/>
              <w:rPr>
                <w:b/>
              </w:rPr>
            </w:pPr>
            <w:r>
              <w:rPr>
                <w:b/>
              </w:rPr>
              <w:t>Weighted</w:t>
            </w:r>
          </w:p>
        </w:tc>
      </w:tr>
      <w:tr w:rsidR="004D1A15" w14:paraId="12FF9A50" w14:textId="77777777" w:rsidTr="005C0567">
        <w:tc>
          <w:tcPr>
            <w:tcW w:w="0" w:type="auto"/>
            <w:shd w:val="clear" w:color="auto" w:fill="D9D9D9" w:themeFill="background1" w:themeFillShade="D9"/>
            <w:tcMar>
              <w:left w:w="29" w:type="dxa"/>
              <w:right w:w="115" w:type="dxa"/>
            </w:tcMar>
            <w:vAlign w:val="center"/>
          </w:tcPr>
          <w:p w14:paraId="29FA25EB" w14:textId="77777777" w:rsidR="004D1A15" w:rsidRPr="00705776" w:rsidRDefault="004D1A15" w:rsidP="005C0567">
            <w:pPr>
              <w:rPr>
                <w:b/>
              </w:rPr>
            </w:pPr>
            <w:r>
              <w:rPr>
                <w:b/>
              </w:rPr>
              <w:t>Characteristic, N (%)</w:t>
            </w:r>
            <w:r w:rsidRPr="002C2894">
              <w:rPr>
                <w:b/>
                <w:vertAlign w:val="superscript"/>
              </w:rPr>
              <w:t>*</w:t>
            </w:r>
          </w:p>
        </w:tc>
        <w:tc>
          <w:tcPr>
            <w:tcW w:w="2088" w:type="dxa"/>
            <w:shd w:val="clear" w:color="auto" w:fill="D9D9D9" w:themeFill="background1" w:themeFillShade="D9"/>
            <w:vAlign w:val="center"/>
          </w:tcPr>
          <w:p w14:paraId="7C8D83EE" w14:textId="77777777" w:rsidR="004D1A15" w:rsidRDefault="004D1A15" w:rsidP="005C0567">
            <w:pPr>
              <w:jc w:val="center"/>
              <w:rPr>
                <w:b/>
              </w:rPr>
            </w:pPr>
            <w:r w:rsidRPr="00705776">
              <w:rPr>
                <w:b/>
              </w:rPr>
              <w:t>Ibrutinib</w:t>
            </w:r>
            <w:r>
              <w:rPr>
                <w:b/>
              </w:rPr>
              <w:t xml:space="preserve"> + OAC</w:t>
            </w:r>
          </w:p>
          <w:p w14:paraId="5C0B4050" w14:textId="77777777" w:rsidR="004D1A15" w:rsidRPr="00705776" w:rsidRDefault="004D1A15" w:rsidP="005C0567">
            <w:pPr>
              <w:jc w:val="center"/>
              <w:rPr>
                <w:b/>
              </w:rPr>
            </w:pPr>
            <w:r>
              <w:rPr>
                <w:b/>
              </w:rPr>
              <w:t>N = 480</w:t>
            </w:r>
          </w:p>
        </w:tc>
        <w:tc>
          <w:tcPr>
            <w:tcW w:w="1955" w:type="dxa"/>
            <w:shd w:val="clear" w:color="auto" w:fill="D9D9D9" w:themeFill="background1" w:themeFillShade="D9"/>
            <w:vAlign w:val="center"/>
          </w:tcPr>
          <w:p w14:paraId="36AF2AD5" w14:textId="77777777" w:rsidR="004D1A15" w:rsidRDefault="004D1A15" w:rsidP="005C0567">
            <w:pPr>
              <w:jc w:val="center"/>
              <w:rPr>
                <w:b/>
              </w:rPr>
            </w:pPr>
            <w:proofErr w:type="spellStart"/>
            <w:r w:rsidRPr="00705776">
              <w:rPr>
                <w:b/>
              </w:rPr>
              <w:t>B</w:t>
            </w:r>
            <w:r>
              <w:rPr>
                <w:b/>
              </w:rPr>
              <w:t>endamustine</w:t>
            </w:r>
            <w:proofErr w:type="spellEnd"/>
            <w:r>
              <w:rPr>
                <w:b/>
              </w:rPr>
              <w:t>-Rituximab + OAC</w:t>
            </w:r>
          </w:p>
          <w:p w14:paraId="790B0B30" w14:textId="77777777" w:rsidR="004D1A15" w:rsidRPr="00705776" w:rsidRDefault="004D1A15" w:rsidP="005C0567">
            <w:pPr>
              <w:jc w:val="center"/>
              <w:rPr>
                <w:b/>
              </w:rPr>
            </w:pPr>
            <w:r>
              <w:rPr>
                <w:b/>
              </w:rPr>
              <w:t>N = 212</w:t>
            </w:r>
          </w:p>
        </w:tc>
        <w:tc>
          <w:tcPr>
            <w:tcW w:w="0" w:type="auto"/>
            <w:shd w:val="clear" w:color="auto" w:fill="D9D9D9" w:themeFill="background1" w:themeFillShade="D9"/>
            <w:vAlign w:val="center"/>
          </w:tcPr>
          <w:p w14:paraId="37B91A2A" w14:textId="77777777" w:rsidR="004D1A15" w:rsidRPr="00705776" w:rsidRDefault="004D1A15" w:rsidP="005C0567">
            <w:pPr>
              <w:jc w:val="center"/>
              <w:rPr>
                <w:b/>
              </w:rPr>
            </w:pPr>
            <w:r>
              <w:rPr>
                <w:b/>
              </w:rPr>
              <w:t>Absolute Standardized Difference</w:t>
            </w:r>
          </w:p>
        </w:tc>
        <w:tc>
          <w:tcPr>
            <w:tcW w:w="0" w:type="auto"/>
            <w:shd w:val="clear" w:color="auto" w:fill="D9D9D9" w:themeFill="background1" w:themeFillShade="D9"/>
            <w:vAlign w:val="center"/>
          </w:tcPr>
          <w:p w14:paraId="532D7C1F" w14:textId="77777777" w:rsidR="004D1A15" w:rsidRPr="00705776" w:rsidRDefault="004D1A15" w:rsidP="005C0567">
            <w:pPr>
              <w:jc w:val="center"/>
              <w:rPr>
                <w:b/>
              </w:rPr>
            </w:pPr>
            <w:r>
              <w:rPr>
                <w:b/>
              </w:rPr>
              <w:t xml:space="preserve">Absolute </w:t>
            </w:r>
            <w:r w:rsidRPr="00705776">
              <w:rPr>
                <w:b/>
              </w:rPr>
              <w:t>S</w:t>
            </w:r>
            <w:r>
              <w:rPr>
                <w:b/>
              </w:rPr>
              <w:t>tandardized Difference</w:t>
            </w:r>
          </w:p>
        </w:tc>
      </w:tr>
      <w:tr w:rsidR="004D1A15" w14:paraId="3DC31D24" w14:textId="77777777" w:rsidTr="005C0567">
        <w:tc>
          <w:tcPr>
            <w:tcW w:w="0" w:type="auto"/>
            <w:tcMar>
              <w:left w:w="29" w:type="dxa"/>
              <w:right w:w="115" w:type="dxa"/>
            </w:tcMar>
            <w:vAlign w:val="center"/>
          </w:tcPr>
          <w:p w14:paraId="72CFBBDC" w14:textId="77777777" w:rsidR="004D1A15" w:rsidRPr="00D120FC" w:rsidRDefault="004D1A15" w:rsidP="005C0567">
            <w:pPr>
              <w:rPr>
                <w:bCs/>
              </w:rPr>
            </w:pPr>
            <w:r w:rsidRPr="00D120FC">
              <w:rPr>
                <w:bCs/>
              </w:rPr>
              <w:t xml:space="preserve">Average </w:t>
            </w:r>
            <w:r>
              <w:rPr>
                <w:bCs/>
              </w:rPr>
              <w:t>d</w:t>
            </w:r>
            <w:r w:rsidRPr="00D120FC">
              <w:rPr>
                <w:bCs/>
              </w:rPr>
              <w:t>aily</w:t>
            </w:r>
            <w:r>
              <w:rPr>
                <w:bCs/>
              </w:rPr>
              <w:t xml:space="preserve"> ibrutinib</w:t>
            </w:r>
            <w:r w:rsidRPr="00D120FC">
              <w:rPr>
                <w:bCs/>
              </w:rPr>
              <w:t xml:space="preserve"> </w:t>
            </w:r>
            <w:r>
              <w:rPr>
                <w:bCs/>
              </w:rPr>
              <w:t>d</w:t>
            </w:r>
            <w:r w:rsidRPr="00D120FC">
              <w:rPr>
                <w:bCs/>
              </w:rPr>
              <w:t>ose</w:t>
            </w:r>
            <w:r w:rsidRPr="00F01591">
              <w:rPr>
                <w:rFonts w:eastAsia="Calibri"/>
                <w:vertAlign w:val="superscript"/>
              </w:rPr>
              <w:t>†</w:t>
            </w:r>
            <w:r w:rsidRPr="00342F42">
              <w:rPr>
                <w:rFonts w:eastAsia="Calibri"/>
                <w:vertAlign w:val="superscript"/>
              </w:rPr>
              <w:t>‡</w:t>
            </w:r>
          </w:p>
        </w:tc>
        <w:tc>
          <w:tcPr>
            <w:tcW w:w="2088" w:type="dxa"/>
            <w:vAlign w:val="center"/>
          </w:tcPr>
          <w:p w14:paraId="2666EE18" w14:textId="77777777" w:rsidR="004D1A15" w:rsidRDefault="004D1A15" w:rsidP="005C0567">
            <w:pPr>
              <w:jc w:val="center"/>
            </w:pPr>
          </w:p>
        </w:tc>
        <w:tc>
          <w:tcPr>
            <w:tcW w:w="1955" w:type="dxa"/>
            <w:vAlign w:val="center"/>
          </w:tcPr>
          <w:p w14:paraId="55C8DC45" w14:textId="77777777" w:rsidR="004D1A15" w:rsidRDefault="004D1A15" w:rsidP="005C0567">
            <w:pPr>
              <w:jc w:val="center"/>
            </w:pPr>
          </w:p>
        </w:tc>
        <w:tc>
          <w:tcPr>
            <w:tcW w:w="0" w:type="auto"/>
            <w:vAlign w:val="center"/>
          </w:tcPr>
          <w:p w14:paraId="15B71CD5" w14:textId="77777777" w:rsidR="004D1A15" w:rsidRDefault="004D1A15" w:rsidP="005C0567">
            <w:pPr>
              <w:jc w:val="center"/>
            </w:pPr>
            <w:r>
              <w:t>N/A</w:t>
            </w:r>
          </w:p>
        </w:tc>
        <w:tc>
          <w:tcPr>
            <w:tcW w:w="0" w:type="auto"/>
            <w:vAlign w:val="center"/>
          </w:tcPr>
          <w:p w14:paraId="2CD9E215" w14:textId="77777777" w:rsidR="004D1A15" w:rsidRDefault="004D1A15" w:rsidP="005C0567">
            <w:pPr>
              <w:jc w:val="center"/>
            </w:pPr>
            <w:r>
              <w:t>N/A</w:t>
            </w:r>
          </w:p>
        </w:tc>
      </w:tr>
      <w:tr w:rsidR="004D1A15" w14:paraId="0AF815CF" w14:textId="77777777" w:rsidTr="005C0567">
        <w:tc>
          <w:tcPr>
            <w:tcW w:w="0" w:type="auto"/>
            <w:vAlign w:val="center"/>
          </w:tcPr>
          <w:p w14:paraId="0141BBEF" w14:textId="77777777" w:rsidR="004D1A15" w:rsidRPr="000704A0" w:rsidRDefault="004D1A15" w:rsidP="005C0567">
            <w:r w:rsidRPr="000704A0">
              <w:t>&lt;420 mg</w:t>
            </w:r>
          </w:p>
        </w:tc>
        <w:tc>
          <w:tcPr>
            <w:tcW w:w="2088" w:type="dxa"/>
            <w:vAlign w:val="center"/>
          </w:tcPr>
          <w:p w14:paraId="51D368BC" w14:textId="77777777" w:rsidR="004D1A15" w:rsidRDefault="004D1A15" w:rsidP="005C0567">
            <w:pPr>
              <w:jc w:val="center"/>
            </w:pPr>
            <w:r>
              <w:t>85 (17.7)</w:t>
            </w:r>
          </w:p>
        </w:tc>
        <w:tc>
          <w:tcPr>
            <w:tcW w:w="1955" w:type="dxa"/>
            <w:vAlign w:val="center"/>
          </w:tcPr>
          <w:p w14:paraId="3665D4E2" w14:textId="77777777" w:rsidR="004D1A15" w:rsidRDefault="004D1A15" w:rsidP="005C0567">
            <w:pPr>
              <w:jc w:val="center"/>
            </w:pPr>
            <w:r>
              <w:t>N/A</w:t>
            </w:r>
          </w:p>
        </w:tc>
        <w:tc>
          <w:tcPr>
            <w:tcW w:w="0" w:type="auto"/>
            <w:vAlign w:val="center"/>
          </w:tcPr>
          <w:p w14:paraId="7BA4A635" w14:textId="77777777" w:rsidR="004D1A15" w:rsidRDefault="004D1A15" w:rsidP="005C0567">
            <w:pPr>
              <w:jc w:val="center"/>
            </w:pPr>
          </w:p>
        </w:tc>
        <w:tc>
          <w:tcPr>
            <w:tcW w:w="0" w:type="auto"/>
            <w:vAlign w:val="center"/>
          </w:tcPr>
          <w:p w14:paraId="768943B9" w14:textId="77777777" w:rsidR="004D1A15" w:rsidRDefault="004D1A15" w:rsidP="005C0567">
            <w:pPr>
              <w:jc w:val="center"/>
            </w:pPr>
          </w:p>
        </w:tc>
      </w:tr>
      <w:tr w:rsidR="004D1A15" w14:paraId="642B4086" w14:textId="77777777" w:rsidTr="005C0567">
        <w:tc>
          <w:tcPr>
            <w:tcW w:w="0" w:type="auto"/>
            <w:vAlign w:val="center"/>
          </w:tcPr>
          <w:p w14:paraId="6A695494" w14:textId="77777777" w:rsidR="004D1A15" w:rsidRPr="000704A0" w:rsidRDefault="004D1A15" w:rsidP="005C0567">
            <w:r w:rsidRPr="000704A0">
              <w:t>420 mg</w:t>
            </w:r>
          </w:p>
        </w:tc>
        <w:tc>
          <w:tcPr>
            <w:tcW w:w="2088" w:type="dxa"/>
            <w:vAlign w:val="center"/>
          </w:tcPr>
          <w:p w14:paraId="65DE9C50" w14:textId="77777777" w:rsidR="004D1A15" w:rsidRDefault="004D1A15" w:rsidP="005C0567">
            <w:pPr>
              <w:jc w:val="center"/>
            </w:pPr>
            <w:r>
              <w:t>357 (74.4)</w:t>
            </w:r>
          </w:p>
        </w:tc>
        <w:tc>
          <w:tcPr>
            <w:tcW w:w="1955" w:type="dxa"/>
            <w:vAlign w:val="center"/>
          </w:tcPr>
          <w:p w14:paraId="281F8E24" w14:textId="77777777" w:rsidR="004D1A15" w:rsidRDefault="004D1A15" w:rsidP="005C0567">
            <w:pPr>
              <w:jc w:val="center"/>
            </w:pPr>
            <w:r>
              <w:t>N/A</w:t>
            </w:r>
          </w:p>
        </w:tc>
        <w:tc>
          <w:tcPr>
            <w:tcW w:w="0" w:type="auto"/>
            <w:vAlign w:val="center"/>
          </w:tcPr>
          <w:p w14:paraId="5D9CD630" w14:textId="77777777" w:rsidR="004D1A15" w:rsidRDefault="004D1A15" w:rsidP="005C0567">
            <w:pPr>
              <w:jc w:val="center"/>
            </w:pPr>
          </w:p>
        </w:tc>
        <w:tc>
          <w:tcPr>
            <w:tcW w:w="0" w:type="auto"/>
            <w:vAlign w:val="center"/>
          </w:tcPr>
          <w:p w14:paraId="64D1EAD8" w14:textId="77777777" w:rsidR="004D1A15" w:rsidRDefault="004D1A15" w:rsidP="005C0567">
            <w:pPr>
              <w:jc w:val="center"/>
            </w:pPr>
          </w:p>
        </w:tc>
      </w:tr>
      <w:tr w:rsidR="004D1A15" w14:paraId="3A3136C8" w14:textId="77777777" w:rsidTr="005C0567">
        <w:tc>
          <w:tcPr>
            <w:tcW w:w="0" w:type="auto"/>
            <w:vAlign w:val="center"/>
          </w:tcPr>
          <w:p w14:paraId="6A574FA2" w14:textId="77777777" w:rsidR="004D1A15" w:rsidRPr="000704A0" w:rsidRDefault="004D1A15" w:rsidP="005C0567">
            <w:r w:rsidRPr="000704A0">
              <w:t>&gt;420 mg</w:t>
            </w:r>
          </w:p>
        </w:tc>
        <w:tc>
          <w:tcPr>
            <w:tcW w:w="2088" w:type="dxa"/>
            <w:vAlign w:val="center"/>
          </w:tcPr>
          <w:p w14:paraId="3296FCD4" w14:textId="77777777" w:rsidR="004D1A15" w:rsidRDefault="004D1A15" w:rsidP="005C0567">
            <w:pPr>
              <w:jc w:val="center"/>
            </w:pPr>
            <w:r>
              <w:t>38 (7.9)</w:t>
            </w:r>
          </w:p>
        </w:tc>
        <w:tc>
          <w:tcPr>
            <w:tcW w:w="1955" w:type="dxa"/>
            <w:vAlign w:val="center"/>
          </w:tcPr>
          <w:p w14:paraId="656E17F9" w14:textId="77777777" w:rsidR="004D1A15" w:rsidRDefault="004D1A15" w:rsidP="005C0567">
            <w:pPr>
              <w:jc w:val="center"/>
            </w:pPr>
            <w:r>
              <w:t>N/A</w:t>
            </w:r>
          </w:p>
        </w:tc>
        <w:tc>
          <w:tcPr>
            <w:tcW w:w="0" w:type="auto"/>
            <w:vAlign w:val="center"/>
          </w:tcPr>
          <w:p w14:paraId="4B9A85D2" w14:textId="77777777" w:rsidR="004D1A15" w:rsidRDefault="004D1A15" w:rsidP="005C0567">
            <w:pPr>
              <w:jc w:val="center"/>
            </w:pPr>
          </w:p>
        </w:tc>
        <w:tc>
          <w:tcPr>
            <w:tcW w:w="0" w:type="auto"/>
            <w:vAlign w:val="center"/>
          </w:tcPr>
          <w:p w14:paraId="020CA561" w14:textId="77777777" w:rsidR="004D1A15" w:rsidRDefault="004D1A15" w:rsidP="005C0567">
            <w:pPr>
              <w:jc w:val="center"/>
            </w:pPr>
          </w:p>
        </w:tc>
      </w:tr>
      <w:tr w:rsidR="004D1A15" w14:paraId="03894817" w14:textId="77777777" w:rsidTr="005C0567">
        <w:tc>
          <w:tcPr>
            <w:tcW w:w="0" w:type="auto"/>
            <w:vAlign w:val="center"/>
          </w:tcPr>
          <w:p w14:paraId="0D0F6782" w14:textId="77777777" w:rsidR="004D1A15" w:rsidRDefault="004D1A15" w:rsidP="005C0567">
            <w:pPr>
              <w:rPr>
                <w:b/>
              </w:rPr>
            </w:pPr>
          </w:p>
        </w:tc>
        <w:tc>
          <w:tcPr>
            <w:tcW w:w="2088" w:type="dxa"/>
            <w:vAlign w:val="center"/>
          </w:tcPr>
          <w:p w14:paraId="2302B055" w14:textId="77777777" w:rsidR="004D1A15" w:rsidRDefault="004D1A15" w:rsidP="005C0567">
            <w:pPr>
              <w:jc w:val="center"/>
            </w:pPr>
          </w:p>
        </w:tc>
        <w:tc>
          <w:tcPr>
            <w:tcW w:w="1955" w:type="dxa"/>
            <w:vAlign w:val="center"/>
          </w:tcPr>
          <w:p w14:paraId="39337902" w14:textId="77777777" w:rsidR="004D1A15" w:rsidRDefault="004D1A15" w:rsidP="005C0567">
            <w:pPr>
              <w:jc w:val="center"/>
            </w:pPr>
          </w:p>
        </w:tc>
        <w:tc>
          <w:tcPr>
            <w:tcW w:w="0" w:type="auto"/>
            <w:vAlign w:val="center"/>
          </w:tcPr>
          <w:p w14:paraId="06B60A30" w14:textId="77777777" w:rsidR="004D1A15" w:rsidRDefault="004D1A15" w:rsidP="005C0567">
            <w:pPr>
              <w:jc w:val="center"/>
            </w:pPr>
          </w:p>
        </w:tc>
        <w:tc>
          <w:tcPr>
            <w:tcW w:w="0" w:type="auto"/>
            <w:vAlign w:val="center"/>
          </w:tcPr>
          <w:p w14:paraId="10B1795B" w14:textId="77777777" w:rsidR="004D1A15" w:rsidRDefault="004D1A15" w:rsidP="005C0567">
            <w:pPr>
              <w:jc w:val="center"/>
            </w:pPr>
          </w:p>
        </w:tc>
      </w:tr>
      <w:tr w:rsidR="004D1A15" w14:paraId="5E0D3185" w14:textId="77777777" w:rsidTr="005C0567">
        <w:tc>
          <w:tcPr>
            <w:tcW w:w="0" w:type="auto"/>
            <w:tcMar>
              <w:left w:w="29" w:type="dxa"/>
              <w:right w:w="115" w:type="dxa"/>
            </w:tcMar>
            <w:vAlign w:val="center"/>
          </w:tcPr>
          <w:p w14:paraId="449F5E64" w14:textId="77777777" w:rsidR="004D1A15" w:rsidRPr="00EA50E0" w:rsidRDefault="004D1A15" w:rsidP="005C0567">
            <w:pPr>
              <w:rPr>
                <w:bCs/>
              </w:rPr>
            </w:pPr>
            <w:r w:rsidRPr="00EA50E0">
              <w:rPr>
                <w:bCs/>
              </w:rPr>
              <w:t xml:space="preserve">Cancer </w:t>
            </w:r>
            <w:r>
              <w:rPr>
                <w:bCs/>
              </w:rPr>
              <w:t>t</w:t>
            </w:r>
            <w:r w:rsidRPr="00EA50E0">
              <w:rPr>
                <w:bCs/>
              </w:rPr>
              <w:t>ype</w:t>
            </w:r>
          </w:p>
        </w:tc>
        <w:tc>
          <w:tcPr>
            <w:tcW w:w="2088" w:type="dxa"/>
            <w:vAlign w:val="center"/>
          </w:tcPr>
          <w:p w14:paraId="30F4F979" w14:textId="77777777" w:rsidR="004D1A15" w:rsidRDefault="004D1A15" w:rsidP="005C0567">
            <w:pPr>
              <w:jc w:val="center"/>
            </w:pPr>
          </w:p>
        </w:tc>
        <w:tc>
          <w:tcPr>
            <w:tcW w:w="1955" w:type="dxa"/>
            <w:vAlign w:val="center"/>
          </w:tcPr>
          <w:p w14:paraId="411353F3" w14:textId="77777777" w:rsidR="004D1A15" w:rsidRDefault="004D1A15" w:rsidP="005C0567">
            <w:pPr>
              <w:jc w:val="center"/>
            </w:pPr>
          </w:p>
        </w:tc>
        <w:tc>
          <w:tcPr>
            <w:tcW w:w="0" w:type="auto"/>
            <w:vAlign w:val="center"/>
          </w:tcPr>
          <w:p w14:paraId="1D886593" w14:textId="77777777" w:rsidR="004D1A15" w:rsidRDefault="004D1A15" w:rsidP="005C0567">
            <w:pPr>
              <w:jc w:val="center"/>
            </w:pPr>
          </w:p>
        </w:tc>
        <w:tc>
          <w:tcPr>
            <w:tcW w:w="0" w:type="auto"/>
            <w:vAlign w:val="center"/>
          </w:tcPr>
          <w:p w14:paraId="14AD7925" w14:textId="77777777" w:rsidR="004D1A15" w:rsidRDefault="004D1A15" w:rsidP="005C0567">
            <w:pPr>
              <w:jc w:val="center"/>
            </w:pPr>
          </w:p>
        </w:tc>
      </w:tr>
      <w:tr w:rsidR="004D1A15" w14:paraId="6FCB0540" w14:textId="77777777" w:rsidTr="005C0567">
        <w:tc>
          <w:tcPr>
            <w:tcW w:w="0" w:type="auto"/>
            <w:vAlign w:val="center"/>
          </w:tcPr>
          <w:p w14:paraId="3B31942F" w14:textId="77777777" w:rsidR="004D1A15" w:rsidRPr="00EA50E0" w:rsidRDefault="004D1A15" w:rsidP="005C0567">
            <w:pPr>
              <w:rPr>
                <w:bCs/>
              </w:rPr>
            </w:pPr>
            <w:r w:rsidRPr="00EA50E0">
              <w:rPr>
                <w:bCs/>
              </w:rPr>
              <w:t>CLL</w:t>
            </w:r>
          </w:p>
        </w:tc>
        <w:tc>
          <w:tcPr>
            <w:tcW w:w="2088" w:type="dxa"/>
            <w:vAlign w:val="center"/>
          </w:tcPr>
          <w:p w14:paraId="780E92E2" w14:textId="77777777" w:rsidR="004D1A15" w:rsidRDefault="004D1A15" w:rsidP="005C0567">
            <w:pPr>
              <w:jc w:val="center"/>
            </w:pPr>
            <w:r>
              <w:t>428 (89.2)</w:t>
            </w:r>
          </w:p>
        </w:tc>
        <w:tc>
          <w:tcPr>
            <w:tcW w:w="1955" w:type="dxa"/>
            <w:vAlign w:val="center"/>
          </w:tcPr>
          <w:p w14:paraId="6225D0B3" w14:textId="77777777" w:rsidR="004D1A15" w:rsidRDefault="004D1A15" w:rsidP="005C0567">
            <w:pPr>
              <w:jc w:val="center"/>
            </w:pPr>
            <w:r>
              <w:t>111 (52.4)</w:t>
            </w:r>
          </w:p>
        </w:tc>
        <w:tc>
          <w:tcPr>
            <w:tcW w:w="0" w:type="auto"/>
            <w:vAlign w:val="center"/>
          </w:tcPr>
          <w:p w14:paraId="5FC452BE" w14:textId="77777777" w:rsidR="004D1A15" w:rsidRDefault="004D1A15" w:rsidP="005C0567">
            <w:pPr>
              <w:jc w:val="center"/>
            </w:pPr>
            <w:r>
              <w:t>0.89</w:t>
            </w:r>
          </w:p>
        </w:tc>
        <w:tc>
          <w:tcPr>
            <w:tcW w:w="0" w:type="auto"/>
            <w:vAlign w:val="center"/>
          </w:tcPr>
          <w:p w14:paraId="09A73C90" w14:textId="77777777" w:rsidR="004D1A15" w:rsidRDefault="004D1A15" w:rsidP="005C0567">
            <w:pPr>
              <w:jc w:val="center"/>
            </w:pPr>
            <w:r>
              <w:t>0.86</w:t>
            </w:r>
          </w:p>
        </w:tc>
      </w:tr>
      <w:tr w:rsidR="004D1A15" w14:paraId="10F758E2" w14:textId="77777777" w:rsidTr="005C0567">
        <w:tc>
          <w:tcPr>
            <w:tcW w:w="0" w:type="auto"/>
            <w:vAlign w:val="center"/>
          </w:tcPr>
          <w:p w14:paraId="5A955724" w14:textId="77777777" w:rsidR="004D1A15" w:rsidRPr="00EA50E0" w:rsidRDefault="004D1A15" w:rsidP="005C0567">
            <w:pPr>
              <w:rPr>
                <w:bCs/>
              </w:rPr>
            </w:pPr>
            <w:r w:rsidRPr="00EA50E0">
              <w:rPr>
                <w:bCs/>
              </w:rPr>
              <w:t>MCL</w:t>
            </w:r>
          </w:p>
        </w:tc>
        <w:tc>
          <w:tcPr>
            <w:tcW w:w="2088" w:type="dxa"/>
            <w:vAlign w:val="center"/>
          </w:tcPr>
          <w:p w14:paraId="2E3CF9B0" w14:textId="77777777" w:rsidR="004D1A15" w:rsidRDefault="004D1A15" w:rsidP="005C0567">
            <w:pPr>
              <w:jc w:val="center"/>
            </w:pPr>
            <w:r>
              <w:t>40 (8.3)</w:t>
            </w:r>
          </w:p>
        </w:tc>
        <w:tc>
          <w:tcPr>
            <w:tcW w:w="1955" w:type="dxa"/>
            <w:vAlign w:val="center"/>
          </w:tcPr>
          <w:p w14:paraId="7443A735" w14:textId="77777777" w:rsidR="004D1A15" w:rsidRDefault="004D1A15" w:rsidP="005C0567">
            <w:pPr>
              <w:jc w:val="center"/>
            </w:pPr>
            <w:r>
              <w:t>73 (34.4)</w:t>
            </w:r>
          </w:p>
        </w:tc>
        <w:tc>
          <w:tcPr>
            <w:tcW w:w="0" w:type="auto"/>
            <w:vAlign w:val="center"/>
          </w:tcPr>
          <w:p w14:paraId="62728706" w14:textId="77777777" w:rsidR="004D1A15" w:rsidRDefault="004D1A15" w:rsidP="005C0567">
            <w:pPr>
              <w:jc w:val="center"/>
            </w:pPr>
          </w:p>
        </w:tc>
        <w:tc>
          <w:tcPr>
            <w:tcW w:w="0" w:type="auto"/>
            <w:vAlign w:val="center"/>
          </w:tcPr>
          <w:p w14:paraId="5EB2EB3C" w14:textId="77777777" w:rsidR="004D1A15" w:rsidRDefault="004D1A15" w:rsidP="005C0567">
            <w:pPr>
              <w:jc w:val="center"/>
            </w:pPr>
          </w:p>
        </w:tc>
      </w:tr>
      <w:tr w:rsidR="004D1A15" w14:paraId="23F4DF0C" w14:textId="77777777" w:rsidTr="005C0567">
        <w:tc>
          <w:tcPr>
            <w:tcW w:w="0" w:type="auto"/>
            <w:vAlign w:val="center"/>
          </w:tcPr>
          <w:p w14:paraId="7C1981C8" w14:textId="77777777" w:rsidR="004D1A15" w:rsidRPr="00EA50E0" w:rsidRDefault="004D1A15" w:rsidP="005C0567">
            <w:pPr>
              <w:rPr>
                <w:bCs/>
              </w:rPr>
            </w:pPr>
            <w:r w:rsidRPr="00EA50E0">
              <w:rPr>
                <w:bCs/>
              </w:rPr>
              <w:t>MZL</w:t>
            </w:r>
          </w:p>
        </w:tc>
        <w:tc>
          <w:tcPr>
            <w:tcW w:w="2088" w:type="dxa"/>
            <w:vAlign w:val="center"/>
          </w:tcPr>
          <w:p w14:paraId="7994D1E2" w14:textId="77777777" w:rsidR="004D1A15" w:rsidRDefault="004D1A15" w:rsidP="005C0567">
            <w:pPr>
              <w:jc w:val="center"/>
            </w:pPr>
            <w:r>
              <w:t>12 (2.5)</w:t>
            </w:r>
          </w:p>
        </w:tc>
        <w:tc>
          <w:tcPr>
            <w:tcW w:w="1955" w:type="dxa"/>
            <w:vAlign w:val="center"/>
          </w:tcPr>
          <w:p w14:paraId="5D44D199" w14:textId="77777777" w:rsidR="004D1A15" w:rsidRDefault="004D1A15" w:rsidP="005C0567">
            <w:pPr>
              <w:jc w:val="center"/>
            </w:pPr>
            <w:r>
              <w:t>28 (13.2)</w:t>
            </w:r>
          </w:p>
        </w:tc>
        <w:tc>
          <w:tcPr>
            <w:tcW w:w="0" w:type="auto"/>
            <w:vAlign w:val="center"/>
          </w:tcPr>
          <w:p w14:paraId="3429B638" w14:textId="77777777" w:rsidR="004D1A15" w:rsidRDefault="004D1A15" w:rsidP="005C0567">
            <w:pPr>
              <w:jc w:val="center"/>
            </w:pPr>
          </w:p>
        </w:tc>
        <w:tc>
          <w:tcPr>
            <w:tcW w:w="0" w:type="auto"/>
            <w:vAlign w:val="center"/>
          </w:tcPr>
          <w:p w14:paraId="3F4061CE" w14:textId="77777777" w:rsidR="004D1A15" w:rsidRDefault="004D1A15" w:rsidP="005C0567">
            <w:pPr>
              <w:jc w:val="center"/>
            </w:pPr>
          </w:p>
        </w:tc>
      </w:tr>
      <w:tr w:rsidR="004D1A15" w14:paraId="047B23AF" w14:textId="77777777" w:rsidTr="005C0567">
        <w:tc>
          <w:tcPr>
            <w:tcW w:w="0" w:type="auto"/>
            <w:vAlign w:val="center"/>
          </w:tcPr>
          <w:p w14:paraId="041DA694" w14:textId="77777777" w:rsidR="004D1A15" w:rsidRPr="00EA50E0" w:rsidRDefault="004D1A15" w:rsidP="005C0567">
            <w:pPr>
              <w:rPr>
                <w:bCs/>
              </w:rPr>
            </w:pPr>
          </w:p>
        </w:tc>
        <w:tc>
          <w:tcPr>
            <w:tcW w:w="2088" w:type="dxa"/>
            <w:vAlign w:val="center"/>
          </w:tcPr>
          <w:p w14:paraId="008C3FBB" w14:textId="77777777" w:rsidR="004D1A15" w:rsidRDefault="004D1A15" w:rsidP="005C0567">
            <w:pPr>
              <w:jc w:val="center"/>
            </w:pPr>
          </w:p>
        </w:tc>
        <w:tc>
          <w:tcPr>
            <w:tcW w:w="1955" w:type="dxa"/>
            <w:vAlign w:val="center"/>
          </w:tcPr>
          <w:p w14:paraId="1F7592BF" w14:textId="77777777" w:rsidR="004D1A15" w:rsidRDefault="004D1A15" w:rsidP="005C0567">
            <w:pPr>
              <w:jc w:val="center"/>
            </w:pPr>
          </w:p>
        </w:tc>
        <w:tc>
          <w:tcPr>
            <w:tcW w:w="0" w:type="auto"/>
            <w:vAlign w:val="center"/>
          </w:tcPr>
          <w:p w14:paraId="7C8B6A7F" w14:textId="77777777" w:rsidR="004D1A15" w:rsidRDefault="004D1A15" w:rsidP="005C0567">
            <w:pPr>
              <w:jc w:val="center"/>
            </w:pPr>
          </w:p>
        </w:tc>
        <w:tc>
          <w:tcPr>
            <w:tcW w:w="0" w:type="auto"/>
            <w:vAlign w:val="center"/>
          </w:tcPr>
          <w:p w14:paraId="0B818FED" w14:textId="77777777" w:rsidR="004D1A15" w:rsidRDefault="004D1A15" w:rsidP="005C0567">
            <w:pPr>
              <w:jc w:val="center"/>
            </w:pPr>
          </w:p>
        </w:tc>
      </w:tr>
      <w:tr w:rsidR="004D1A15" w14:paraId="73D24E90" w14:textId="77777777" w:rsidTr="005C0567">
        <w:tc>
          <w:tcPr>
            <w:tcW w:w="0" w:type="auto"/>
            <w:shd w:val="clear" w:color="auto" w:fill="D9D9D9" w:themeFill="background1" w:themeFillShade="D9"/>
            <w:tcMar>
              <w:left w:w="29" w:type="dxa"/>
              <w:right w:w="115" w:type="dxa"/>
            </w:tcMar>
            <w:vAlign w:val="center"/>
          </w:tcPr>
          <w:p w14:paraId="0314A6FA" w14:textId="77777777" w:rsidR="004D1A15" w:rsidRDefault="004D1A15" w:rsidP="005C0567">
            <w:pPr>
              <w:rPr>
                <w:b/>
              </w:rPr>
            </w:pPr>
            <w:r>
              <w:rPr>
                <w:b/>
              </w:rPr>
              <w:t>Demographics</w:t>
            </w:r>
          </w:p>
        </w:tc>
        <w:tc>
          <w:tcPr>
            <w:tcW w:w="2088" w:type="dxa"/>
            <w:shd w:val="clear" w:color="auto" w:fill="D9D9D9" w:themeFill="background1" w:themeFillShade="D9"/>
            <w:vAlign w:val="center"/>
          </w:tcPr>
          <w:p w14:paraId="4A56735A" w14:textId="77777777" w:rsidR="004D1A15" w:rsidRDefault="004D1A15" w:rsidP="005C0567">
            <w:pPr>
              <w:jc w:val="center"/>
            </w:pPr>
          </w:p>
        </w:tc>
        <w:tc>
          <w:tcPr>
            <w:tcW w:w="1955" w:type="dxa"/>
            <w:shd w:val="clear" w:color="auto" w:fill="D9D9D9" w:themeFill="background1" w:themeFillShade="D9"/>
            <w:vAlign w:val="center"/>
          </w:tcPr>
          <w:p w14:paraId="719415D1" w14:textId="77777777" w:rsidR="004D1A15" w:rsidRDefault="004D1A15" w:rsidP="005C0567">
            <w:pPr>
              <w:jc w:val="center"/>
            </w:pPr>
          </w:p>
        </w:tc>
        <w:tc>
          <w:tcPr>
            <w:tcW w:w="0" w:type="auto"/>
            <w:shd w:val="clear" w:color="auto" w:fill="D9D9D9" w:themeFill="background1" w:themeFillShade="D9"/>
            <w:vAlign w:val="center"/>
          </w:tcPr>
          <w:p w14:paraId="5915E6C4" w14:textId="77777777" w:rsidR="004D1A15" w:rsidRDefault="004D1A15" w:rsidP="005C0567">
            <w:pPr>
              <w:jc w:val="center"/>
            </w:pPr>
          </w:p>
        </w:tc>
        <w:tc>
          <w:tcPr>
            <w:tcW w:w="0" w:type="auto"/>
            <w:shd w:val="clear" w:color="auto" w:fill="D9D9D9" w:themeFill="background1" w:themeFillShade="D9"/>
            <w:vAlign w:val="center"/>
          </w:tcPr>
          <w:p w14:paraId="3842C026" w14:textId="77777777" w:rsidR="004D1A15" w:rsidRDefault="004D1A15" w:rsidP="005C0567">
            <w:pPr>
              <w:jc w:val="center"/>
            </w:pPr>
          </w:p>
        </w:tc>
      </w:tr>
      <w:tr w:rsidR="004D1A15" w14:paraId="685878B2" w14:textId="77777777" w:rsidTr="005C0567">
        <w:tc>
          <w:tcPr>
            <w:tcW w:w="0" w:type="auto"/>
            <w:tcMar>
              <w:left w:w="29" w:type="dxa"/>
              <w:right w:w="115" w:type="dxa"/>
            </w:tcMar>
            <w:vAlign w:val="center"/>
          </w:tcPr>
          <w:p w14:paraId="661CE591" w14:textId="77777777" w:rsidR="004D1A15" w:rsidRPr="00D120FC" w:rsidRDefault="004D1A15" w:rsidP="005C0567">
            <w:pPr>
              <w:rPr>
                <w:bCs/>
              </w:rPr>
            </w:pPr>
            <w:r w:rsidRPr="00D120FC">
              <w:rPr>
                <w:bCs/>
              </w:rPr>
              <w:t xml:space="preserve">Cohort </w:t>
            </w:r>
            <w:r>
              <w:rPr>
                <w:bCs/>
              </w:rPr>
              <w:t>e</w:t>
            </w:r>
            <w:r w:rsidRPr="00D120FC">
              <w:rPr>
                <w:bCs/>
              </w:rPr>
              <w:t xml:space="preserve">ntry </w:t>
            </w:r>
            <w:r>
              <w:rPr>
                <w:bCs/>
              </w:rPr>
              <w:t>y</w:t>
            </w:r>
            <w:r w:rsidRPr="00D120FC">
              <w:rPr>
                <w:bCs/>
              </w:rPr>
              <w:t>ear</w:t>
            </w:r>
            <w:r w:rsidRPr="00342F42">
              <w:rPr>
                <w:vertAlign w:val="superscript"/>
              </w:rPr>
              <w:t>§</w:t>
            </w:r>
          </w:p>
        </w:tc>
        <w:tc>
          <w:tcPr>
            <w:tcW w:w="2088" w:type="dxa"/>
            <w:vAlign w:val="center"/>
          </w:tcPr>
          <w:p w14:paraId="7D9FE43B" w14:textId="77777777" w:rsidR="004D1A15" w:rsidRDefault="004D1A15" w:rsidP="005C0567">
            <w:pPr>
              <w:jc w:val="center"/>
            </w:pPr>
          </w:p>
        </w:tc>
        <w:tc>
          <w:tcPr>
            <w:tcW w:w="1955" w:type="dxa"/>
            <w:vAlign w:val="center"/>
          </w:tcPr>
          <w:p w14:paraId="7A03B599" w14:textId="77777777" w:rsidR="004D1A15" w:rsidRDefault="004D1A15" w:rsidP="005C0567">
            <w:pPr>
              <w:jc w:val="center"/>
            </w:pPr>
          </w:p>
        </w:tc>
        <w:tc>
          <w:tcPr>
            <w:tcW w:w="0" w:type="auto"/>
            <w:vAlign w:val="center"/>
          </w:tcPr>
          <w:p w14:paraId="7B5AACAF" w14:textId="77777777" w:rsidR="004D1A15" w:rsidRDefault="004D1A15" w:rsidP="005C0567">
            <w:pPr>
              <w:jc w:val="center"/>
            </w:pPr>
            <w:r>
              <w:t>0.53</w:t>
            </w:r>
          </w:p>
        </w:tc>
        <w:tc>
          <w:tcPr>
            <w:tcW w:w="0" w:type="auto"/>
            <w:vAlign w:val="center"/>
          </w:tcPr>
          <w:p w14:paraId="609FAA63" w14:textId="77777777" w:rsidR="004D1A15" w:rsidRDefault="004D1A15" w:rsidP="005C0567">
            <w:pPr>
              <w:jc w:val="center"/>
            </w:pPr>
            <w:r>
              <w:t>0.52</w:t>
            </w:r>
          </w:p>
        </w:tc>
      </w:tr>
      <w:tr w:rsidR="004D1A15" w14:paraId="3C689393" w14:textId="77777777" w:rsidTr="005C0567">
        <w:tc>
          <w:tcPr>
            <w:tcW w:w="0" w:type="auto"/>
            <w:vAlign w:val="center"/>
          </w:tcPr>
          <w:p w14:paraId="251B319D" w14:textId="77777777" w:rsidR="004D1A15" w:rsidRPr="00F9395F" w:rsidRDefault="004D1A15" w:rsidP="005C0567">
            <w:r w:rsidRPr="00F9395F">
              <w:t>2013</w:t>
            </w:r>
          </w:p>
        </w:tc>
        <w:tc>
          <w:tcPr>
            <w:tcW w:w="2088" w:type="dxa"/>
            <w:vAlign w:val="center"/>
          </w:tcPr>
          <w:p w14:paraId="1F4B0B8F" w14:textId="77777777" w:rsidR="004D1A15" w:rsidRDefault="004D1A15" w:rsidP="005C0567">
            <w:pPr>
              <w:jc w:val="center"/>
            </w:pPr>
            <w:r>
              <w:t>2 (0.4)</w:t>
            </w:r>
          </w:p>
        </w:tc>
        <w:tc>
          <w:tcPr>
            <w:tcW w:w="1955" w:type="dxa"/>
            <w:vAlign w:val="center"/>
          </w:tcPr>
          <w:p w14:paraId="1D073748" w14:textId="77777777" w:rsidR="004D1A15" w:rsidRDefault="004D1A15" w:rsidP="005C0567">
            <w:pPr>
              <w:jc w:val="center"/>
            </w:pPr>
            <w:r>
              <w:t>7 (3.2)</w:t>
            </w:r>
          </w:p>
        </w:tc>
        <w:tc>
          <w:tcPr>
            <w:tcW w:w="0" w:type="auto"/>
            <w:vAlign w:val="center"/>
          </w:tcPr>
          <w:p w14:paraId="38E07FD3" w14:textId="77777777" w:rsidR="004D1A15" w:rsidRDefault="004D1A15" w:rsidP="005C0567">
            <w:pPr>
              <w:jc w:val="center"/>
            </w:pPr>
          </w:p>
        </w:tc>
        <w:tc>
          <w:tcPr>
            <w:tcW w:w="0" w:type="auto"/>
            <w:vAlign w:val="center"/>
          </w:tcPr>
          <w:p w14:paraId="1794A41C" w14:textId="77777777" w:rsidR="004D1A15" w:rsidRDefault="004D1A15" w:rsidP="005C0567">
            <w:pPr>
              <w:jc w:val="center"/>
            </w:pPr>
          </w:p>
        </w:tc>
      </w:tr>
      <w:tr w:rsidR="004D1A15" w14:paraId="26B452AF" w14:textId="77777777" w:rsidTr="005C0567">
        <w:tc>
          <w:tcPr>
            <w:tcW w:w="0" w:type="auto"/>
            <w:vAlign w:val="center"/>
          </w:tcPr>
          <w:p w14:paraId="12F23A3C" w14:textId="77777777" w:rsidR="004D1A15" w:rsidRPr="00F9395F" w:rsidRDefault="004D1A15" w:rsidP="005C0567">
            <w:r>
              <w:t>2014</w:t>
            </w:r>
          </w:p>
        </w:tc>
        <w:tc>
          <w:tcPr>
            <w:tcW w:w="2088" w:type="dxa"/>
            <w:vAlign w:val="center"/>
          </w:tcPr>
          <w:p w14:paraId="71B0BC60" w14:textId="77777777" w:rsidR="004D1A15" w:rsidRDefault="004D1A15" w:rsidP="005C0567">
            <w:pPr>
              <w:jc w:val="center"/>
            </w:pPr>
            <w:r>
              <w:t>19 (4.0)</w:t>
            </w:r>
          </w:p>
        </w:tc>
        <w:tc>
          <w:tcPr>
            <w:tcW w:w="1955" w:type="dxa"/>
            <w:vAlign w:val="center"/>
          </w:tcPr>
          <w:p w14:paraId="2437B200" w14:textId="77777777" w:rsidR="004D1A15" w:rsidRDefault="004D1A15" w:rsidP="005C0567">
            <w:pPr>
              <w:jc w:val="center"/>
            </w:pPr>
            <w:r>
              <w:t>28 (13.2)</w:t>
            </w:r>
          </w:p>
        </w:tc>
        <w:tc>
          <w:tcPr>
            <w:tcW w:w="0" w:type="auto"/>
            <w:vAlign w:val="center"/>
          </w:tcPr>
          <w:p w14:paraId="07B47F0C" w14:textId="77777777" w:rsidR="004D1A15" w:rsidRDefault="004D1A15" w:rsidP="005C0567">
            <w:pPr>
              <w:jc w:val="center"/>
            </w:pPr>
          </w:p>
        </w:tc>
        <w:tc>
          <w:tcPr>
            <w:tcW w:w="0" w:type="auto"/>
            <w:vAlign w:val="center"/>
          </w:tcPr>
          <w:p w14:paraId="327AA90E" w14:textId="77777777" w:rsidR="004D1A15" w:rsidRDefault="004D1A15" w:rsidP="005C0567">
            <w:pPr>
              <w:jc w:val="center"/>
            </w:pPr>
          </w:p>
        </w:tc>
      </w:tr>
      <w:tr w:rsidR="004D1A15" w14:paraId="4EE75DAC" w14:textId="77777777" w:rsidTr="005C0567">
        <w:tc>
          <w:tcPr>
            <w:tcW w:w="0" w:type="auto"/>
            <w:vAlign w:val="center"/>
          </w:tcPr>
          <w:p w14:paraId="6ED4B9D2" w14:textId="77777777" w:rsidR="004D1A15" w:rsidRPr="00F9395F" w:rsidRDefault="004D1A15" w:rsidP="005C0567">
            <w:r>
              <w:t>2015</w:t>
            </w:r>
          </w:p>
        </w:tc>
        <w:tc>
          <w:tcPr>
            <w:tcW w:w="2088" w:type="dxa"/>
            <w:vAlign w:val="center"/>
          </w:tcPr>
          <w:p w14:paraId="71E99A9B" w14:textId="77777777" w:rsidR="004D1A15" w:rsidRDefault="004D1A15" w:rsidP="005C0567">
            <w:pPr>
              <w:jc w:val="center"/>
            </w:pPr>
            <w:r>
              <w:t>43 (9.0)</w:t>
            </w:r>
          </w:p>
        </w:tc>
        <w:tc>
          <w:tcPr>
            <w:tcW w:w="1955" w:type="dxa"/>
            <w:vAlign w:val="center"/>
          </w:tcPr>
          <w:p w14:paraId="29DD2D1D" w14:textId="77777777" w:rsidR="004D1A15" w:rsidRDefault="004D1A15" w:rsidP="005C0567">
            <w:pPr>
              <w:jc w:val="center"/>
            </w:pPr>
            <w:r>
              <w:t>26 (12.3)</w:t>
            </w:r>
          </w:p>
        </w:tc>
        <w:tc>
          <w:tcPr>
            <w:tcW w:w="0" w:type="auto"/>
            <w:vAlign w:val="center"/>
          </w:tcPr>
          <w:p w14:paraId="25186E4E" w14:textId="77777777" w:rsidR="004D1A15" w:rsidRDefault="004D1A15" w:rsidP="005C0567">
            <w:pPr>
              <w:jc w:val="center"/>
            </w:pPr>
          </w:p>
        </w:tc>
        <w:tc>
          <w:tcPr>
            <w:tcW w:w="0" w:type="auto"/>
            <w:vAlign w:val="center"/>
          </w:tcPr>
          <w:p w14:paraId="354C65BA" w14:textId="77777777" w:rsidR="004D1A15" w:rsidRDefault="004D1A15" w:rsidP="005C0567">
            <w:pPr>
              <w:jc w:val="center"/>
            </w:pPr>
          </w:p>
        </w:tc>
      </w:tr>
      <w:tr w:rsidR="004D1A15" w14:paraId="1FA7223E" w14:textId="77777777" w:rsidTr="005C0567">
        <w:tc>
          <w:tcPr>
            <w:tcW w:w="0" w:type="auto"/>
            <w:vAlign w:val="center"/>
          </w:tcPr>
          <w:p w14:paraId="1D0165CE" w14:textId="77777777" w:rsidR="004D1A15" w:rsidRPr="00F9395F" w:rsidRDefault="004D1A15" w:rsidP="005C0567">
            <w:r>
              <w:t>2016</w:t>
            </w:r>
          </w:p>
        </w:tc>
        <w:tc>
          <w:tcPr>
            <w:tcW w:w="2088" w:type="dxa"/>
            <w:vAlign w:val="center"/>
          </w:tcPr>
          <w:p w14:paraId="59AB4CE7" w14:textId="77777777" w:rsidR="004D1A15" w:rsidRDefault="004D1A15" w:rsidP="005C0567">
            <w:pPr>
              <w:jc w:val="center"/>
            </w:pPr>
            <w:r>
              <w:t>64 (13.3)</w:t>
            </w:r>
          </w:p>
        </w:tc>
        <w:tc>
          <w:tcPr>
            <w:tcW w:w="1955" w:type="dxa"/>
            <w:vAlign w:val="center"/>
          </w:tcPr>
          <w:p w14:paraId="1BB2152F" w14:textId="77777777" w:rsidR="004D1A15" w:rsidRDefault="004D1A15" w:rsidP="005C0567">
            <w:pPr>
              <w:jc w:val="center"/>
            </w:pPr>
            <w:r>
              <w:t>26 (12.3)</w:t>
            </w:r>
          </w:p>
        </w:tc>
        <w:tc>
          <w:tcPr>
            <w:tcW w:w="0" w:type="auto"/>
            <w:vAlign w:val="center"/>
          </w:tcPr>
          <w:p w14:paraId="19E368B2" w14:textId="77777777" w:rsidR="004D1A15" w:rsidRDefault="004D1A15" w:rsidP="005C0567">
            <w:pPr>
              <w:jc w:val="center"/>
            </w:pPr>
          </w:p>
        </w:tc>
        <w:tc>
          <w:tcPr>
            <w:tcW w:w="0" w:type="auto"/>
            <w:vAlign w:val="center"/>
          </w:tcPr>
          <w:p w14:paraId="4434261E" w14:textId="77777777" w:rsidR="004D1A15" w:rsidRDefault="004D1A15" w:rsidP="005C0567">
            <w:pPr>
              <w:jc w:val="center"/>
            </w:pPr>
          </w:p>
        </w:tc>
      </w:tr>
      <w:tr w:rsidR="004D1A15" w14:paraId="75F3576F" w14:textId="77777777" w:rsidTr="005C0567">
        <w:tc>
          <w:tcPr>
            <w:tcW w:w="0" w:type="auto"/>
            <w:vAlign w:val="center"/>
          </w:tcPr>
          <w:p w14:paraId="69D97A17" w14:textId="77777777" w:rsidR="004D1A15" w:rsidRPr="00F9395F" w:rsidRDefault="004D1A15" w:rsidP="005C0567">
            <w:r>
              <w:t>2017</w:t>
            </w:r>
          </w:p>
        </w:tc>
        <w:tc>
          <w:tcPr>
            <w:tcW w:w="2088" w:type="dxa"/>
            <w:vAlign w:val="center"/>
          </w:tcPr>
          <w:p w14:paraId="572DAED4" w14:textId="77777777" w:rsidR="004D1A15" w:rsidRDefault="004D1A15" w:rsidP="005C0567">
            <w:pPr>
              <w:jc w:val="center"/>
            </w:pPr>
            <w:r>
              <w:t>77 (16.0)</w:t>
            </w:r>
          </w:p>
        </w:tc>
        <w:tc>
          <w:tcPr>
            <w:tcW w:w="1955" w:type="dxa"/>
            <w:vAlign w:val="center"/>
          </w:tcPr>
          <w:p w14:paraId="0E98D921" w14:textId="77777777" w:rsidR="004D1A15" w:rsidRDefault="004D1A15" w:rsidP="005C0567">
            <w:pPr>
              <w:jc w:val="center"/>
            </w:pPr>
            <w:r>
              <w:t>40 (18.9)</w:t>
            </w:r>
          </w:p>
        </w:tc>
        <w:tc>
          <w:tcPr>
            <w:tcW w:w="0" w:type="auto"/>
            <w:vAlign w:val="center"/>
          </w:tcPr>
          <w:p w14:paraId="18CE7FDD" w14:textId="77777777" w:rsidR="004D1A15" w:rsidRDefault="004D1A15" w:rsidP="005C0567">
            <w:pPr>
              <w:jc w:val="center"/>
            </w:pPr>
          </w:p>
        </w:tc>
        <w:tc>
          <w:tcPr>
            <w:tcW w:w="0" w:type="auto"/>
            <w:vAlign w:val="center"/>
          </w:tcPr>
          <w:p w14:paraId="450BEF97" w14:textId="77777777" w:rsidR="004D1A15" w:rsidRDefault="004D1A15" w:rsidP="005C0567">
            <w:pPr>
              <w:jc w:val="center"/>
            </w:pPr>
          </w:p>
        </w:tc>
      </w:tr>
      <w:tr w:rsidR="004D1A15" w14:paraId="15B9D2B6" w14:textId="77777777" w:rsidTr="005C0567">
        <w:tc>
          <w:tcPr>
            <w:tcW w:w="0" w:type="auto"/>
            <w:vAlign w:val="center"/>
          </w:tcPr>
          <w:p w14:paraId="136E2687" w14:textId="77777777" w:rsidR="004D1A15" w:rsidRPr="00F9395F" w:rsidRDefault="004D1A15" w:rsidP="005C0567">
            <w:r>
              <w:t>2018</w:t>
            </w:r>
          </w:p>
        </w:tc>
        <w:tc>
          <w:tcPr>
            <w:tcW w:w="2088" w:type="dxa"/>
            <w:vAlign w:val="center"/>
          </w:tcPr>
          <w:p w14:paraId="03C8BD6C" w14:textId="77777777" w:rsidR="004D1A15" w:rsidRDefault="004D1A15" w:rsidP="005C0567">
            <w:pPr>
              <w:jc w:val="center"/>
            </w:pPr>
            <w:r>
              <w:t>111 (23.1)</w:t>
            </w:r>
          </w:p>
        </w:tc>
        <w:tc>
          <w:tcPr>
            <w:tcW w:w="1955" w:type="dxa"/>
            <w:vAlign w:val="center"/>
          </w:tcPr>
          <w:p w14:paraId="47178A70" w14:textId="77777777" w:rsidR="004D1A15" w:rsidRDefault="004D1A15" w:rsidP="005C0567">
            <w:pPr>
              <w:jc w:val="center"/>
            </w:pPr>
            <w:r>
              <w:t>42 (19.8)</w:t>
            </w:r>
          </w:p>
        </w:tc>
        <w:tc>
          <w:tcPr>
            <w:tcW w:w="0" w:type="auto"/>
            <w:vAlign w:val="center"/>
          </w:tcPr>
          <w:p w14:paraId="6D26B8FC" w14:textId="77777777" w:rsidR="004D1A15" w:rsidRDefault="004D1A15" w:rsidP="005C0567">
            <w:pPr>
              <w:jc w:val="center"/>
            </w:pPr>
          </w:p>
        </w:tc>
        <w:tc>
          <w:tcPr>
            <w:tcW w:w="0" w:type="auto"/>
            <w:vAlign w:val="center"/>
          </w:tcPr>
          <w:p w14:paraId="019394A3" w14:textId="77777777" w:rsidR="004D1A15" w:rsidRDefault="004D1A15" w:rsidP="005C0567">
            <w:pPr>
              <w:jc w:val="center"/>
            </w:pPr>
          </w:p>
        </w:tc>
      </w:tr>
      <w:tr w:rsidR="004D1A15" w14:paraId="0F98F6A9" w14:textId="77777777" w:rsidTr="005C0567">
        <w:tc>
          <w:tcPr>
            <w:tcW w:w="0" w:type="auto"/>
            <w:vAlign w:val="center"/>
          </w:tcPr>
          <w:p w14:paraId="14D54B04" w14:textId="77777777" w:rsidR="004D1A15" w:rsidRPr="00F9395F" w:rsidRDefault="004D1A15" w:rsidP="005C0567">
            <w:r>
              <w:t>2019</w:t>
            </w:r>
          </w:p>
        </w:tc>
        <w:tc>
          <w:tcPr>
            <w:tcW w:w="2088" w:type="dxa"/>
            <w:vAlign w:val="center"/>
          </w:tcPr>
          <w:p w14:paraId="55AB8E96" w14:textId="77777777" w:rsidR="004D1A15" w:rsidRDefault="004D1A15" w:rsidP="005C0567">
            <w:pPr>
              <w:jc w:val="center"/>
            </w:pPr>
            <w:r>
              <w:t>134 (27.9)</w:t>
            </w:r>
          </w:p>
        </w:tc>
        <w:tc>
          <w:tcPr>
            <w:tcW w:w="1955" w:type="dxa"/>
            <w:vAlign w:val="center"/>
          </w:tcPr>
          <w:p w14:paraId="318A068B" w14:textId="77777777" w:rsidR="004D1A15" w:rsidRDefault="004D1A15" w:rsidP="005C0567">
            <w:pPr>
              <w:jc w:val="center"/>
            </w:pPr>
            <w:r>
              <w:t>40 (18.9)</w:t>
            </w:r>
          </w:p>
        </w:tc>
        <w:tc>
          <w:tcPr>
            <w:tcW w:w="0" w:type="auto"/>
            <w:vAlign w:val="center"/>
          </w:tcPr>
          <w:p w14:paraId="1729CFD3" w14:textId="77777777" w:rsidR="004D1A15" w:rsidRDefault="004D1A15" w:rsidP="005C0567">
            <w:pPr>
              <w:jc w:val="center"/>
            </w:pPr>
          </w:p>
        </w:tc>
        <w:tc>
          <w:tcPr>
            <w:tcW w:w="0" w:type="auto"/>
            <w:vAlign w:val="center"/>
          </w:tcPr>
          <w:p w14:paraId="3A169683" w14:textId="77777777" w:rsidR="004D1A15" w:rsidRDefault="004D1A15" w:rsidP="005C0567">
            <w:pPr>
              <w:jc w:val="center"/>
            </w:pPr>
          </w:p>
        </w:tc>
      </w:tr>
      <w:tr w:rsidR="004D1A15" w14:paraId="7092FE45" w14:textId="77777777" w:rsidTr="005C0567">
        <w:tc>
          <w:tcPr>
            <w:tcW w:w="0" w:type="auto"/>
            <w:vAlign w:val="center"/>
          </w:tcPr>
          <w:p w14:paraId="7A3B676A" w14:textId="77777777" w:rsidR="004D1A15" w:rsidRPr="00F9395F" w:rsidRDefault="004D1A15" w:rsidP="005C0567">
            <w:r>
              <w:t>2020</w:t>
            </w:r>
          </w:p>
        </w:tc>
        <w:tc>
          <w:tcPr>
            <w:tcW w:w="2088" w:type="dxa"/>
            <w:vAlign w:val="center"/>
          </w:tcPr>
          <w:p w14:paraId="53FB4C49" w14:textId="77777777" w:rsidR="004D1A15" w:rsidRDefault="004D1A15" w:rsidP="005C0567">
            <w:pPr>
              <w:jc w:val="center"/>
            </w:pPr>
            <w:r>
              <w:t>30 (6.3)</w:t>
            </w:r>
          </w:p>
        </w:tc>
        <w:tc>
          <w:tcPr>
            <w:tcW w:w="1955" w:type="dxa"/>
            <w:vAlign w:val="center"/>
          </w:tcPr>
          <w:p w14:paraId="6AAA733E" w14:textId="77777777" w:rsidR="004D1A15" w:rsidRDefault="004D1A15" w:rsidP="005C0567">
            <w:pPr>
              <w:jc w:val="center"/>
            </w:pPr>
            <w:r>
              <w:t>3 (1.4)</w:t>
            </w:r>
          </w:p>
        </w:tc>
        <w:tc>
          <w:tcPr>
            <w:tcW w:w="0" w:type="auto"/>
            <w:vAlign w:val="center"/>
          </w:tcPr>
          <w:p w14:paraId="281412DA" w14:textId="77777777" w:rsidR="004D1A15" w:rsidRDefault="004D1A15" w:rsidP="005C0567">
            <w:pPr>
              <w:jc w:val="center"/>
            </w:pPr>
          </w:p>
        </w:tc>
        <w:tc>
          <w:tcPr>
            <w:tcW w:w="0" w:type="auto"/>
            <w:vAlign w:val="center"/>
          </w:tcPr>
          <w:p w14:paraId="2523FC4E" w14:textId="77777777" w:rsidR="004D1A15" w:rsidRDefault="004D1A15" w:rsidP="005C0567">
            <w:pPr>
              <w:jc w:val="center"/>
            </w:pPr>
          </w:p>
        </w:tc>
      </w:tr>
      <w:tr w:rsidR="004D1A15" w14:paraId="355B28BD" w14:textId="77777777" w:rsidTr="005C0567">
        <w:tc>
          <w:tcPr>
            <w:tcW w:w="0" w:type="auto"/>
            <w:vAlign w:val="center"/>
          </w:tcPr>
          <w:p w14:paraId="52319746" w14:textId="77777777" w:rsidR="004D1A15" w:rsidRDefault="004D1A15" w:rsidP="005C0567"/>
        </w:tc>
        <w:tc>
          <w:tcPr>
            <w:tcW w:w="2088" w:type="dxa"/>
            <w:vAlign w:val="center"/>
          </w:tcPr>
          <w:p w14:paraId="53853C29" w14:textId="77777777" w:rsidR="004D1A15" w:rsidRDefault="004D1A15" w:rsidP="005C0567">
            <w:pPr>
              <w:jc w:val="center"/>
            </w:pPr>
          </w:p>
        </w:tc>
        <w:tc>
          <w:tcPr>
            <w:tcW w:w="1955" w:type="dxa"/>
            <w:vAlign w:val="center"/>
          </w:tcPr>
          <w:p w14:paraId="3961C1AB" w14:textId="77777777" w:rsidR="004D1A15" w:rsidRDefault="004D1A15" w:rsidP="005C0567">
            <w:pPr>
              <w:jc w:val="center"/>
            </w:pPr>
          </w:p>
        </w:tc>
        <w:tc>
          <w:tcPr>
            <w:tcW w:w="0" w:type="auto"/>
            <w:vAlign w:val="center"/>
          </w:tcPr>
          <w:p w14:paraId="764F8F9D" w14:textId="77777777" w:rsidR="004D1A15" w:rsidRDefault="004D1A15" w:rsidP="005C0567">
            <w:pPr>
              <w:jc w:val="center"/>
            </w:pPr>
          </w:p>
        </w:tc>
        <w:tc>
          <w:tcPr>
            <w:tcW w:w="0" w:type="auto"/>
            <w:vAlign w:val="center"/>
          </w:tcPr>
          <w:p w14:paraId="654579B6" w14:textId="77777777" w:rsidR="004D1A15" w:rsidRDefault="004D1A15" w:rsidP="005C0567">
            <w:pPr>
              <w:jc w:val="center"/>
            </w:pPr>
          </w:p>
        </w:tc>
      </w:tr>
      <w:tr w:rsidR="004D1A15" w14:paraId="6F6E4CF2" w14:textId="77777777" w:rsidTr="005C0567">
        <w:tc>
          <w:tcPr>
            <w:tcW w:w="0" w:type="auto"/>
            <w:tcMar>
              <w:left w:w="29" w:type="dxa"/>
              <w:right w:w="115" w:type="dxa"/>
            </w:tcMar>
            <w:vAlign w:val="center"/>
          </w:tcPr>
          <w:p w14:paraId="0536AA8A" w14:textId="77777777" w:rsidR="004D1A15" w:rsidRPr="00D120FC" w:rsidRDefault="004D1A15" w:rsidP="005C0567">
            <w:pPr>
              <w:rPr>
                <w:bCs/>
              </w:rPr>
            </w:pPr>
            <w:r w:rsidRPr="00D120FC">
              <w:rPr>
                <w:bCs/>
              </w:rPr>
              <w:t>Age</w:t>
            </w:r>
            <w:r>
              <w:rPr>
                <w:bCs/>
              </w:rPr>
              <w:t xml:space="preserve"> in years</w:t>
            </w:r>
            <w:r w:rsidRPr="00D120FC">
              <w:rPr>
                <w:bCs/>
              </w:rPr>
              <w:t>, median (IQR)</w:t>
            </w:r>
          </w:p>
        </w:tc>
        <w:tc>
          <w:tcPr>
            <w:tcW w:w="2088" w:type="dxa"/>
            <w:vAlign w:val="center"/>
          </w:tcPr>
          <w:p w14:paraId="1D391560" w14:textId="77777777" w:rsidR="004D1A15" w:rsidRDefault="004D1A15" w:rsidP="005C0567">
            <w:pPr>
              <w:jc w:val="center"/>
            </w:pPr>
            <w:r>
              <w:t>78 (72 – 84)</w:t>
            </w:r>
          </w:p>
        </w:tc>
        <w:tc>
          <w:tcPr>
            <w:tcW w:w="1955" w:type="dxa"/>
            <w:vAlign w:val="center"/>
          </w:tcPr>
          <w:p w14:paraId="31F5C1EB" w14:textId="77777777" w:rsidR="004D1A15" w:rsidRDefault="004D1A15" w:rsidP="005C0567">
            <w:pPr>
              <w:jc w:val="center"/>
            </w:pPr>
            <w:r>
              <w:t>73 (67 – 79)</w:t>
            </w:r>
          </w:p>
        </w:tc>
        <w:tc>
          <w:tcPr>
            <w:tcW w:w="0" w:type="auto"/>
            <w:vAlign w:val="center"/>
          </w:tcPr>
          <w:p w14:paraId="3C1D1722" w14:textId="77777777" w:rsidR="004D1A15" w:rsidRDefault="004D1A15" w:rsidP="005C0567">
            <w:pPr>
              <w:jc w:val="center"/>
            </w:pPr>
            <w:r>
              <w:t>0.51</w:t>
            </w:r>
          </w:p>
        </w:tc>
        <w:tc>
          <w:tcPr>
            <w:tcW w:w="0" w:type="auto"/>
            <w:vAlign w:val="center"/>
          </w:tcPr>
          <w:p w14:paraId="430D471F" w14:textId="77777777" w:rsidR="004D1A15" w:rsidRDefault="004D1A15" w:rsidP="005C0567">
            <w:pPr>
              <w:jc w:val="center"/>
            </w:pPr>
            <w:r>
              <w:t>0.04</w:t>
            </w:r>
          </w:p>
        </w:tc>
      </w:tr>
      <w:tr w:rsidR="004D1A15" w14:paraId="29B5FA9A" w14:textId="77777777" w:rsidTr="005C0567">
        <w:tc>
          <w:tcPr>
            <w:tcW w:w="0" w:type="auto"/>
            <w:tcMar>
              <w:left w:w="29" w:type="dxa"/>
              <w:right w:w="115" w:type="dxa"/>
            </w:tcMar>
            <w:vAlign w:val="center"/>
          </w:tcPr>
          <w:p w14:paraId="758AD433" w14:textId="77777777" w:rsidR="004D1A15" w:rsidRPr="00D120FC" w:rsidRDefault="004D1A15" w:rsidP="005C0567">
            <w:pPr>
              <w:rPr>
                <w:bCs/>
              </w:rPr>
            </w:pPr>
          </w:p>
        </w:tc>
        <w:tc>
          <w:tcPr>
            <w:tcW w:w="2088" w:type="dxa"/>
            <w:vAlign w:val="center"/>
          </w:tcPr>
          <w:p w14:paraId="69FBA522" w14:textId="77777777" w:rsidR="004D1A15" w:rsidRDefault="004D1A15" w:rsidP="005C0567">
            <w:pPr>
              <w:jc w:val="center"/>
            </w:pPr>
          </w:p>
        </w:tc>
        <w:tc>
          <w:tcPr>
            <w:tcW w:w="1955" w:type="dxa"/>
            <w:vAlign w:val="center"/>
          </w:tcPr>
          <w:p w14:paraId="75FAE5E3" w14:textId="77777777" w:rsidR="004D1A15" w:rsidRDefault="004D1A15" w:rsidP="005C0567">
            <w:pPr>
              <w:jc w:val="center"/>
            </w:pPr>
          </w:p>
        </w:tc>
        <w:tc>
          <w:tcPr>
            <w:tcW w:w="0" w:type="auto"/>
            <w:vAlign w:val="center"/>
          </w:tcPr>
          <w:p w14:paraId="35521BD1" w14:textId="77777777" w:rsidR="004D1A15" w:rsidRDefault="004D1A15" w:rsidP="005C0567">
            <w:pPr>
              <w:jc w:val="center"/>
            </w:pPr>
          </w:p>
        </w:tc>
        <w:tc>
          <w:tcPr>
            <w:tcW w:w="0" w:type="auto"/>
            <w:vAlign w:val="center"/>
          </w:tcPr>
          <w:p w14:paraId="2A01FF90" w14:textId="77777777" w:rsidR="004D1A15" w:rsidRDefault="004D1A15" w:rsidP="005C0567">
            <w:pPr>
              <w:jc w:val="center"/>
            </w:pPr>
          </w:p>
        </w:tc>
      </w:tr>
      <w:tr w:rsidR="004D1A15" w14:paraId="726D364D" w14:textId="77777777" w:rsidTr="005C0567">
        <w:tc>
          <w:tcPr>
            <w:tcW w:w="0" w:type="auto"/>
            <w:tcMar>
              <w:left w:w="29" w:type="dxa"/>
              <w:right w:w="115" w:type="dxa"/>
            </w:tcMar>
            <w:vAlign w:val="center"/>
          </w:tcPr>
          <w:p w14:paraId="455B9DC4" w14:textId="77777777" w:rsidR="004D1A15" w:rsidRPr="00D120FC" w:rsidRDefault="004D1A15" w:rsidP="005C0567">
            <w:pPr>
              <w:rPr>
                <w:bCs/>
              </w:rPr>
            </w:pPr>
            <w:r w:rsidRPr="00D120FC">
              <w:rPr>
                <w:bCs/>
              </w:rPr>
              <w:t>Sex</w:t>
            </w:r>
          </w:p>
        </w:tc>
        <w:tc>
          <w:tcPr>
            <w:tcW w:w="2088" w:type="dxa"/>
            <w:vAlign w:val="center"/>
          </w:tcPr>
          <w:p w14:paraId="66C04E67" w14:textId="77777777" w:rsidR="004D1A15" w:rsidRDefault="004D1A15" w:rsidP="005C0567">
            <w:pPr>
              <w:jc w:val="center"/>
            </w:pPr>
          </w:p>
        </w:tc>
        <w:tc>
          <w:tcPr>
            <w:tcW w:w="1955" w:type="dxa"/>
            <w:vAlign w:val="center"/>
          </w:tcPr>
          <w:p w14:paraId="7A8CBC53" w14:textId="77777777" w:rsidR="004D1A15" w:rsidRDefault="004D1A15" w:rsidP="005C0567">
            <w:pPr>
              <w:jc w:val="center"/>
            </w:pPr>
          </w:p>
        </w:tc>
        <w:tc>
          <w:tcPr>
            <w:tcW w:w="0" w:type="auto"/>
            <w:vAlign w:val="center"/>
          </w:tcPr>
          <w:p w14:paraId="0421C679" w14:textId="77777777" w:rsidR="004D1A15" w:rsidRDefault="004D1A15" w:rsidP="005C0567">
            <w:pPr>
              <w:jc w:val="center"/>
            </w:pPr>
            <w:r>
              <w:t>0.06</w:t>
            </w:r>
          </w:p>
        </w:tc>
        <w:tc>
          <w:tcPr>
            <w:tcW w:w="0" w:type="auto"/>
            <w:vAlign w:val="center"/>
          </w:tcPr>
          <w:p w14:paraId="1EC7CF6C" w14:textId="77777777" w:rsidR="004D1A15" w:rsidRDefault="004D1A15" w:rsidP="005C0567">
            <w:pPr>
              <w:jc w:val="center"/>
            </w:pPr>
            <w:r>
              <w:t>0.04</w:t>
            </w:r>
          </w:p>
        </w:tc>
      </w:tr>
      <w:tr w:rsidR="004D1A15" w14:paraId="748F6193" w14:textId="77777777" w:rsidTr="005C0567">
        <w:tc>
          <w:tcPr>
            <w:tcW w:w="0" w:type="auto"/>
            <w:vAlign w:val="center"/>
          </w:tcPr>
          <w:p w14:paraId="62C92088" w14:textId="77777777" w:rsidR="004D1A15" w:rsidRDefault="004D1A15" w:rsidP="005C0567">
            <w:r>
              <w:t>Female</w:t>
            </w:r>
          </w:p>
        </w:tc>
        <w:tc>
          <w:tcPr>
            <w:tcW w:w="2088" w:type="dxa"/>
            <w:vAlign w:val="center"/>
          </w:tcPr>
          <w:p w14:paraId="58F1E549" w14:textId="77777777" w:rsidR="004D1A15" w:rsidRDefault="004D1A15" w:rsidP="005C0567">
            <w:pPr>
              <w:jc w:val="center"/>
            </w:pPr>
            <w:r>
              <w:t>166 (34.6)</w:t>
            </w:r>
          </w:p>
        </w:tc>
        <w:tc>
          <w:tcPr>
            <w:tcW w:w="1955" w:type="dxa"/>
            <w:vAlign w:val="center"/>
          </w:tcPr>
          <w:p w14:paraId="52F6003A" w14:textId="77777777" w:rsidR="004D1A15" w:rsidRDefault="004D1A15" w:rsidP="005C0567">
            <w:pPr>
              <w:jc w:val="center"/>
            </w:pPr>
            <w:r>
              <w:t>67 (31.6)</w:t>
            </w:r>
          </w:p>
        </w:tc>
        <w:tc>
          <w:tcPr>
            <w:tcW w:w="0" w:type="auto"/>
            <w:vAlign w:val="center"/>
          </w:tcPr>
          <w:p w14:paraId="4273A1B0" w14:textId="77777777" w:rsidR="004D1A15" w:rsidRDefault="004D1A15" w:rsidP="005C0567">
            <w:pPr>
              <w:jc w:val="center"/>
            </w:pPr>
          </w:p>
        </w:tc>
        <w:tc>
          <w:tcPr>
            <w:tcW w:w="0" w:type="auto"/>
            <w:vAlign w:val="center"/>
          </w:tcPr>
          <w:p w14:paraId="690EB700" w14:textId="77777777" w:rsidR="004D1A15" w:rsidRDefault="004D1A15" w:rsidP="005C0567">
            <w:pPr>
              <w:jc w:val="center"/>
            </w:pPr>
          </w:p>
        </w:tc>
      </w:tr>
      <w:tr w:rsidR="004D1A15" w14:paraId="263B9B80" w14:textId="77777777" w:rsidTr="005C0567">
        <w:tc>
          <w:tcPr>
            <w:tcW w:w="0" w:type="auto"/>
            <w:vAlign w:val="center"/>
          </w:tcPr>
          <w:p w14:paraId="3B9F37CB" w14:textId="77777777" w:rsidR="004D1A15" w:rsidRDefault="004D1A15" w:rsidP="005C0567">
            <w:r>
              <w:t>Male</w:t>
            </w:r>
          </w:p>
        </w:tc>
        <w:tc>
          <w:tcPr>
            <w:tcW w:w="2088" w:type="dxa"/>
            <w:vAlign w:val="center"/>
          </w:tcPr>
          <w:p w14:paraId="662C3618" w14:textId="77777777" w:rsidR="004D1A15" w:rsidRDefault="004D1A15" w:rsidP="005C0567">
            <w:pPr>
              <w:jc w:val="center"/>
            </w:pPr>
            <w:r>
              <w:t>314 (65.4)</w:t>
            </w:r>
          </w:p>
        </w:tc>
        <w:tc>
          <w:tcPr>
            <w:tcW w:w="1955" w:type="dxa"/>
            <w:vAlign w:val="center"/>
          </w:tcPr>
          <w:p w14:paraId="49241E45" w14:textId="77777777" w:rsidR="004D1A15" w:rsidRDefault="004D1A15" w:rsidP="005C0567">
            <w:pPr>
              <w:jc w:val="center"/>
            </w:pPr>
            <w:r>
              <w:t>145 (68.4)</w:t>
            </w:r>
          </w:p>
        </w:tc>
        <w:tc>
          <w:tcPr>
            <w:tcW w:w="0" w:type="auto"/>
            <w:vAlign w:val="center"/>
          </w:tcPr>
          <w:p w14:paraId="09AA17F5" w14:textId="77777777" w:rsidR="004D1A15" w:rsidRDefault="004D1A15" w:rsidP="005C0567">
            <w:pPr>
              <w:jc w:val="center"/>
            </w:pPr>
          </w:p>
        </w:tc>
        <w:tc>
          <w:tcPr>
            <w:tcW w:w="0" w:type="auto"/>
            <w:vAlign w:val="center"/>
          </w:tcPr>
          <w:p w14:paraId="5D65D224" w14:textId="77777777" w:rsidR="004D1A15" w:rsidRDefault="004D1A15" w:rsidP="005C0567">
            <w:pPr>
              <w:jc w:val="center"/>
            </w:pPr>
          </w:p>
        </w:tc>
      </w:tr>
      <w:tr w:rsidR="004D1A15" w14:paraId="69137D7F" w14:textId="77777777" w:rsidTr="005C0567">
        <w:tc>
          <w:tcPr>
            <w:tcW w:w="0" w:type="auto"/>
            <w:vAlign w:val="center"/>
          </w:tcPr>
          <w:p w14:paraId="57C950F8" w14:textId="77777777" w:rsidR="004D1A15" w:rsidRDefault="004D1A15" w:rsidP="005C0567"/>
        </w:tc>
        <w:tc>
          <w:tcPr>
            <w:tcW w:w="2088" w:type="dxa"/>
            <w:vAlign w:val="center"/>
          </w:tcPr>
          <w:p w14:paraId="61342145" w14:textId="77777777" w:rsidR="004D1A15" w:rsidRDefault="004D1A15" w:rsidP="005C0567">
            <w:pPr>
              <w:jc w:val="center"/>
            </w:pPr>
          </w:p>
        </w:tc>
        <w:tc>
          <w:tcPr>
            <w:tcW w:w="1955" w:type="dxa"/>
            <w:vAlign w:val="center"/>
          </w:tcPr>
          <w:p w14:paraId="27ED327A" w14:textId="77777777" w:rsidR="004D1A15" w:rsidRDefault="004D1A15" w:rsidP="005C0567">
            <w:pPr>
              <w:jc w:val="center"/>
            </w:pPr>
          </w:p>
        </w:tc>
        <w:tc>
          <w:tcPr>
            <w:tcW w:w="0" w:type="auto"/>
            <w:vAlign w:val="center"/>
          </w:tcPr>
          <w:p w14:paraId="51B64710" w14:textId="77777777" w:rsidR="004D1A15" w:rsidRDefault="004D1A15" w:rsidP="005C0567">
            <w:pPr>
              <w:jc w:val="center"/>
            </w:pPr>
          </w:p>
        </w:tc>
        <w:tc>
          <w:tcPr>
            <w:tcW w:w="0" w:type="auto"/>
            <w:vAlign w:val="center"/>
          </w:tcPr>
          <w:p w14:paraId="58D11B5C" w14:textId="77777777" w:rsidR="004D1A15" w:rsidRDefault="004D1A15" w:rsidP="005C0567">
            <w:pPr>
              <w:jc w:val="center"/>
            </w:pPr>
          </w:p>
        </w:tc>
      </w:tr>
      <w:tr w:rsidR="004D1A15" w14:paraId="1A8737F6" w14:textId="77777777" w:rsidTr="005C0567">
        <w:tc>
          <w:tcPr>
            <w:tcW w:w="0" w:type="auto"/>
            <w:tcMar>
              <w:left w:w="29" w:type="dxa"/>
              <w:right w:w="115" w:type="dxa"/>
            </w:tcMar>
            <w:vAlign w:val="center"/>
          </w:tcPr>
          <w:p w14:paraId="2BC2729D" w14:textId="77777777" w:rsidR="004D1A15" w:rsidRPr="00D120FC" w:rsidRDefault="004D1A15" w:rsidP="005C0567">
            <w:pPr>
              <w:rPr>
                <w:bCs/>
              </w:rPr>
            </w:pPr>
            <w:r>
              <w:rPr>
                <w:bCs/>
              </w:rPr>
              <w:t>US geographic r</w:t>
            </w:r>
            <w:r w:rsidRPr="00D120FC">
              <w:rPr>
                <w:bCs/>
              </w:rPr>
              <w:t>egion</w:t>
            </w:r>
            <w:r>
              <w:rPr>
                <w:bCs/>
              </w:rPr>
              <w:t xml:space="preserve"> of residence</w:t>
            </w:r>
          </w:p>
        </w:tc>
        <w:tc>
          <w:tcPr>
            <w:tcW w:w="2088" w:type="dxa"/>
            <w:vAlign w:val="center"/>
          </w:tcPr>
          <w:p w14:paraId="5DB3C614" w14:textId="77777777" w:rsidR="004D1A15" w:rsidRDefault="004D1A15" w:rsidP="005C0567">
            <w:pPr>
              <w:jc w:val="center"/>
            </w:pPr>
          </w:p>
        </w:tc>
        <w:tc>
          <w:tcPr>
            <w:tcW w:w="1955" w:type="dxa"/>
            <w:vAlign w:val="center"/>
          </w:tcPr>
          <w:p w14:paraId="54C2CD53" w14:textId="77777777" w:rsidR="004D1A15" w:rsidRDefault="004D1A15" w:rsidP="005C0567">
            <w:pPr>
              <w:jc w:val="center"/>
            </w:pPr>
          </w:p>
        </w:tc>
        <w:tc>
          <w:tcPr>
            <w:tcW w:w="0" w:type="auto"/>
            <w:vAlign w:val="center"/>
          </w:tcPr>
          <w:p w14:paraId="504BBDBF" w14:textId="77777777" w:rsidR="004D1A15" w:rsidRDefault="004D1A15" w:rsidP="005C0567">
            <w:pPr>
              <w:jc w:val="center"/>
            </w:pPr>
            <w:r>
              <w:t>0.38</w:t>
            </w:r>
          </w:p>
        </w:tc>
        <w:tc>
          <w:tcPr>
            <w:tcW w:w="0" w:type="auto"/>
            <w:vAlign w:val="center"/>
          </w:tcPr>
          <w:p w14:paraId="04BB2501" w14:textId="77777777" w:rsidR="004D1A15" w:rsidRPr="00687CB8" w:rsidRDefault="004D1A15" w:rsidP="005C0567">
            <w:pPr>
              <w:jc w:val="center"/>
            </w:pPr>
            <w:r>
              <w:t>0.08</w:t>
            </w:r>
          </w:p>
        </w:tc>
      </w:tr>
      <w:tr w:rsidR="004D1A15" w14:paraId="3D1DE052" w14:textId="77777777" w:rsidTr="005C0567">
        <w:tc>
          <w:tcPr>
            <w:tcW w:w="0" w:type="auto"/>
            <w:vAlign w:val="center"/>
          </w:tcPr>
          <w:p w14:paraId="507A8C5E" w14:textId="77777777" w:rsidR="004D1A15" w:rsidRDefault="004D1A15" w:rsidP="005C0567">
            <w:r>
              <w:t>East North Central</w:t>
            </w:r>
          </w:p>
        </w:tc>
        <w:tc>
          <w:tcPr>
            <w:tcW w:w="2088" w:type="dxa"/>
            <w:vAlign w:val="center"/>
          </w:tcPr>
          <w:p w14:paraId="0867CE3D" w14:textId="77777777" w:rsidR="004D1A15" w:rsidRDefault="004D1A15" w:rsidP="005C0567">
            <w:pPr>
              <w:jc w:val="center"/>
            </w:pPr>
            <w:r>
              <w:t>82 (17.1)</w:t>
            </w:r>
          </w:p>
        </w:tc>
        <w:tc>
          <w:tcPr>
            <w:tcW w:w="1955" w:type="dxa"/>
            <w:vAlign w:val="center"/>
          </w:tcPr>
          <w:p w14:paraId="115FB6B5" w14:textId="77777777" w:rsidR="004D1A15" w:rsidRDefault="004D1A15" w:rsidP="005C0567">
            <w:pPr>
              <w:jc w:val="center"/>
            </w:pPr>
            <w:r>
              <w:t>48 (22.6)</w:t>
            </w:r>
          </w:p>
        </w:tc>
        <w:tc>
          <w:tcPr>
            <w:tcW w:w="0" w:type="auto"/>
            <w:vAlign w:val="center"/>
          </w:tcPr>
          <w:p w14:paraId="1FF0E83E" w14:textId="77777777" w:rsidR="004D1A15" w:rsidRDefault="004D1A15" w:rsidP="005C0567">
            <w:pPr>
              <w:jc w:val="center"/>
            </w:pPr>
          </w:p>
        </w:tc>
        <w:tc>
          <w:tcPr>
            <w:tcW w:w="0" w:type="auto"/>
            <w:vAlign w:val="center"/>
          </w:tcPr>
          <w:p w14:paraId="780A459F" w14:textId="77777777" w:rsidR="004D1A15" w:rsidRDefault="004D1A15" w:rsidP="005C0567">
            <w:pPr>
              <w:jc w:val="center"/>
            </w:pPr>
          </w:p>
        </w:tc>
      </w:tr>
      <w:tr w:rsidR="004D1A15" w14:paraId="2F79CDB3" w14:textId="77777777" w:rsidTr="005C0567">
        <w:tc>
          <w:tcPr>
            <w:tcW w:w="0" w:type="auto"/>
            <w:vAlign w:val="center"/>
          </w:tcPr>
          <w:p w14:paraId="3E33717F" w14:textId="77777777" w:rsidR="004D1A15" w:rsidRDefault="004D1A15" w:rsidP="005C0567">
            <w:r>
              <w:t>East South Central</w:t>
            </w:r>
          </w:p>
        </w:tc>
        <w:tc>
          <w:tcPr>
            <w:tcW w:w="2088" w:type="dxa"/>
            <w:vAlign w:val="center"/>
          </w:tcPr>
          <w:p w14:paraId="5695E875" w14:textId="77777777" w:rsidR="004D1A15" w:rsidRDefault="004D1A15" w:rsidP="005C0567">
            <w:pPr>
              <w:jc w:val="center"/>
            </w:pPr>
            <w:r>
              <w:t>10 (2.1)</w:t>
            </w:r>
          </w:p>
        </w:tc>
        <w:tc>
          <w:tcPr>
            <w:tcW w:w="1955" w:type="dxa"/>
            <w:vAlign w:val="center"/>
          </w:tcPr>
          <w:p w14:paraId="5003A9BE" w14:textId="77777777" w:rsidR="004D1A15" w:rsidRDefault="004D1A15" w:rsidP="005C0567">
            <w:pPr>
              <w:jc w:val="center"/>
            </w:pPr>
            <w:r>
              <w:t>7 (3.3)</w:t>
            </w:r>
          </w:p>
        </w:tc>
        <w:tc>
          <w:tcPr>
            <w:tcW w:w="0" w:type="auto"/>
            <w:vAlign w:val="center"/>
          </w:tcPr>
          <w:p w14:paraId="3793C4AD" w14:textId="77777777" w:rsidR="004D1A15" w:rsidRDefault="004D1A15" w:rsidP="005C0567">
            <w:pPr>
              <w:jc w:val="center"/>
            </w:pPr>
          </w:p>
        </w:tc>
        <w:tc>
          <w:tcPr>
            <w:tcW w:w="0" w:type="auto"/>
            <w:vAlign w:val="center"/>
          </w:tcPr>
          <w:p w14:paraId="3AECF4D8" w14:textId="77777777" w:rsidR="004D1A15" w:rsidRDefault="004D1A15" w:rsidP="005C0567">
            <w:pPr>
              <w:jc w:val="center"/>
            </w:pPr>
          </w:p>
        </w:tc>
      </w:tr>
      <w:tr w:rsidR="004D1A15" w14:paraId="6ED56849" w14:textId="77777777" w:rsidTr="005C0567">
        <w:tc>
          <w:tcPr>
            <w:tcW w:w="0" w:type="auto"/>
            <w:vAlign w:val="center"/>
          </w:tcPr>
          <w:p w14:paraId="6ED50D96" w14:textId="77777777" w:rsidR="004D1A15" w:rsidRDefault="004D1A15" w:rsidP="005C0567">
            <w:r>
              <w:t>Middle Atlantic</w:t>
            </w:r>
          </w:p>
        </w:tc>
        <w:tc>
          <w:tcPr>
            <w:tcW w:w="2088" w:type="dxa"/>
            <w:vAlign w:val="center"/>
          </w:tcPr>
          <w:p w14:paraId="7E773138" w14:textId="77777777" w:rsidR="004D1A15" w:rsidRDefault="004D1A15" w:rsidP="005C0567">
            <w:pPr>
              <w:jc w:val="center"/>
            </w:pPr>
            <w:r>
              <w:t>32 (6.7)</w:t>
            </w:r>
          </w:p>
        </w:tc>
        <w:tc>
          <w:tcPr>
            <w:tcW w:w="1955" w:type="dxa"/>
            <w:vAlign w:val="center"/>
          </w:tcPr>
          <w:p w14:paraId="3DA829C1" w14:textId="77777777" w:rsidR="004D1A15" w:rsidRDefault="004D1A15" w:rsidP="005C0567">
            <w:pPr>
              <w:jc w:val="center"/>
            </w:pPr>
            <w:r>
              <w:t>11 (5.2)</w:t>
            </w:r>
          </w:p>
        </w:tc>
        <w:tc>
          <w:tcPr>
            <w:tcW w:w="0" w:type="auto"/>
            <w:vAlign w:val="center"/>
          </w:tcPr>
          <w:p w14:paraId="7756A70E" w14:textId="77777777" w:rsidR="004D1A15" w:rsidRDefault="004D1A15" w:rsidP="005C0567">
            <w:pPr>
              <w:jc w:val="center"/>
            </w:pPr>
          </w:p>
        </w:tc>
        <w:tc>
          <w:tcPr>
            <w:tcW w:w="0" w:type="auto"/>
            <w:vAlign w:val="center"/>
          </w:tcPr>
          <w:p w14:paraId="5253AB09" w14:textId="77777777" w:rsidR="004D1A15" w:rsidRDefault="004D1A15" w:rsidP="005C0567">
            <w:pPr>
              <w:jc w:val="center"/>
            </w:pPr>
          </w:p>
        </w:tc>
      </w:tr>
      <w:tr w:rsidR="004D1A15" w14:paraId="272D894F" w14:textId="77777777" w:rsidTr="005C0567">
        <w:tc>
          <w:tcPr>
            <w:tcW w:w="0" w:type="auto"/>
            <w:vAlign w:val="center"/>
          </w:tcPr>
          <w:p w14:paraId="0C0EA791" w14:textId="77777777" w:rsidR="004D1A15" w:rsidRDefault="004D1A15" w:rsidP="005C0567">
            <w:r>
              <w:t>Mountain</w:t>
            </w:r>
          </w:p>
        </w:tc>
        <w:tc>
          <w:tcPr>
            <w:tcW w:w="2088" w:type="dxa"/>
            <w:vAlign w:val="center"/>
          </w:tcPr>
          <w:p w14:paraId="293F20A5" w14:textId="77777777" w:rsidR="004D1A15" w:rsidRDefault="004D1A15" w:rsidP="005C0567">
            <w:pPr>
              <w:jc w:val="center"/>
            </w:pPr>
            <w:r>
              <w:t>53 (11.0)</w:t>
            </w:r>
          </w:p>
        </w:tc>
        <w:tc>
          <w:tcPr>
            <w:tcW w:w="1955" w:type="dxa"/>
            <w:vAlign w:val="center"/>
          </w:tcPr>
          <w:p w14:paraId="75D431E7" w14:textId="77777777" w:rsidR="004D1A15" w:rsidRDefault="004D1A15" w:rsidP="005C0567">
            <w:pPr>
              <w:jc w:val="center"/>
            </w:pPr>
            <w:r>
              <w:t>33 (15.6)</w:t>
            </w:r>
          </w:p>
        </w:tc>
        <w:tc>
          <w:tcPr>
            <w:tcW w:w="0" w:type="auto"/>
            <w:vAlign w:val="center"/>
          </w:tcPr>
          <w:p w14:paraId="688B748F" w14:textId="77777777" w:rsidR="004D1A15" w:rsidRDefault="004D1A15" w:rsidP="005C0567">
            <w:pPr>
              <w:jc w:val="center"/>
            </w:pPr>
          </w:p>
        </w:tc>
        <w:tc>
          <w:tcPr>
            <w:tcW w:w="0" w:type="auto"/>
            <w:vAlign w:val="center"/>
          </w:tcPr>
          <w:p w14:paraId="490385B7" w14:textId="77777777" w:rsidR="004D1A15" w:rsidRDefault="004D1A15" w:rsidP="005C0567">
            <w:pPr>
              <w:jc w:val="center"/>
            </w:pPr>
          </w:p>
        </w:tc>
      </w:tr>
      <w:tr w:rsidR="004D1A15" w14:paraId="17AB125F" w14:textId="77777777" w:rsidTr="005C0567">
        <w:tc>
          <w:tcPr>
            <w:tcW w:w="0" w:type="auto"/>
            <w:vAlign w:val="center"/>
          </w:tcPr>
          <w:p w14:paraId="18F96EA6" w14:textId="77777777" w:rsidR="004D1A15" w:rsidRDefault="004D1A15" w:rsidP="005C0567">
            <w:r>
              <w:t>New England</w:t>
            </w:r>
          </w:p>
        </w:tc>
        <w:tc>
          <w:tcPr>
            <w:tcW w:w="2088" w:type="dxa"/>
            <w:vAlign w:val="center"/>
          </w:tcPr>
          <w:p w14:paraId="34168CB4" w14:textId="77777777" w:rsidR="004D1A15" w:rsidRDefault="004D1A15" w:rsidP="005C0567">
            <w:pPr>
              <w:jc w:val="center"/>
            </w:pPr>
            <w:r>
              <w:t>15 (3.1)</w:t>
            </w:r>
          </w:p>
        </w:tc>
        <w:tc>
          <w:tcPr>
            <w:tcW w:w="1955" w:type="dxa"/>
            <w:vAlign w:val="center"/>
          </w:tcPr>
          <w:p w14:paraId="6020AA48" w14:textId="77777777" w:rsidR="004D1A15" w:rsidRDefault="004D1A15" w:rsidP="005C0567">
            <w:pPr>
              <w:jc w:val="center"/>
            </w:pPr>
            <w:r>
              <w:t>12 (5.7)</w:t>
            </w:r>
          </w:p>
        </w:tc>
        <w:tc>
          <w:tcPr>
            <w:tcW w:w="0" w:type="auto"/>
            <w:vAlign w:val="center"/>
          </w:tcPr>
          <w:p w14:paraId="603184A4" w14:textId="77777777" w:rsidR="004D1A15" w:rsidRDefault="004D1A15" w:rsidP="005C0567">
            <w:pPr>
              <w:jc w:val="center"/>
            </w:pPr>
          </w:p>
        </w:tc>
        <w:tc>
          <w:tcPr>
            <w:tcW w:w="0" w:type="auto"/>
            <w:vAlign w:val="center"/>
          </w:tcPr>
          <w:p w14:paraId="66BA646A" w14:textId="77777777" w:rsidR="004D1A15" w:rsidRDefault="004D1A15" w:rsidP="005C0567">
            <w:pPr>
              <w:jc w:val="center"/>
            </w:pPr>
          </w:p>
        </w:tc>
      </w:tr>
      <w:tr w:rsidR="004D1A15" w14:paraId="5E42F4D9" w14:textId="77777777" w:rsidTr="005C0567">
        <w:tc>
          <w:tcPr>
            <w:tcW w:w="0" w:type="auto"/>
            <w:vAlign w:val="center"/>
          </w:tcPr>
          <w:p w14:paraId="18EC9484" w14:textId="77777777" w:rsidR="004D1A15" w:rsidRDefault="004D1A15" w:rsidP="005C0567">
            <w:r>
              <w:lastRenderedPageBreak/>
              <w:t>Pacific</w:t>
            </w:r>
          </w:p>
        </w:tc>
        <w:tc>
          <w:tcPr>
            <w:tcW w:w="2088" w:type="dxa"/>
            <w:vAlign w:val="center"/>
          </w:tcPr>
          <w:p w14:paraId="470A42CD" w14:textId="77777777" w:rsidR="004D1A15" w:rsidRDefault="004D1A15" w:rsidP="005C0567">
            <w:pPr>
              <w:jc w:val="center"/>
            </w:pPr>
            <w:r>
              <w:t>64 (13.3)</w:t>
            </w:r>
          </w:p>
        </w:tc>
        <w:tc>
          <w:tcPr>
            <w:tcW w:w="1955" w:type="dxa"/>
            <w:vAlign w:val="center"/>
          </w:tcPr>
          <w:p w14:paraId="6FB18ACF" w14:textId="77777777" w:rsidR="004D1A15" w:rsidRDefault="004D1A15" w:rsidP="005C0567">
            <w:pPr>
              <w:jc w:val="center"/>
            </w:pPr>
            <w:r>
              <w:t>15 (7.1)</w:t>
            </w:r>
          </w:p>
        </w:tc>
        <w:tc>
          <w:tcPr>
            <w:tcW w:w="0" w:type="auto"/>
            <w:vAlign w:val="center"/>
          </w:tcPr>
          <w:p w14:paraId="09272D53" w14:textId="77777777" w:rsidR="004D1A15" w:rsidRDefault="004D1A15" w:rsidP="005C0567">
            <w:pPr>
              <w:jc w:val="center"/>
            </w:pPr>
          </w:p>
        </w:tc>
        <w:tc>
          <w:tcPr>
            <w:tcW w:w="0" w:type="auto"/>
            <w:vAlign w:val="center"/>
          </w:tcPr>
          <w:p w14:paraId="3F028206" w14:textId="77777777" w:rsidR="004D1A15" w:rsidRDefault="004D1A15" w:rsidP="005C0567">
            <w:pPr>
              <w:jc w:val="center"/>
            </w:pPr>
          </w:p>
        </w:tc>
      </w:tr>
      <w:tr w:rsidR="004D1A15" w14:paraId="7F8877E4" w14:textId="77777777" w:rsidTr="005C0567">
        <w:tc>
          <w:tcPr>
            <w:tcW w:w="0" w:type="auto"/>
            <w:vAlign w:val="center"/>
          </w:tcPr>
          <w:p w14:paraId="49B80C69" w14:textId="77777777" w:rsidR="004D1A15" w:rsidRDefault="004D1A15" w:rsidP="005C0567">
            <w:r>
              <w:t>South Atlantic</w:t>
            </w:r>
          </w:p>
        </w:tc>
        <w:tc>
          <w:tcPr>
            <w:tcW w:w="2088" w:type="dxa"/>
            <w:vAlign w:val="center"/>
          </w:tcPr>
          <w:p w14:paraId="34C10158" w14:textId="77777777" w:rsidR="004D1A15" w:rsidRDefault="004D1A15" w:rsidP="005C0567">
            <w:pPr>
              <w:jc w:val="center"/>
            </w:pPr>
            <w:r>
              <w:t>135 (28.1)</w:t>
            </w:r>
          </w:p>
        </w:tc>
        <w:tc>
          <w:tcPr>
            <w:tcW w:w="1955" w:type="dxa"/>
            <w:vAlign w:val="center"/>
          </w:tcPr>
          <w:p w14:paraId="6B5D67B4" w14:textId="77777777" w:rsidR="004D1A15" w:rsidRDefault="004D1A15" w:rsidP="005C0567">
            <w:pPr>
              <w:jc w:val="center"/>
            </w:pPr>
            <w:r>
              <w:t>40 (18.9)</w:t>
            </w:r>
          </w:p>
        </w:tc>
        <w:tc>
          <w:tcPr>
            <w:tcW w:w="0" w:type="auto"/>
            <w:vAlign w:val="center"/>
          </w:tcPr>
          <w:p w14:paraId="79606351" w14:textId="77777777" w:rsidR="004D1A15" w:rsidRDefault="004D1A15" w:rsidP="005C0567">
            <w:pPr>
              <w:jc w:val="center"/>
            </w:pPr>
          </w:p>
        </w:tc>
        <w:tc>
          <w:tcPr>
            <w:tcW w:w="0" w:type="auto"/>
            <w:vAlign w:val="center"/>
          </w:tcPr>
          <w:p w14:paraId="01CF0F3E" w14:textId="77777777" w:rsidR="004D1A15" w:rsidRDefault="004D1A15" w:rsidP="005C0567">
            <w:pPr>
              <w:jc w:val="center"/>
            </w:pPr>
          </w:p>
        </w:tc>
      </w:tr>
      <w:tr w:rsidR="004D1A15" w14:paraId="65EE3D1B" w14:textId="77777777" w:rsidTr="005C0567">
        <w:tc>
          <w:tcPr>
            <w:tcW w:w="0" w:type="auto"/>
            <w:vAlign w:val="center"/>
          </w:tcPr>
          <w:p w14:paraId="316C52C7" w14:textId="77777777" w:rsidR="004D1A15" w:rsidRDefault="004D1A15" w:rsidP="005C0567">
            <w:r>
              <w:t>West North Central</w:t>
            </w:r>
          </w:p>
        </w:tc>
        <w:tc>
          <w:tcPr>
            <w:tcW w:w="2088" w:type="dxa"/>
            <w:vAlign w:val="center"/>
          </w:tcPr>
          <w:p w14:paraId="23B06AE5" w14:textId="77777777" w:rsidR="004D1A15" w:rsidRDefault="004D1A15" w:rsidP="005C0567">
            <w:pPr>
              <w:jc w:val="center"/>
            </w:pPr>
            <w:r>
              <w:t>31 (6.5)</w:t>
            </w:r>
          </w:p>
        </w:tc>
        <w:tc>
          <w:tcPr>
            <w:tcW w:w="1955" w:type="dxa"/>
            <w:vAlign w:val="center"/>
          </w:tcPr>
          <w:p w14:paraId="42019B6C" w14:textId="77777777" w:rsidR="004D1A15" w:rsidRDefault="004D1A15" w:rsidP="005C0567">
            <w:pPr>
              <w:jc w:val="center"/>
            </w:pPr>
            <w:r>
              <w:t>12 (5.7)</w:t>
            </w:r>
          </w:p>
        </w:tc>
        <w:tc>
          <w:tcPr>
            <w:tcW w:w="0" w:type="auto"/>
            <w:vAlign w:val="center"/>
          </w:tcPr>
          <w:p w14:paraId="52B45BF8" w14:textId="77777777" w:rsidR="004D1A15" w:rsidRDefault="004D1A15" w:rsidP="005C0567">
            <w:pPr>
              <w:jc w:val="center"/>
            </w:pPr>
          </w:p>
        </w:tc>
        <w:tc>
          <w:tcPr>
            <w:tcW w:w="0" w:type="auto"/>
            <w:vAlign w:val="center"/>
          </w:tcPr>
          <w:p w14:paraId="6C391BD9" w14:textId="77777777" w:rsidR="004D1A15" w:rsidRDefault="004D1A15" w:rsidP="005C0567">
            <w:pPr>
              <w:jc w:val="center"/>
            </w:pPr>
          </w:p>
        </w:tc>
      </w:tr>
      <w:tr w:rsidR="004D1A15" w14:paraId="42A620C4" w14:textId="77777777" w:rsidTr="005C0567">
        <w:tc>
          <w:tcPr>
            <w:tcW w:w="0" w:type="auto"/>
            <w:vAlign w:val="center"/>
          </w:tcPr>
          <w:p w14:paraId="7FAB1696" w14:textId="77777777" w:rsidR="004D1A15" w:rsidRDefault="004D1A15" w:rsidP="005C0567">
            <w:r>
              <w:t>West South Central</w:t>
            </w:r>
          </w:p>
        </w:tc>
        <w:tc>
          <w:tcPr>
            <w:tcW w:w="2088" w:type="dxa"/>
            <w:vAlign w:val="center"/>
          </w:tcPr>
          <w:p w14:paraId="618E7A44" w14:textId="77777777" w:rsidR="004D1A15" w:rsidRDefault="004D1A15" w:rsidP="005C0567">
            <w:pPr>
              <w:jc w:val="center"/>
            </w:pPr>
            <w:r>
              <w:t>57 (11.9)</w:t>
            </w:r>
          </w:p>
        </w:tc>
        <w:tc>
          <w:tcPr>
            <w:tcW w:w="1955" w:type="dxa"/>
            <w:vAlign w:val="center"/>
          </w:tcPr>
          <w:p w14:paraId="31F5739F" w14:textId="77777777" w:rsidR="004D1A15" w:rsidRDefault="004D1A15" w:rsidP="005C0567">
            <w:pPr>
              <w:jc w:val="center"/>
            </w:pPr>
            <w:r>
              <w:t>33 (15.6)</w:t>
            </w:r>
          </w:p>
        </w:tc>
        <w:tc>
          <w:tcPr>
            <w:tcW w:w="0" w:type="auto"/>
            <w:vAlign w:val="center"/>
          </w:tcPr>
          <w:p w14:paraId="30616A56" w14:textId="77777777" w:rsidR="004D1A15" w:rsidRDefault="004D1A15" w:rsidP="005C0567">
            <w:pPr>
              <w:jc w:val="center"/>
            </w:pPr>
          </w:p>
        </w:tc>
        <w:tc>
          <w:tcPr>
            <w:tcW w:w="0" w:type="auto"/>
            <w:vAlign w:val="center"/>
          </w:tcPr>
          <w:p w14:paraId="24393B56" w14:textId="77777777" w:rsidR="004D1A15" w:rsidRDefault="004D1A15" w:rsidP="005C0567">
            <w:pPr>
              <w:jc w:val="center"/>
            </w:pPr>
          </w:p>
        </w:tc>
      </w:tr>
      <w:tr w:rsidR="004D1A15" w14:paraId="4222AF62" w14:textId="77777777" w:rsidTr="005C0567">
        <w:tc>
          <w:tcPr>
            <w:tcW w:w="0" w:type="auto"/>
            <w:vAlign w:val="center"/>
          </w:tcPr>
          <w:p w14:paraId="7A43E6D3" w14:textId="77777777" w:rsidR="004D1A15" w:rsidRDefault="004D1A15" w:rsidP="005C0567">
            <w:r>
              <w:t>Unknown</w:t>
            </w:r>
          </w:p>
        </w:tc>
        <w:tc>
          <w:tcPr>
            <w:tcW w:w="2088" w:type="dxa"/>
            <w:vAlign w:val="center"/>
          </w:tcPr>
          <w:p w14:paraId="19FB34E0" w14:textId="77777777" w:rsidR="004D1A15" w:rsidRDefault="004D1A15" w:rsidP="005C0567">
            <w:pPr>
              <w:jc w:val="center"/>
            </w:pPr>
            <w:r>
              <w:t>1 (0.21)</w:t>
            </w:r>
          </w:p>
        </w:tc>
        <w:tc>
          <w:tcPr>
            <w:tcW w:w="1955" w:type="dxa"/>
            <w:vAlign w:val="center"/>
          </w:tcPr>
          <w:p w14:paraId="5528318B" w14:textId="77777777" w:rsidR="004D1A15" w:rsidRDefault="004D1A15" w:rsidP="005C0567">
            <w:pPr>
              <w:jc w:val="center"/>
            </w:pPr>
            <w:r>
              <w:t>1 (0.47)</w:t>
            </w:r>
          </w:p>
        </w:tc>
        <w:tc>
          <w:tcPr>
            <w:tcW w:w="0" w:type="auto"/>
            <w:vAlign w:val="center"/>
          </w:tcPr>
          <w:p w14:paraId="020175DF" w14:textId="77777777" w:rsidR="004D1A15" w:rsidRDefault="004D1A15" w:rsidP="005C0567">
            <w:pPr>
              <w:jc w:val="center"/>
            </w:pPr>
          </w:p>
        </w:tc>
        <w:tc>
          <w:tcPr>
            <w:tcW w:w="0" w:type="auto"/>
            <w:vAlign w:val="center"/>
          </w:tcPr>
          <w:p w14:paraId="0D138D5C" w14:textId="77777777" w:rsidR="004D1A15" w:rsidRDefault="004D1A15" w:rsidP="005C0567">
            <w:pPr>
              <w:jc w:val="center"/>
            </w:pPr>
          </w:p>
        </w:tc>
      </w:tr>
      <w:tr w:rsidR="004D1A15" w14:paraId="508B816B" w14:textId="77777777" w:rsidTr="005C0567">
        <w:tc>
          <w:tcPr>
            <w:tcW w:w="0" w:type="auto"/>
            <w:vAlign w:val="center"/>
          </w:tcPr>
          <w:p w14:paraId="47AF0C79" w14:textId="77777777" w:rsidR="004D1A15" w:rsidRDefault="004D1A15" w:rsidP="005C0567"/>
        </w:tc>
        <w:tc>
          <w:tcPr>
            <w:tcW w:w="2088" w:type="dxa"/>
            <w:vAlign w:val="center"/>
          </w:tcPr>
          <w:p w14:paraId="217E4C42" w14:textId="77777777" w:rsidR="004D1A15" w:rsidRDefault="004D1A15" w:rsidP="005C0567">
            <w:pPr>
              <w:jc w:val="center"/>
            </w:pPr>
          </w:p>
        </w:tc>
        <w:tc>
          <w:tcPr>
            <w:tcW w:w="1955" w:type="dxa"/>
            <w:vAlign w:val="center"/>
          </w:tcPr>
          <w:p w14:paraId="054052B4" w14:textId="77777777" w:rsidR="004D1A15" w:rsidRDefault="004D1A15" w:rsidP="005C0567">
            <w:pPr>
              <w:jc w:val="center"/>
            </w:pPr>
          </w:p>
        </w:tc>
        <w:tc>
          <w:tcPr>
            <w:tcW w:w="0" w:type="auto"/>
            <w:vAlign w:val="center"/>
          </w:tcPr>
          <w:p w14:paraId="0FB164E3" w14:textId="77777777" w:rsidR="004D1A15" w:rsidRDefault="004D1A15" w:rsidP="005C0567">
            <w:pPr>
              <w:jc w:val="center"/>
            </w:pPr>
          </w:p>
        </w:tc>
        <w:tc>
          <w:tcPr>
            <w:tcW w:w="0" w:type="auto"/>
            <w:vAlign w:val="center"/>
          </w:tcPr>
          <w:p w14:paraId="2378135C" w14:textId="77777777" w:rsidR="004D1A15" w:rsidRDefault="004D1A15" w:rsidP="005C0567">
            <w:pPr>
              <w:jc w:val="center"/>
            </w:pPr>
          </w:p>
        </w:tc>
      </w:tr>
      <w:tr w:rsidR="004D1A15" w14:paraId="67087210" w14:textId="77777777" w:rsidTr="005C0567">
        <w:tc>
          <w:tcPr>
            <w:tcW w:w="0" w:type="auto"/>
            <w:tcMar>
              <w:left w:w="29" w:type="dxa"/>
              <w:right w:w="115" w:type="dxa"/>
            </w:tcMar>
            <w:vAlign w:val="center"/>
          </w:tcPr>
          <w:p w14:paraId="12F0CD46" w14:textId="77777777" w:rsidR="004D1A15" w:rsidRPr="009B05F6" w:rsidRDefault="004D1A15" w:rsidP="005C0567">
            <w:pPr>
              <w:rPr>
                <w:bCs/>
              </w:rPr>
            </w:pPr>
            <w:r w:rsidRPr="009B05F6">
              <w:rPr>
                <w:bCs/>
              </w:rPr>
              <w:t>Race</w:t>
            </w:r>
          </w:p>
        </w:tc>
        <w:tc>
          <w:tcPr>
            <w:tcW w:w="2088" w:type="dxa"/>
            <w:vAlign w:val="center"/>
          </w:tcPr>
          <w:p w14:paraId="3AFFC362" w14:textId="77777777" w:rsidR="004D1A15" w:rsidRDefault="004D1A15" w:rsidP="005C0567">
            <w:pPr>
              <w:jc w:val="center"/>
            </w:pPr>
          </w:p>
        </w:tc>
        <w:tc>
          <w:tcPr>
            <w:tcW w:w="1955" w:type="dxa"/>
            <w:vAlign w:val="center"/>
          </w:tcPr>
          <w:p w14:paraId="00F74EFD" w14:textId="77777777" w:rsidR="004D1A15" w:rsidRDefault="004D1A15" w:rsidP="005C0567">
            <w:pPr>
              <w:jc w:val="center"/>
            </w:pPr>
          </w:p>
        </w:tc>
        <w:tc>
          <w:tcPr>
            <w:tcW w:w="0" w:type="auto"/>
            <w:vAlign w:val="center"/>
          </w:tcPr>
          <w:p w14:paraId="2A9DDEDB" w14:textId="77777777" w:rsidR="004D1A15" w:rsidRDefault="004D1A15" w:rsidP="005C0567">
            <w:pPr>
              <w:jc w:val="center"/>
            </w:pPr>
            <w:r>
              <w:t>0.12</w:t>
            </w:r>
          </w:p>
        </w:tc>
        <w:tc>
          <w:tcPr>
            <w:tcW w:w="0" w:type="auto"/>
            <w:vAlign w:val="center"/>
          </w:tcPr>
          <w:p w14:paraId="057B5214" w14:textId="77777777" w:rsidR="004D1A15" w:rsidRDefault="004D1A15" w:rsidP="005C0567">
            <w:pPr>
              <w:jc w:val="center"/>
            </w:pPr>
            <w:r>
              <w:t>0.07</w:t>
            </w:r>
          </w:p>
        </w:tc>
      </w:tr>
      <w:tr w:rsidR="004D1A15" w14:paraId="515A351B" w14:textId="77777777" w:rsidTr="005C0567">
        <w:tc>
          <w:tcPr>
            <w:tcW w:w="0" w:type="auto"/>
            <w:vAlign w:val="center"/>
          </w:tcPr>
          <w:p w14:paraId="4A0CB920" w14:textId="77777777" w:rsidR="004D1A15" w:rsidRDefault="004D1A15" w:rsidP="005C0567">
            <w:r>
              <w:t>Asian</w:t>
            </w:r>
          </w:p>
        </w:tc>
        <w:tc>
          <w:tcPr>
            <w:tcW w:w="2088" w:type="dxa"/>
            <w:vAlign w:val="center"/>
          </w:tcPr>
          <w:p w14:paraId="6526D298" w14:textId="77777777" w:rsidR="004D1A15" w:rsidRDefault="004D1A15" w:rsidP="005C0567">
            <w:pPr>
              <w:jc w:val="center"/>
            </w:pPr>
            <w:r>
              <w:t>8 (1.7)</w:t>
            </w:r>
          </w:p>
        </w:tc>
        <w:tc>
          <w:tcPr>
            <w:tcW w:w="1955" w:type="dxa"/>
            <w:vAlign w:val="center"/>
          </w:tcPr>
          <w:p w14:paraId="1D6A067C" w14:textId="77777777" w:rsidR="004D1A15" w:rsidRDefault="004D1A15" w:rsidP="005C0567">
            <w:pPr>
              <w:jc w:val="center"/>
            </w:pPr>
            <w:r>
              <w:t>2 (0.9)</w:t>
            </w:r>
          </w:p>
        </w:tc>
        <w:tc>
          <w:tcPr>
            <w:tcW w:w="0" w:type="auto"/>
            <w:vAlign w:val="center"/>
          </w:tcPr>
          <w:p w14:paraId="078780CB" w14:textId="77777777" w:rsidR="004D1A15" w:rsidRDefault="004D1A15" w:rsidP="005C0567">
            <w:pPr>
              <w:jc w:val="center"/>
            </w:pPr>
          </w:p>
        </w:tc>
        <w:tc>
          <w:tcPr>
            <w:tcW w:w="0" w:type="auto"/>
            <w:vAlign w:val="center"/>
          </w:tcPr>
          <w:p w14:paraId="746492A2" w14:textId="77777777" w:rsidR="004D1A15" w:rsidRDefault="004D1A15" w:rsidP="005C0567">
            <w:pPr>
              <w:jc w:val="center"/>
            </w:pPr>
          </w:p>
        </w:tc>
      </w:tr>
      <w:tr w:rsidR="004D1A15" w14:paraId="6D9D542A" w14:textId="77777777" w:rsidTr="005C0567">
        <w:tc>
          <w:tcPr>
            <w:tcW w:w="0" w:type="auto"/>
            <w:vAlign w:val="center"/>
          </w:tcPr>
          <w:p w14:paraId="0CB42826" w14:textId="77777777" w:rsidR="004D1A15" w:rsidRDefault="004D1A15" w:rsidP="005C0567">
            <w:r>
              <w:t>Black</w:t>
            </w:r>
          </w:p>
        </w:tc>
        <w:tc>
          <w:tcPr>
            <w:tcW w:w="2088" w:type="dxa"/>
            <w:vAlign w:val="center"/>
          </w:tcPr>
          <w:p w14:paraId="7674FD63" w14:textId="77777777" w:rsidR="004D1A15" w:rsidRDefault="004D1A15" w:rsidP="005C0567">
            <w:pPr>
              <w:jc w:val="center"/>
            </w:pPr>
            <w:r>
              <w:t>41 (8.5)</w:t>
            </w:r>
          </w:p>
        </w:tc>
        <w:tc>
          <w:tcPr>
            <w:tcW w:w="1955" w:type="dxa"/>
            <w:vAlign w:val="center"/>
          </w:tcPr>
          <w:p w14:paraId="0129B907" w14:textId="77777777" w:rsidR="004D1A15" w:rsidRDefault="004D1A15" w:rsidP="005C0567">
            <w:pPr>
              <w:jc w:val="center"/>
            </w:pPr>
            <w:r>
              <w:t>15 (7.1)</w:t>
            </w:r>
          </w:p>
        </w:tc>
        <w:tc>
          <w:tcPr>
            <w:tcW w:w="0" w:type="auto"/>
            <w:vAlign w:val="center"/>
          </w:tcPr>
          <w:p w14:paraId="38ABF0F9" w14:textId="77777777" w:rsidR="004D1A15" w:rsidRDefault="004D1A15" w:rsidP="005C0567">
            <w:pPr>
              <w:jc w:val="center"/>
            </w:pPr>
          </w:p>
        </w:tc>
        <w:tc>
          <w:tcPr>
            <w:tcW w:w="0" w:type="auto"/>
            <w:vAlign w:val="center"/>
          </w:tcPr>
          <w:p w14:paraId="37485979" w14:textId="77777777" w:rsidR="004D1A15" w:rsidRDefault="004D1A15" w:rsidP="005C0567">
            <w:pPr>
              <w:jc w:val="center"/>
            </w:pPr>
          </w:p>
        </w:tc>
      </w:tr>
      <w:tr w:rsidR="004D1A15" w14:paraId="65184A7C" w14:textId="77777777" w:rsidTr="005C0567">
        <w:tc>
          <w:tcPr>
            <w:tcW w:w="0" w:type="auto"/>
            <w:vAlign w:val="center"/>
          </w:tcPr>
          <w:p w14:paraId="47B2CDF6" w14:textId="77777777" w:rsidR="004D1A15" w:rsidRDefault="004D1A15" w:rsidP="005C0567">
            <w:r>
              <w:t>Hispanic</w:t>
            </w:r>
          </w:p>
        </w:tc>
        <w:tc>
          <w:tcPr>
            <w:tcW w:w="2088" w:type="dxa"/>
            <w:vAlign w:val="center"/>
          </w:tcPr>
          <w:p w14:paraId="31943634" w14:textId="77777777" w:rsidR="004D1A15" w:rsidRDefault="004D1A15" w:rsidP="005C0567">
            <w:pPr>
              <w:jc w:val="center"/>
            </w:pPr>
            <w:r>
              <w:t>33 (6.9)</w:t>
            </w:r>
          </w:p>
        </w:tc>
        <w:tc>
          <w:tcPr>
            <w:tcW w:w="1955" w:type="dxa"/>
            <w:vAlign w:val="center"/>
          </w:tcPr>
          <w:p w14:paraId="1DF02895" w14:textId="77777777" w:rsidR="004D1A15" w:rsidRDefault="004D1A15" w:rsidP="005C0567">
            <w:pPr>
              <w:jc w:val="center"/>
            </w:pPr>
            <w:r>
              <w:t>14 (6.6)</w:t>
            </w:r>
          </w:p>
        </w:tc>
        <w:tc>
          <w:tcPr>
            <w:tcW w:w="0" w:type="auto"/>
            <w:vAlign w:val="center"/>
          </w:tcPr>
          <w:p w14:paraId="21519EBE" w14:textId="77777777" w:rsidR="004D1A15" w:rsidRDefault="004D1A15" w:rsidP="005C0567">
            <w:pPr>
              <w:jc w:val="center"/>
            </w:pPr>
          </w:p>
        </w:tc>
        <w:tc>
          <w:tcPr>
            <w:tcW w:w="0" w:type="auto"/>
            <w:vAlign w:val="center"/>
          </w:tcPr>
          <w:p w14:paraId="5343A4DB" w14:textId="77777777" w:rsidR="004D1A15" w:rsidRDefault="004D1A15" w:rsidP="005C0567">
            <w:pPr>
              <w:jc w:val="center"/>
            </w:pPr>
          </w:p>
        </w:tc>
      </w:tr>
      <w:tr w:rsidR="004D1A15" w14:paraId="21FD8059" w14:textId="77777777" w:rsidTr="005C0567">
        <w:tc>
          <w:tcPr>
            <w:tcW w:w="0" w:type="auto"/>
            <w:vAlign w:val="center"/>
          </w:tcPr>
          <w:p w14:paraId="6FEE6A95" w14:textId="77777777" w:rsidR="004D1A15" w:rsidRDefault="004D1A15" w:rsidP="005C0567">
            <w:r>
              <w:t>White</w:t>
            </w:r>
          </w:p>
        </w:tc>
        <w:tc>
          <w:tcPr>
            <w:tcW w:w="2088" w:type="dxa"/>
            <w:vAlign w:val="center"/>
          </w:tcPr>
          <w:p w14:paraId="287BD9C8" w14:textId="77777777" w:rsidR="004D1A15" w:rsidRDefault="004D1A15" w:rsidP="005C0567">
            <w:pPr>
              <w:jc w:val="center"/>
            </w:pPr>
            <w:r>
              <w:t>345 (71.9)</w:t>
            </w:r>
          </w:p>
        </w:tc>
        <w:tc>
          <w:tcPr>
            <w:tcW w:w="1955" w:type="dxa"/>
            <w:vAlign w:val="center"/>
          </w:tcPr>
          <w:p w14:paraId="325E86AE" w14:textId="77777777" w:rsidR="004D1A15" w:rsidRDefault="004D1A15" w:rsidP="005C0567">
            <w:pPr>
              <w:jc w:val="center"/>
            </w:pPr>
            <w:r>
              <w:t>160 (75.5)</w:t>
            </w:r>
          </w:p>
        </w:tc>
        <w:tc>
          <w:tcPr>
            <w:tcW w:w="0" w:type="auto"/>
            <w:vAlign w:val="center"/>
          </w:tcPr>
          <w:p w14:paraId="6F617D73" w14:textId="77777777" w:rsidR="004D1A15" w:rsidRDefault="004D1A15" w:rsidP="005C0567">
            <w:pPr>
              <w:jc w:val="center"/>
            </w:pPr>
          </w:p>
        </w:tc>
        <w:tc>
          <w:tcPr>
            <w:tcW w:w="0" w:type="auto"/>
            <w:vAlign w:val="center"/>
          </w:tcPr>
          <w:p w14:paraId="0A16A67B" w14:textId="77777777" w:rsidR="004D1A15" w:rsidRDefault="004D1A15" w:rsidP="005C0567">
            <w:pPr>
              <w:jc w:val="center"/>
            </w:pPr>
          </w:p>
        </w:tc>
      </w:tr>
      <w:tr w:rsidR="004D1A15" w14:paraId="33836D9D" w14:textId="77777777" w:rsidTr="005C0567">
        <w:tc>
          <w:tcPr>
            <w:tcW w:w="0" w:type="auto"/>
            <w:vAlign w:val="center"/>
          </w:tcPr>
          <w:p w14:paraId="15318AA3" w14:textId="77777777" w:rsidR="004D1A15" w:rsidRDefault="004D1A15" w:rsidP="005C0567">
            <w:r>
              <w:t>Unknown</w:t>
            </w:r>
          </w:p>
        </w:tc>
        <w:tc>
          <w:tcPr>
            <w:tcW w:w="2088" w:type="dxa"/>
            <w:vAlign w:val="center"/>
          </w:tcPr>
          <w:p w14:paraId="28A03A73" w14:textId="77777777" w:rsidR="004D1A15" w:rsidRDefault="004D1A15" w:rsidP="005C0567">
            <w:pPr>
              <w:jc w:val="center"/>
            </w:pPr>
            <w:r>
              <w:t>53 (11.0)</w:t>
            </w:r>
          </w:p>
        </w:tc>
        <w:tc>
          <w:tcPr>
            <w:tcW w:w="1955" w:type="dxa"/>
            <w:vAlign w:val="center"/>
          </w:tcPr>
          <w:p w14:paraId="25EF2033" w14:textId="77777777" w:rsidR="004D1A15" w:rsidRDefault="004D1A15" w:rsidP="005C0567">
            <w:pPr>
              <w:jc w:val="center"/>
            </w:pPr>
            <w:r>
              <w:t>21 (9.9)</w:t>
            </w:r>
          </w:p>
        </w:tc>
        <w:tc>
          <w:tcPr>
            <w:tcW w:w="0" w:type="auto"/>
            <w:vAlign w:val="center"/>
          </w:tcPr>
          <w:p w14:paraId="61B316DF" w14:textId="77777777" w:rsidR="004D1A15" w:rsidRDefault="004D1A15" w:rsidP="005C0567">
            <w:pPr>
              <w:jc w:val="center"/>
            </w:pPr>
          </w:p>
        </w:tc>
        <w:tc>
          <w:tcPr>
            <w:tcW w:w="0" w:type="auto"/>
            <w:vAlign w:val="center"/>
          </w:tcPr>
          <w:p w14:paraId="2E815AC1" w14:textId="77777777" w:rsidR="004D1A15" w:rsidRDefault="004D1A15" w:rsidP="005C0567">
            <w:pPr>
              <w:jc w:val="center"/>
            </w:pPr>
          </w:p>
        </w:tc>
      </w:tr>
      <w:tr w:rsidR="004D1A15" w14:paraId="6DB469C2" w14:textId="77777777" w:rsidTr="005C0567">
        <w:tc>
          <w:tcPr>
            <w:tcW w:w="0" w:type="auto"/>
            <w:vAlign w:val="center"/>
          </w:tcPr>
          <w:p w14:paraId="5410EF29" w14:textId="77777777" w:rsidR="004D1A15" w:rsidRDefault="004D1A15" w:rsidP="005C0567"/>
        </w:tc>
        <w:tc>
          <w:tcPr>
            <w:tcW w:w="2088" w:type="dxa"/>
            <w:vAlign w:val="center"/>
          </w:tcPr>
          <w:p w14:paraId="28B3CA8B" w14:textId="77777777" w:rsidR="004D1A15" w:rsidRDefault="004D1A15" w:rsidP="005C0567">
            <w:pPr>
              <w:jc w:val="center"/>
            </w:pPr>
          </w:p>
        </w:tc>
        <w:tc>
          <w:tcPr>
            <w:tcW w:w="1955" w:type="dxa"/>
            <w:vAlign w:val="center"/>
          </w:tcPr>
          <w:p w14:paraId="146DF763" w14:textId="77777777" w:rsidR="004D1A15" w:rsidRDefault="004D1A15" w:rsidP="005C0567">
            <w:pPr>
              <w:jc w:val="center"/>
            </w:pPr>
          </w:p>
        </w:tc>
        <w:tc>
          <w:tcPr>
            <w:tcW w:w="0" w:type="auto"/>
            <w:vAlign w:val="center"/>
          </w:tcPr>
          <w:p w14:paraId="59B84FFA" w14:textId="77777777" w:rsidR="004D1A15" w:rsidRDefault="004D1A15" w:rsidP="005C0567">
            <w:pPr>
              <w:jc w:val="center"/>
            </w:pPr>
          </w:p>
        </w:tc>
        <w:tc>
          <w:tcPr>
            <w:tcW w:w="0" w:type="auto"/>
            <w:vAlign w:val="center"/>
          </w:tcPr>
          <w:p w14:paraId="0EE120CF" w14:textId="77777777" w:rsidR="004D1A15" w:rsidRDefault="004D1A15" w:rsidP="005C0567">
            <w:pPr>
              <w:jc w:val="center"/>
            </w:pPr>
          </w:p>
        </w:tc>
      </w:tr>
      <w:tr w:rsidR="004D1A15" w14:paraId="041A2A1A" w14:textId="77777777" w:rsidTr="005C0567">
        <w:tc>
          <w:tcPr>
            <w:tcW w:w="0" w:type="auto"/>
            <w:tcMar>
              <w:left w:w="29" w:type="dxa"/>
              <w:right w:w="115" w:type="dxa"/>
            </w:tcMar>
            <w:vAlign w:val="center"/>
          </w:tcPr>
          <w:p w14:paraId="3D4A1909" w14:textId="77777777" w:rsidR="004D1A15" w:rsidRPr="009B05F6" w:rsidRDefault="004D1A15" w:rsidP="005C0567">
            <w:pPr>
              <w:rPr>
                <w:bCs/>
              </w:rPr>
            </w:pPr>
            <w:r w:rsidRPr="009B05F6">
              <w:rPr>
                <w:bCs/>
              </w:rPr>
              <w:t xml:space="preserve">Education </w:t>
            </w:r>
            <w:r>
              <w:rPr>
                <w:bCs/>
              </w:rPr>
              <w:t>l</w:t>
            </w:r>
            <w:r w:rsidRPr="009B05F6">
              <w:rPr>
                <w:bCs/>
              </w:rPr>
              <w:t>evel</w:t>
            </w:r>
            <w:r w:rsidRPr="00342F42">
              <w:rPr>
                <w:vertAlign w:val="superscript"/>
              </w:rPr>
              <w:t>‖</w:t>
            </w:r>
          </w:p>
        </w:tc>
        <w:tc>
          <w:tcPr>
            <w:tcW w:w="2088" w:type="dxa"/>
            <w:vAlign w:val="center"/>
          </w:tcPr>
          <w:p w14:paraId="5EAF34ED" w14:textId="77777777" w:rsidR="004D1A15" w:rsidRDefault="004D1A15" w:rsidP="005C0567">
            <w:pPr>
              <w:jc w:val="center"/>
            </w:pPr>
          </w:p>
        </w:tc>
        <w:tc>
          <w:tcPr>
            <w:tcW w:w="1955" w:type="dxa"/>
            <w:vAlign w:val="center"/>
          </w:tcPr>
          <w:p w14:paraId="028E4CF5" w14:textId="77777777" w:rsidR="004D1A15" w:rsidRDefault="004D1A15" w:rsidP="005C0567">
            <w:pPr>
              <w:jc w:val="center"/>
            </w:pPr>
          </w:p>
        </w:tc>
        <w:tc>
          <w:tcPr>
            <w:tcW w:w="0" w:type="auto"/>
            <w:vAlign w:val="center"/>
          </w:tcPr>
          <w:p w14:paraId="282AF2DA" w14:textId="77777777" w:rsidR="004D1A15" w:rsidRDefault="004D1A15" w:rsidP="005C0567">
            <w:pPr>
              <w:jc w:val="center"/>
            </w:pPr>
            <w:r>
              <w:t>0.12</w:t>
            </w:r>
          </w:p>
        </w:tc>
        <w:tc>
          <w:tcPr>
            <w:tcW w:w="0" w:type="auto"/>
            <w:vAlign w:val="center"/>
          </w:tcPr>
          <w:p w14:paraId="12B3503F" w14:textId="77777777" w:rsidR="004D1A15" w:rsidRDefault="004D1A15" w:rsidP="005C0567">
            <w:pPr>
              <w:jc w:val="center"/>
            </w:pPr>
            <w:r>
              <w:t>0.04</w:t>
            </w:r>
          </w:p>
        </w:tc>
      </w:tr>
      <w:tr w:rsidR="004D1A15" w14:paraId="4F23E03E" w14:textId="77777777" w:rsidTr="005C0567">
        <w:tc>
          <w:tcPr>
            <w:tcW w:w="0" w:type="auto"/>
            <w:vAlign w:val="center"/>
          </w:tcPr>
          <w:p w14:paraId="7ACDD72C" w14:textId="77777777" w:rsidR="004D1A15" w:rsidRDefault="004D1A15" w:rsidP="005C0567">
            <w:r>
              <w:t>&lt;12</w:t>
            </w:r>
            <w:r w:rsidRPr="00A61721">
              <w:rPr>
                <w:vertAlign w:val="superscript"/>
              </w:rPr>
              <w:t>th</w:t>
            </w:r>
            <w:r>
              <w:t xml:space="preserve"> Grade</w:t>
            </w:r>
          </w:p>
        </w:tc>
        <w:tc>
          <w:tcPr>
            <w:tcW w:w="2088" w:type="dxa"/>
            <w:vAlign w:val="center"/>
          </w:tcPr>
          <w:p w14:paraId="45C4A7DF" w14:textId="77777777" w:rsidR="004D1A15" w:rsidRDefault="004D1A15" w:rsidP="005C0567">
            <w:pPr>
              <w:jc w:val="center"/>
            </w:pPr>
            <w:r>
              <w:t>2 (0.4)</w:t>
            </w:r>
          </w:p>
        </w:tc>
        <w:tc>
          <w:tcPr>
            <w:tcW w:w="1955" w:type="dxa"/>
            <w:vAlign w:val="center"/>
          </w:tcPr>
          <w:p w14:paraId="2468FDA4" w14:textId="77777777" w:rsidR="004D1A15" w:rsidRDefault="004D1A15" w:rsidP="005C0567">
            <w:pPr>
              <w:jc w:val="center"/>
            </w:pPr>
            <w:r>
              <w:t>0 (0.0)</w:t>
            </w:r>
          </w:p>
        </w:tc>
        <w:tc>
          <w:tcPr>
            <w:tcW w:w="0" w:type="auto"/>
            <w:vAlign w:val="center"/>
          </w:tcPr>
          <w:p w14:paraId="6AD73812" w14:textId="77777777" w:rsidR="004D1A15" w:rsidRDefault="004D1A15" w:rsidP="005C0567">
            <w:pPr>
              <w:jc w:val="center"/>
            </w:pPr>
          </w:p>
        </w:tc>
        <w:tc>
          <w:tcPr>
            <w:tcW w:w="0" w:type="auto"/>
            <w:vAlign w:val="center"/>
          </w:tcPr>
          <w:p w14:paraId="5D8EECEB" w14:textId="77777777" w:rsidR="004D1A15" w:rsidRDefault="004D1A15" w:rsidP="005C0567">
            <w:pPr>
              <w:jc w:val="center"/>
            </w:pPr>
          </w:p>
        </w:tc>
      </w:tr>
      <w:tr w:rsidR="004D1A15" w14:paraId="1D3F6D89" w14:textId="77777777" w:rsidTr="005C0567">
        <w:tc>
          <w:tcPr>
            <w:tcW w:w="0" w:type="auto"/>
            <w:vAlign w:val="center"/>
          </w:tcPr>
          <w:p w14:paraId="2E5E8171" w14:textId="77777777" w:rsidR="004D1A15" w:rsidRDefault="004D1A15" w:rsidP="005C0567">
            <w:r>
              <w:t>High school diploma</w:t>
            </w:r>
          </w:p>
        </w:tc>
        <w:tc>
          <w:tcPr>
            <w:tcW w:w="2088" w:type="dxa"/>
            <w:vAlign w:val="center"/>
          </w:tcPr>
          <w:p w14:paraId="7A989A7F" w14:textId="77777777" w:rsidR="004D1A15" w:rsidRDefault="004D1A15" w:rsidP="005C0567">
            <w:pPr>
              <w:jc w:val="center"/>
            </w:pPr>
            <w:r>
              <w:t>111 (23.1)</w:t>
            </w:r>
          </w:p>
        </w:tc>
        <w:tc>
          <w:tcPr>
            <w:tcW w:w="1955" w:type="dxa"/>
            <w:vAlign w:val="center"/>
          </w:tcPr>
          <w:p w14:paraId="4B6C0128" w14:textId="77777777" w:rsidR="004D1A15" w:rsidRDefault="004D1A15" w:rsidP="005C0567">
            <w:pPr>
              <w:jc w:val="center"/>
            </w:pPr>
            <w:r>
              <w:t>44 (20.7)</w:t>
            </w:r>
          </w:p>
        </w:tc>
        <w:tc>
          <w:tcPr>
            <w:tcW w:w="0" w:type="auto"/>
            <w:vAlign w:val="center"/>
          </w:tcPr>
          <w:p w14:paraId="097541AA" w14:textId="77777777" w:rsidR="004D1A15" w:rsidRDefault="004D1A15" w:rsidP="005C0567">
            <w:pPr>
              <w:jc w:val="center"/>
            </w:pPr>
          </w:p>
        </w:tc>
        <w:tc>
          <w:tcPr>
            <w:tcW w:w="0" w:type="auto"/>
            <w:vAlign w:val="center"/>
          </w:tcPr>
          <w:p w14:paraId="7264B9F9" w14:textId="77777777" w:rsidR="004D1A15" w:rsidRDefault="004D1A15" w:rsidP="005C0567">
            <w:pPr>
              <w:jc w:val="center"/>
            </w:pPr>
          </w:p>
        </w:tc>
      </w:tr>
      <w:tr w:rsidR="004D1A15" w14:paraId="38B9F6EC" w14:textId="77777777" w:rsidTr="005C0567">
        <w:tc>
          <w:tcPr>
            <w:tcW w:w="0" w:type="auto"/>
            <w:vAlign w:val="center"/>
          </w:tcPr>
          <w:p w14:paraId="2559DFC9" w14:textId="77777777" w:rsidR="004D1A15" w:rsidRDefault="004D1A15" w:rsidP="005C0567">
            <w:r>
              <w:t>&lt;Bachelor degree</w:t>
            </w:r>
          </w:p>
        </w:tc>
        <w:tc>
          <w:tcPr>
            <w:tcW w:w="2088" w:type="dxa"/>
            <w:vAlign w:val="center"/>
          </w:tcPr>
          <w:p w14:paraId="03EAF2A5" w14:textId="77777777" w:rsidR="004D1A15" w:rsidRDefault="004D1A15" w:rsidP="005C0567">
            <w:pPr>
              <w:jc w:val="center"/>
            </w:pPr>
            <w:r>
              <w:t>240 (50.0)</w:t>
            </w:r>
          </w:p>
        </w:tc>
        <w:tc>
          <w:tcPr>
            <w:tcW w:w="1955" w:type="dxa"/>
            <w:vAlign w:val="center"/>
          </w:tcPr>
          <w:p w14:paraId="676B6880" w14:textId="77777777" w:rsidR="004D1A15" w:rsidRDefault="004D1A15" w:rsidP="005C0567">
            <w:pPr>
              <w:jc w:val="center"/>
            </w:pPr>
            <w:r>
              <w:t>118 (55.7)</w:t>
            </w:r>
          </w:p>
        </w:tc>
        <w:tc>
          <w:tcPr>
            <w:tcW w:w="0" w:type="auto"/>
            <w:vAlign w:val="center"/>
          </w:tcPr>
          <w:p w14:paraId="1E94D80F" w14:textId="77777777" w:rsidR="004D1A15" w:rsidRDefault="004D1A15" w:rsidP="005C0567">
            <w:pPr>
              <w:jc w:val="center"/>
            </w:pPr>
          </w:p>
        </w:tc>
        <w:tc>
          <w:tcPr>
            <w:tcW w:w="0" w:type="auto"/>
            <w:vAlign w:val="center"/>
          </w:tcPr>
          <w:p w14:paraId="4F317DF5" w14:textId="77777777" w:rsidR="004D1A15" w:rsidRDefault="004D1A15" w:rsidP="005C0567">
            <w:pPr>
              <w:jc w:val="center"/>
            </w:pPr>
          </w:p>
        </w:tc>
      </w:tr>
      <w:tr w:rsidR="004D1A15" w14:paraId="7FC27486" w14:textId="77777777" w:rsidTr="005C0567">
        <w:tc>
          <w:tcPr>
            <w:tcW w:w="0" w:type="auto"/>
            <w:vAlign w:val="center"/>
          </w:tcPr>
          <w:p w14:paraId="51428A2F" w14:textId="77777777" w:rsidR="004D1A15" w:rsidRDefault="004D1A15" w:rsidP="005C0567">
            <w:r>
              <w:t>Bachelor degree+</w:t>
            </w:r>
          </w:p>
        </w:tc>
        <w:tc>
          <w:tcPr>
            <w:tcW w:w="2088" w:type="dxa"/>
            <w:vAlign w:val="center"/>
          </w:tcPr>
          <w:p w14:paraId="00BC0DBC" w14:textId="77777777" w:rsidR="004D1A15" w:rsidRDefault="004D1A15" w:rsidP="005C0567">
            <w:pPr>
              <w:jc w:val="center"/>
            </w:pPr>
            <w:r>
              <w:t>86 (17.9)</w:t>
            </w:r>
          </w:p>
        </w:tc>
        <w:tc>
          <w:tcPr>
            <w:tcW w:w="1955" w:type="dxa"/>
            <w:vAlign w:val="center"/>
          </w:tcPr>
          <w:p w14:paraId="4967A4E9" w14:textId="77777777" w:rsidR="004D1A15" w:rsidRDefault="004D1A15" w:rsidP="005C0567">
            <w:pPr>
              <w:jc w:val="center"/>
            </w:pPr>
            <w:r>
              <w:t>31 (14.6)</w:t>
            </w:r>
          </w:p>
        </w:tc>
        <w:tc>
          <w:tcPr>
            <w:tcW w:w="0" w:type="auto"/>
            <w:vAlign w:val="center"/>
          </w:tcPr>
          <w:p w14:paraId="282E60A7" w14:textId="77777777" w:rsidR="004D1A15" w:rsidRDefault="004D1A15" w:rsidP="005C0567">
            <w:pPr>
              <w:jc w:val="center"/>
            </w:pPr>
          </w:p>
        </w:tc>
        <w:tc>
          <w:tcPr>
            <w:tcW w:w="0" w:type="auto"/>
            <w:vAlign w:val="center"/>
          </w:tcPr>
          <w:p w14:paraId="163EBC17" w14:textId="77777777" w:rsidR="004D1A15" w:rsidRDefault="004D1A15" w:rsidP="005C0567">
            <w:pPr>
              <w:jc w:val="center"/>
            </w:pPr>
          </w:p>
        </w:tc>
      </w:tr>
      <w:tr w:rsidR="004D1A15" w14:paraId="5E230159" w14:textId="77777777" w:rsidTr="005C0567">
        <w:tc>
          <w:tcPr>
            <w:tcW w:w="0" w:type="auto"/>
            <w:vAlign w:val="center"/>
          </w:tcPr>
          <w:p w14:paraId="61FD4565" w14:textId="77777777" w:rsidR="004D1A15" w:rsidRDefault="004D1A15" w:rsidP="005C0567">
            <w:r>
              <w:t>Unknown</w:t>
            </w:r>
          </w:p>
        </w:tc>
        <w:tc>
          <w:tcPr>
            <w:tcW w:w="2088" w:type="dxa"/>
            <w:vAlign w:val="center"/>
          </w:tcPr>
          <w:p w14:paraId="4C5C1253" w14:textId="77777777" w:rsidR="004D1A15" w:rsidRDefault="004D1A15" w:rsidP="005C0567">
            <w:pPr>
              <w:jc w:val="center"/>
            </w:pPr>
            <w:r>
              <w:t>41 (8.6)</w:t>
            </w:r>
          </w:p>
        </w:tc>
        <w:tc>
          <w:tcPr>
            <w:tcW w:w="1955" w:type="dxa"/>
            <w:vAlign w:val="center"/>
          </w:tcPr>
          <w:p w14:paraId="0337E3CE" w14:textId="77777777" w:rsidR="004D1A15" w:rsidRDefault="004D1A15" w:rsidP="005C0567">
            <w:pPr>
              <w:jc w:val="center"/>
            </w:pPr>
            <w:r>
              <w:t>19 (9.0)</w:t>
            </w:r>
          </w:p>
        </w:tc>
        <w:tc>
          <w:tcPr>
            <w:tcW w:w="0" w:type="auto"/>
            <w:vAlign w:val="center"/>
          </w:tcPr>
          <w:p w14:paraId="122B0DA9" w14:textId="77777777" w:rsidR="004D1A15" w:rsidRDefault="004D1A15" w:rsidP="005C0567">
            <w:pPr>
              <w:jc w:val="center"/>
            </w:pPr>
          </w:p>
        </w:tc>
        <w:tc>
          <w:tcPr>
            <w:tcW w:w="0" w:type="auto"/>
            <w:vAlign w:val="center"/>
          </w:tcPr>
          <w:p w14:paraId="18B7CC3D" w14:textId="77777777" w:rsidR="004D1A15" w:rsidRDefault="004D1A15" w:rsidP="005C0567">
            <w:pPr>
              <w:jc w:val="center"/>
            </w:pPr>
          </w:p>
        </w:tc>
      </w:tr>
      <w:tr w:rsidR="004D1A15" w14:paraId="36B59F6E" w14:textId="77777777" w:rsidTr="005C0567">
        <w:tc>
          <w:tcPr>
            <w:tcW w:w="0" w:type="auto"/>
            <w:vAlign w:val="center"/>
          </w:tcPr>
          <w:p w14:paraId="7FF78E37" w14:textId="77777777" w:rsidR="004D1A15" w:rsidRDefault="004D1A15" w:rsidP="005C0567"/>
        </w:tc>
        <w:tc>
          <w:tcPr>
            <w:tcW w:w="2088" w:type="dxa"/>
            <w:vAlign w:val="center"/>
          </w:tcPr>
          <w:p w14:paraId="5717E0D8" w14:textId="77777777" w:rsidR="004D1A15" w:rsidRDefault="004D1A15" w:rsidP="005C0567">
            <w:pPr>
              <w:jc w:val="center"/>
            </w:pPr>
          </w:p>
        </w:tc>
        <w:tc>
          <w:tcPr>
            <w:tcW w:w="1955" w:type="dxa"/>
            <w:vAlign w:val="center"/>
          </w:tcPr>
          <w:p w14:paraId="4A19AAE4" w14:textId="77777777" w:rsidR="004D1A15" w:rsidRDefault="004D1A15" w:rsidP="005C0567">
            <w:pPr>
              <w:jc w:val="center"/>
            </w:pPr>
          </w:p>
        </w:tc>
        <w:tc>
          <w:tcPr>
            <w:tcW w:w="0" w:type="auto"/>
            <w:vAlign w:val="center"/>
          </w:tcPr>
          <w:p w14:paraId="55BDC04C" w14:textId="77777777" w:rsidR="004D1A15" w:rsidRDefault="004D1A15" w:rsidP="005C0567">
            <w:pPr>
              <w:jc w:val="center"/>
            </w:pPr>
          </w:p>
        </w:tc>
        <w:tc>
          <w:tcPr>
            <w:tcW w:w="0" w:type="auto"/>
            <w:vAlign w:val="center"/>
          </w:tcPr>
          <w:p w14:paraId="6B870AC9" w14:textId="77777777" w:rsidR="004D1A15" w:rsidRDefault="004D1A15" w:rsidP="005C0567">
            <w:pPr>
              <w:jc w:val="center"/>
            </w:pPr>
          </w:p>
        </w:tc>
      </w:tr>
      <w:tr w:rsidR="004D1A15" w14:paraId="1E7EBB73" w14:textId="77777777" w:rsidTr="005C0567">
        <w:tc>
          <w:tcPr>
            <w:tcW w:w="0" w:type="auto"/>
            <w:tcMar>
              <w:left w:w="29" w:type="dxa"/>
              <w:right w:w="115" w:type="dxa"/>
            </w:tcMar>
            <w:vAlign w:val="center"/>
          </w:tcPr>
          <w:p w14:paraId="70B213B4" w14:textId="77777777" w:rsidR="004D1A15" w:rsidRPr="009B05F6" w:rsidRDefault="004D1A15" w:rsidP="005C0567">
            <w:pPr>
              <w:rPr>
                <w:bCs/>
              </w:rPr>
            </w:pPr>
            <w:r w:rsidRPr="009B05F6">
              <w:rPr>
                <w:bCs/>
              </w:rPr>
              <w:t>H</w:t>
            </w:r>
            <w:r>
              <w:rPr>
                <w:bCs/>
              </w:rPr>
              <w:t>ousing</w:t>
            </w:r>
            <w:r w:rsidRPr="00342F42">
              <w:rPr>
                <w:vertAlign w:val="superscript"/>
              </w:rPr>
              <w:t>‖</w:t>
            </w:r>
          </w:p>
        </w:tc>
        <w:tc>
          <w:tcPr>
            <w:tcW w:w="2088" w:type="dxa"/>
            <w:vAlign w:val="center"/>
          </w:tcPr>
          <w:p w14:paraId="7AAACAEF" w14:textId="77777777" w:rsidR="004D1A15" w:rsidRDefault="004D1A15" w:rsidP="005C0567">
            <w:pPr>
              <w:jc w:val="center"/>
            </w:pPr>
          </w:p>
        </w:tc>
        <w:tc>
          <w:tcPr>
            <w:tcW w:w="1955" w:type="dxa"/>
            <w:vAlign w:val="center"/>
          </w:tcPr>
          <w:p w14:paraId="05383E6B" w14:textId="77777777" w:rsidR="004D1A15" w:rsidRDefault="004D1A15" w:rsidP="005C0567">
            <w:pPr>
              <w:jc w:val="center"/>
            </w:pPr>
          </w:p>
        </w:tc>
        <w:tc>
          <w:tcPr>
            <w:tcW w:w="0" w:type="auto"/>
            <w:vAlign w:val="center"/>
          </w:tcPr>
          <w:p w14:paraId="59BF51A2" w14:textId="77777777" w:rsidR="004D1A15" w:rsidRDefault="004D1A15" w:rsidP="005C0567">
            <w:pPr>
              <w:jc w:val="center"/>
            </w:pPr>
            <w:r>
              <w:t>0.07</w:t>
            </w:r>
          </w:p>
        </w:tc>
        <w:tc>
          <w:tcPr>
            <w:tcW w:w="0" w:type="auto"/>
            <w:vAlign w:val="center"/>
          </w:tcPr>
          <w:p w14:paraId="1BAB87A0" w14:textId="77777777" w:rsidR="004D1A15" w:rsidRDefault="004D1A15" w:rsidP="005C0567">
            <w:pPr>
              <w:jc w:val="center"/>
            </w:pPr>
            <w:r>
              <w:t>0.05</w:t>
            </w:r>
          </w:p>
        </w:tc>
      </w:tr>
      <w:tr w:rsidR="004D1A15" w14:paraId="72D96F3F" w14:textId="77777777" w:rsidTr="005C0567">
        <w:tc>
          <w:tcPr>
            <w:tcW w:w="0" w:type="auto"/>
            <w:vAlign w:val="center"/>
          </w:tcPr>
          <w:p w14:paraId="7EE9F8B3" w14:textId="77777777" w:rsidR="004D1A15" w:rsidRDefault="004D1A15" w:rsidP="005C0567">
            <w:r>
              <w:t>Probable homeowner</w:t>
            </w:r>
          </w:p>
        </w:tc>
        <w:tc>
          <w:tcPr>
            <w:tcW w:w="2088" w:type="dxa"/>
            <w:vAlign w:val="center"/>
          </w:tcPr>
          <w:p w14:paraId="70F6E7A1" w14:textId="77777777" w:rsidR="004D1A15" w:rsidRDefault="004D1A15" w:rsidP="005C0567">
            <w:pPr>
              <w:jc w:val="center"/>
            </w:pPr>
            <w:r>
              <w:t>349 (72.7)</w:t>
            </w:r>
          </w:p>
        </w:tc>
        <w:tc>
          <w:tcPr>
            <w:tcW w:w="1955" w:type="dxa"/>
            <w:vAlign w:val="center"/>
          </w:tcPr>
          <w:p w14:paraId="4B210E63" w14:textId="77777777" w:rsidR="004D1A15" w:rsidRDefault="004D1A15" w:rsidP="005C0567">
            <w:pPr>
              <w:jc w:val="center"/>
            </w:pPr>
            <w:r>
              <w:t>157 (74.1)</w:t>
            </w:r>
          </w:p>
        </w:tc>
        <w:tc>
          <w:tcPr>
            <w:tcW w:w="0" w:type="auto"/>
            <w:vAlign w:val="center"/>
          </w:tcPr>
          <w:p w14:paraId="4E31D264" w14:textId="77777777" w:rsidR="004D1A15" w:rsidRDefault="004D1A15" w:rsidP="005C0567">
            <w:pPr>
              <w:jc w:val="center"/>
            </w:pPr>
          </w:p>
        </w:tc>
        <w:tc>
          <w:tcPr>
            <w:tcW w:w="0" w:type="auto"/>
            <w:vAlign w:val="center"/>
          </w:tcPr>
          <w:p w14:paraId="68612BC7" w14:textId="77777777" w:rsidR="004D1A15" w:rsidRDefault="004D1A15" w:rsidP="005C0567">
            <w:pPr>
              <w:jc w:val="center"/>
            </w:pPr>
          </w:p>
        </w:tc>
      </w:tr>
      <w:tr w:rsidR="004D1A15" w14:paraId="4DD2C904" w14:textId="77777777" w:rsidTr="005C0567">
        <w:tc>
          <w:tcPr>
            <w:tcW w:w="0" w:type="auto"/>
            <w:vAlign w:val="center"/>
          </w:tcPr>
          <w:p w14:paraId="1A8DAAB1" w14:textId="77777777" w:rsidR="004D1A15" w:rsidRDefault="004D1A15" w:rsidP="005C0567">
            <w:r>
              <w:t>Probable renter</w:t>
            </w:r>
          </w:p>
        </w:tc>
        <w:tc>
          <w:tcPr>
            <w:tcW w:w="2088" w:type="dxa"/>
            <w:vAlign w:val="center"/>
          </w:tcPr>
          <w:p w14:paraId="47DA03DE" w14:textId="77777777" w:rsidR="004D1A15" w:rsidRDefault="004D1A15" w:rsidP="005C0567">
            <w:pPr>
              <w:jc w:val="center"/>
            </w:pPr>
            <w:r>
              <w:t>15 (3.1)</w:t>
            </w:r>
          </w:p>
        </w:tc>
        <w:tc>
          <w:tcPr>
            <w:tcW w:w="1955" w:type="dxa"/>
            <w:vAlign w:val="center"/>
          </w:tcPr>
          <w:p w14:paraId="11D34500" w14:textId="77777777" w:rsidR="004D1A15" w:rsidRDefault="004D1A15" w:rsidP="005C0567">
            <w:pPr>
              <w:jc w:val="center"/>
            </w:pPr>
            <w:r>
              <w:t>9 (4.3)</w:t>
            </w:r>
          </w:p>
        </w:tc>
        <w:tc>
          <w:tcPr>
            <w:tcW w:w="0" w:type="auto"/>
            <w:vAlign w:val="center"/>
          </w:tcPr>
          <w:p w14:paraId="710AD34F" w14:textId="77777777" w:rsidR="004D1A15" w:rsidRDefault="004D1A15" w:rsidP="005C0567">
            <w:pPr>
              <w:jc w:val="center"/>
            </w:pPr>
          </w:p>
        </w:tc>
        <w:tc>
          <w:tcPr>
            <w:tcW w:w="0" w:type="auto"/>
            <w:vAlign w:val="center"/>
          </w:tcPr>
          <w:p w14:paraId="47597463" w14:textId="77777777" w:rsidR="004D1A15" w:rsidRDefault="004D1A15" w:rsidP="005C0567">
            <w:pPr>
              <w:jc w:val="center"/>
            </w:pPr>
          </w:p>
        </w:tc>
      </w:tr>
      <w:tr w:rsidR="004D1A15" w14:paraId="07DDE112" w14:textId="77777777" w:rsidTr="005C0567">
        <w:tc>
          <w:tcPr>
            <w:tcW w:w="0" w:type="auto"/>
            <w:vAlign w:val="center"/>
          </w:tcPr>
          <w:p w14:paraId="2A766A22" w14:textId="77777777" w:rsidR="004D1A15" w:rsidRDefault="004D1A15" w:rsidP="005C0567">
            <w:r>
              <w:t>Unknown</w:t>
            </w:r>
          </w:p>
        </w:tc>
        <w:tc>
          <w:tcPr>
            <w:tcW w:w="2088" w:type="dxa"/>
            <w:vAlign w:val="center"/>
          </w:tcPr>
          <w:p w14:paraId="1BD25F5D" w14:textId="77777777" w:rsidR="004D1A15" w:rsidRDefault="004D1A15" w:rsidP="005C0567">
            <w:pPr>
              <w:jc w:val="center"/>
            </w:pPr>
            <w:r>
              <w:t>116 (24.2)</w:t>
            </w:r>
          </w:p>
        </w:tc>
        <w:tc>
          <w:tcPr>
            <w:tcW w:w="1955" w:type="dxa"/>
            <w:vAlign w:val="center"/>
          </w:tcPr>
          <w:p w14:paraId="70A1316C" w14:textId="77777777" w:rsidR="004D1A15" w:rsidRDefault="004D1A15" w:rsidP="005C0567">
            <w:pPr>
              <w:jc w:val="center"/>
            </w:pPr>
            <w:r>
              <w:t>46 (21.7)</w:t>
            </w:r>
          </w:p>
        </w:tc>
        <w:tc>
          <w:tcPr>
            <w:tcW w:w="0" w:type="auto"/>
            <w:vAlign w:val="center"/>
          </w:tcPr>
          <w:p w14:paraId="72F1F6BD" w14:textId="77777777" w:rsidR="004D1A15" w:rsidRDefault="004D1A15" w:rsidP="005C0567">
            <w:pPr>
              <w:jc w:val="center"/>
            </w:pPr>
          </w:p>
        </w:tc>
        <w:tc>
          <w:tcPr>
            <w:tcW w:w="0" w:type="auto"/>
            <w:vAlign w:val="center"/>
          </w:tcPr>
          <w:p w14:paraId="4793B043" w14:textId="77777777" w:rsidR="004D1A15" w:rsidRDefault="004D1A15" w:rsidP="005C0567">
            <w:pPr>
              <w:jc w:val="center"/>
            </w:pPr>
          </w:p>
        </w:tc>
      </w:tr>
      <w:tr w:rsidR="004D1A15" w14:paraId="42B93B4E" w14:textId="77777777" w:rsidTr="005C0567">
        <w:tc>
          <w:tcPr>
            <w:tcW w:w="0" w:type="auto"/>
            <w:vAlign w:val="center"/>
          </w:tcPr>
          <w:p w14:paraId="66102423" w14:textId="77777777" w:rsidR="004D1A15" w:rsidRDefault="004D1A15" w:rsidP="005C0567"/>
        </w:tc>
        <w:tc>
          <w:tcPr>
            <w:tcW w:w="2088" w:type="dxa"/>
            <w:vAlign w:val="center"/>
          </w:tcPr>
          <w:p w14:paraId="14474030" w14:textId="77777777" w:rsidR="004D1A15" w:rsidRDefault="004D1A15" w:rsidP="005C0567">
            <w:pPr>
              <w:jc w:val="center"/>
            </w:pPr>
          </w:p>
        </w:tc>
        <w:tc>
          <w:tcPr>
            <w:tcW w:w="1955" w:type="dxa"/>
            <w:vAlign w:val="center"/>
          </w:tcPr>
          <w:p w14:paraId="0C763361" w14:textId="77777777" w:rsidR="004D1A15" w:rsidRDefault="004D1A15" w:rsidP="005C0567">
            <w:pPr>
              <w:jc w:val="center"/>
            </w:pPr>
          </w:p>
        </w:tc>
        <w:tc>
          <w:tcPr>
            <w:tcW w:w="0" w:type="auto"/>
            <w:vAlign w:val="center"/>
          </w:tcPr>
          <w:p w14:paraId="2D9DBDB9" w14:textId="77777777" w:rsidR="004D1A15" w:rsidRDefault="004D1A15" w:rsidP="005C0567">
            <w:pPr>
              <w:jc w:val="center"/>
            </w:pPr>
          </w:p>
        </w:tc>
        <w:tc>
          <w:tcPr>
            <w:tcW w:w="0" w:type="auto"/>
            <w:vAlign w:val="center"/>
          </w:tcPr>
          <w:p w14:paraId="17841F80" w14:textId="77777777" w:rsidR="004D1A15" w:rsidRDefault="004D1A15" w:rsidP="005C0567">
            <w:pPr>
              <w:jc w:val="center"/>
            </w:pPr>
          </w:p>
        </w:tc>
      </w:tr>
      <w:tr w:rsidR="004D1A15" w14:paraId="51FC72B0" w14:textId="77777777" w:rsidTr="005C0567">
        <w:tc>
          <w:tcPr>
            <w:tcW w:w="0" w:type="auto"/>
            <w:tcMar>
              <w:left w:w="29" w:type="dxa"/>
              <w:right w:w="115" w:type="dxa"/>
            </w:tcMar>
            <w:vAlign w:val="center"/>
          </w:tcPr>
          <w:p w14:paraId="5724F5F4" w14:textId="77777777" w:rsidR="004D1A15" w:rsidRPr="009B05F6" w:rsidRDefault="004D1A15" w:rsidP="005C0567">
            <w:pPr>
              <w:rPr>
                <w:bCs/>
              </w:rPr>
            </w:pPr>
            <w:r w:rsidRPr="009B05F6">
              <w:rPr>
                <w:bCs/>
              </w:rPr>
              <w:t xml:space="preserve">Household </w:t>
            </w:r>
            <w:r>
              <w:rPr>
                <w:bCs/>
              </w:rPr>
              <w:t>i</w:t>
            </w:r>
            <w:r w:rsidRPr="009B05F6">
              <w:rPr>
                <w:bCs/>
              </w:rPr>
              <w:t>ncome</w:t>
            </w:r>
            <w:r w:rsidRPr="00342F42">
              <w:rPr>
                <w:vertAlign w:val="superscript"/>
              </w:rPr>
              <w:t>‖</w:t>
            </w:r>
          </w:p>
        </w:tc>
        <w:tc>
          <w:tcPr>
            <w:tcW w:w="2088" w:type="dxa"/>
            <w:vAlign w:val="center"/>
          </w:tcPr>
          <w:p w14:paraId="3FFC6A95" w14:textId="77777777" w:rsidR="004D1A15" w:rsidRDefault="004D1A15" w:rsidP="005C0567">
            <w:pPr>
              <w:jc w:val="center"/>
            </w:pPr>
          </w:p>
        </w:tc>
        <w:tc>
          <w:tcPr>
            <w:tcW w:w="1955" w:type="dxa"/>
            <w:vAlign w:val="center"/>
          </w:tcPr>
          <w:p w14:paraId="5191A0E8" w14:textId="77777777" w:rsidR="004D1A15" w:rsidRDefault="004D1A15" w:rsidP="005C0567">
            <w:pPr>
              <w:jc w:val="center"/>
            </w:pPr>
          </w:p>
        </w:tc>
        <w:tc>
          <w:tcPr>
            <w:tcW w:w="0" w:type="auto"/>
            <w:vAlign w:val="center"/>
          </w:tcPr>
          <w:p w14:paraId="5AD6C8C2" w14:textId="77777777" w:rsidR="004D1A15" w:rsidRDefault="004D1A15" w:rsidP="005C0567">
            <w:pPr>
              <w:jc w:val="center"/>
            </w:pPr>
            <w:r>
              <w:t>0.07</w:t>
            </w:r>
          </w:p>
        </w:tc>
        <w:tc>
          <w:tcPr>
            <w:tcW w:w="0" w:type="auto"/>
            <w:vAlign w:val="center"/>
          </w:tcPr>
          <w:p w14:paraId="7CE0AA91" w14:textId="77777777" w:rsidR="004D1A15" w:rsidRDefault="004D1A15" w:rsidP="005C0567">
            <w:pPr>
              <w:jc w:val="center"/>
            </w:pPr>
            <w:r>
              <w:t>0.17</w:t>
            </w:r>
          </w:p>
        </w:tc>
      </w:tr>
      <w:tr w:rsidR="004D1A15" w14:paraId="6537381E" w14:textId="77777777" w:rsidTr="005C0567">
        <w:tc>
          <w:tcPr>
            <w:tcW w:w="0" w:type="auto"/>
            <w:vAlign w:val="center"/>
          </w:tcPr>
          <w:p w14:paraId="5CC8A712" w14:textId="77777777" w:rsidR="004D1A15" w:rsidRDefault="004D1A15" w:rsidP="005C0567">
            <w:r>
              <w:t>&lt;$40K</w:t>
            </w:r>
          </w:p>
        </w:tc>
        <w:tc>
          <w:tcPr>
            <w:tcW w:w="2088" w:type="dxa"/>
            <w:vAlign w:val="center"/>
          </w:tcPr>
          <w:p w14:paraId="18BE5547" w14:textId="77777777" w:rsidR="004D1A15" w:rsidRDefault="004D1A15" w:rsidP="005C0567">
            <w:pPr>
              <w:jc w:val="center"/>
            </w:pPr>
            <w:r>
              <w:t>114 (23.7)</w:t>
            </w:r>
          </w:p>
        </w:tc>
        <w:tc>
          <w:tcPr>
            <w:tcW w:w="1955" w:type="dxa"/>
            <w:vAlign w:val="center"/>
          </w:tcPr>
          <w:p w14:paraId="58DA424F" w14:textId="77777777" w:rsidR="004D1A15" w:rsidRDefault="004D1A15" w:rsidP="005C0567">
            <w:pPr>
              <w:jc w:val="center"/>
            </w:pPr>
            <w:r>
              <w:t>48 (22.6)</w:t>
            </w:r>
          </w:p>
        </w:tc>
        <w:tc>
          <w:tcPr>
            <w:tcW w:w="0" w:type="auto"/>
            <w:vAlign w:val="center"/>
          </w:tcPr>
          <w:p w14:paraId="482EAF69" w14:textId="77777777" w:rsidR="004D1A15" w:rsidRDefault="004D1A15" w:rsidP="005C0567">
            <w:pPr>
              <w:jc w:val="center"/>
            </w:pPr>
          </w:p>
        </w:tc>
        <w:tc>
          <w:tcPr>
            <w:tcW w:w="0" w:type="auto"/>
            <w:vAlign w:val="center"/>
          </w:tcPr>
          <w:p w14:paraId="420C1966" w14:textId="77777777" w:rsidR="004D1A15" w:rsidRDefault="004D1A15" w:rsidP="005C0567">
            <w:pPr>
              <w:jc w:val="center"/>
            </w:pPr>
          </w:p>
        </w:tc>
      </w:tr>
      <w:tr w:rsidR="004D1A15" w14:paraId="62D8CE25" w14:textId="77777777" w:rsidTr="005C0567">
        <w:tc>
          <w:tcPr>
            <w:tcW w:w="0" w:type="auto"/>
            <w:vAlign w:val="center"/>
          </w:tcPr>
          <w:p w14:paraId="1270BD7A" w14:textId="77777777" w:rsidR="004D1A15" w:rsidRDefault="004D1A15" w:rsidP="005C0567">
            <w:r>
              <w:t>$40K-$49K</w:t>
            </w:r>
          </w:p>
        </w:tc>
        <w:tc>
          <w:tcPr>
            <w:tcW w:w="2088" w:type="dxa"/>
            <w:vAlign w:val="center"/>
          </w:tcPr>
          <w:p w14:paraId="0A21BE5A" w14:textId="77777777" w:rsidR="004D1A15" w:rsidRDefault="004D1A15" w:rsidP="005C0567">
            <w:pPr>
              <w:jc w:val="center"/>
            </w:pPr>
            <w:r>
              <w:t>30 (6.3)</w:t>
            </w:r>
          </w:p>
        </w:tc>
        <w:tc>
          <w:tcPr>
            <w:tcW w:w="1955" w:type="dxa"/>
            <w:vAlign w:val="center"/>
          </w:tcPr>
          <w:p w14:paraId="4B902BAE" w14:textId="77777777" w:rsidR="004D1A15" w:rsidRDefault="004D1A15" w:rsidP="005C0567">
            <w:pPr>
              <w:jc w:val="center"/>
            </w:pPr>
            <w:r>
              <w:t>13 (6.1)</w:t>
            </w:r>
          </w:p>
        </w:tc>
        <w:tc>
          <w:tcPr>
            <w:tcW w:w="0" w:type="auto"/>
            <w:vAlign w:val="center"/>
          </w:tcPr>
          <w:p w14:paraId="74E899C2" w14:textId="77777777" w:rsidR="004D1A15" w:rsidRDefault="004D1A15" w:rsidP="005C0567">
            <w:pPr>
              <w:jc w:val="center"/>
            </w:pPr>
          </w:p>
        </w:tc>
        <w:tc>
          <w:tcPr>
            <w:tcW w:w="0" w:type="auto"/>
            <w:vAlign w:val="center"/>
          </w:tcPr>
          <w:p w14:paraId="1A5FA8BB" w14:textId="77777777" w:rsidR="004D1A15" w:rsidRDefault="004D1A15" w:rsidP="005C0567">
            <w:pPr>
              <w:jc w:val="center"/>
            </w:pPr>
          </w:p>
        </w:tc>
      </w:tr>
      <w:tr w:rsidR="004D1A15" w14:paraId="5377D5C2" w14:textId="77777777" w:rsidTr="005C0567">
        <w:tc>
          <w:tcPr>
            <w:tcW w:w="0" w:type="auto"/>
            <w:vAlign w:val="center"/>
          </w:tcPr>
          <w:p w14:paraId="326954D5" w14:textId="77777777" w:rsidR="004D1A15" w:rsidRDefault="004D1A15" w:rsidP="005C0567">
            <w:r>
              <w:t>$50K-$59K</w:t>
            </w:r>
          </w:p>
        </w:tc>
        <w:tc>
          <w:tcPr>
            <w:tcW w:w="2088" w:type="dxa"/>
            <w:vAlign w:val="center"/>
          </w:tcPr>
          <w:p w14:paraId="0DE83EBB" w14:textId="77777777" w:rsidR="004D1A15" w:rsidRDefault="004D1A15" w:rsidP="005C0567">
            <w:pPr>
              <w:jc w:val="center"/>
            </w:pPr>
            <w:r>
              <w:t>39 (8.1)</w:t>
            </w:r>
          </w:p>
        </w:tc>
        <w:tc>
          <w:tcPr>
            <w:tcW w:w="1955" w:type="dxa"/>
            <w:vAlign w:val="center"/>
          </w:tcPr>
          <w:p w14:paraId="21BB4D20" w14:textId="77777777" w:rsidR="004D1A15" w:rsidRDefault="004D1A15" w:rsidP="005C0567">
            <w:pPr>
              <w:jc w:val="center"/>
            </w:pPr>
            <w:r>
              <w:t>19 (9.0)</w:t>
            </w:r>
          </w:p>
        </w:tc>
        <w:tc>
          <w:tcPr>
            <w:tcW w:w="0" w:type="auto"/>
            <w:vAlign w:val="center"/>
          </w:tcPr>
          <w:p w14:paraId="298A7927" w14:textId="77777777" w:rsidR="004D1A15" w:rsidRDefault="004D1A15" w:rsidP="005C0567">
            <w:pPr>
              <w:jc w:val="center"/>
            </w:pPr>
          </w:p>
        </w:tc>
        <w:tc>
          <w:tcPr>
            <w:tcW w:w="0" w:type="auto"/>
            <w:vAlign w:val="center"/>
          </w:tcPr>
          <w:p w14:paraId="40568D4F" w14:textId="77777777" w:rsidR="004D1A15" w:rsidRDefault="004D1A15" w:rsidP="005C0567">
            <w:pPr>
              <w:jc w:val="center"/>
            </w:pPr>
          </w:p>
        </w:tc>
      </w:tr>
      <w:tr w:rsidR="004D1A15" w14:paraId="1F94CDF3" w14:textId="77777777" w:rsidTr="005C0567">
        <w:tc>
          <w:tcPr>
            <w:tcW w:w="0" w:type="auto"/>
            <w:vAlign w:val="center"/>
          </w:tcPr>
          <w:p w14:paraId="375046F3" w14:textId="77777777" w:rsidR="004D1A15" w:rsidRDefault="004D1A15" w:rsidP="005C0567">
            <w:r>
              <w:t>$60K-$74K</w:t>
            </w:r>
          </w:p>
        </w:tc>
        <w:tc>
          <w:tcPr>
            <w:tcW w:w="2088" w:type="dxa"/>
            <w:vAlign w:val="center"/>
          </w:tcPr>
          <w:p w14:paraId="1DBE9918" w14:textId="77777777" w:rsidR="004D1A15" w:rsidRDefault="004D1A15" w:rsidP="005C0567">
            <w:pPr>
              <w:jc w:val="center"/>
            </w:pPr>
            <w:r>
              <w:t>45 (9.4)</w:t>
            </w:r>
          </w:p>
        </w:tc>
        <w:tc>
          <w:tcPr>
            <w:tcW w:w="1955" w:type="dxa"/>
            <w:vAlign w:val="center"/>
          </w:tcPr>
          <w:p w14:paraId="3403E5C4" w14:textId="77777777" w:rsidR="004D1A15" w:rsidRDefault="004D1A15" w:rsidP="005C0567">
            <w:pPr>
              <w:jc w:val="center"/>
            </w:pPr>
            <w:r>
              <w:t>19 (9.0)</w:t>
            </w:r>
          </w:p>
        </w:tc>
        <w:tc>
          <w:tcPr>
            <w:tcW w:w="0" w:type="auto"/>
            <w:vAlign w:val="center"/>
          </w:tcPr>
          <w:p w14:paraId="149264F3" w14:textId="77777777" w:rsidR="004D1A15" w:rsidRDefault="004D1A15" w:rsidP="005C0567">
            <w:pPr>
              <w:jc w:val="center"/>
            </w:pPr>
          </w:p>
        </w:tc>
        <w:tc>
          <w:tcPr>
            <w:tcW w:w="0" w:type="auto"/>
            <w:vAlign w:val="center"/>
          </w:tcPr>
          <w:p w14:paraId="4F378276" w14:textId="77777777" w:rsidR="004D1A15" w:rsidRDefault="004D1A15" w:rsidP="005C0567">
            <w:pPr>
              <w:jc w:val="center"/>
            </w:pPr>
          </w:p>
        </w:tc>
      </w:tr>
      <w:tr w:rsidR="004D1A15" w14:paraId="21BEB318" w14:textId="77777777" w:rsidTr="005C0567">
        <w:tc>
          <w:tcPr>
            <w:tcW w:w="0" w:type="auto"/>
            <w:vAlign w:val="center"/>
          </w:tcPr>
          <w:p w14:paraId="2AAD9807" w14:textId="77777777" w:rsidR="004D1A15" w:rsidRDefault="004D1A15" w:rsidP="005C0567">
            <w:r>
              <w:t>$75K-$99K</w:t>
            </w:r>
          </w:p>
        </w:tc>
        <w:tc>
          <w:tcPr>
            <w:tcW w:w="2088" w:type="dxa"/>
            <w:vAlign w:val="center"/>
          </w:tcPr>
          <w:p w14:paraId="60AE1996" w14:textId="77777777" w:rsidR="004D1A15" w:rsidRDefault="004D1A15" w:rsidP="005C0567">
            <w:pPr>
              <w:jc w:val="center"/>
            </w:pPr>
            <w:r>
              <w:t>75 (15.6)</w:t>
            </w:r>
          </w:p>
        </w:tc>
        <w:tc>
          <w:tcPr>
            <w:tcW w:w="1955" w:type="dxa"/>
            <w:vAlign w:val="center"/>
          </w:tcPr>
          <w:p w14:paraId="12186F8E" w14:textId="77777777" w:rsidR="004D1A15" w:rsidRDefault="004D1A15" w:rsidP="005C0567">
            <w:pPr>
              <w:jc w:val="center"/>
            </w:pPr>
            <w:r>
              <w:t>36 (17.0)</w:t>
            </w:r>
          </w:p>
        </w:tc>
        <w:tc>
          <w:tcPr>
            <w:tcW w:w="0" w:type="auto"/>
            <w:vAlign w:val="center"/>
          </w:tcPr>
          <w:p w14:paraId="4E7C48D1" w14:textId="77777777" w:rsidR="004D1A15" w:rsidRDefault="004D1A15" w:rsidP="005C0567">
            <w:pPr>
              <w:jc w:val="center"/>
            </w:pPr>
          </w:p>
        </w:tc>
        <w:tc>
          <w:tcPr>
            <w:tcW w:w="0" w:type="auto"/>
            <w:vAlign w:val="center"/>
          </w:tcPr>
          <w:p w14:paraId="1102568A" w14:textId="77777777" w:rsidR="004D1A15" w:rsidRDefault="004D1A15" w:rsidP="005C0567">
            <w:pPr>
              <w:jc w:val="center"/>
            </w:pPr>
          </w:p>
        </w:tc>
      </w:tr>
      <w:tr w:rsidR="004D1A15" w14:paraId="163E86CB" w14:textId="77777777" w:rsidTr="005C0567">
        <w:tc>
          <w:tcPr>
            <w:tcW w:w="0" w:type="auto"/>
            <w:vAlign w:val="center"/>
          </w:tcPr>
          <w:p w14:paraId="2BE953B8" w14:textId="77777777" w:rsidR="004D1A15" w:rsidRDefault="004D1A15" w:rsidP="005C0567">
            <w:r>
              <w:t>$100K+</w:t>
            </w:r>
          </w:p>
        </w:tc>
        <w:tc>
          <w:tcPr>
            <w:tcW w:w="2088" w:type="dxa"/>
            <w:vAlign w:val="center"/>
          </w:tcPr>
          <w:p w14:paraId="313D95EF" w14:textId="77777777" w:rsidR="004D1A15" w:rsidRDefault="004D1A15" w:rsidP="005C0567">
            <w:pPr>
              <w:jc w:val="center"/>
            </w:pPr>
            <w:r>
              <w:t>102 (21.3)</w:t>
            </w:r>
          </w:p>
        </w:tc>
        <w:tc>
          <w:tcPr>
            <w:tcW w:w="1955" w:type="dxa"/>
            <w:vAlign w:val="center"/>
          </w:tcPr>
          <w:p w14:paraId="22ADAE5E" w14:textId="77777777" w:rsidR="004D1A15" w:rsidRDefault="004D1A15" w:rsidP="005C0567">
            <w:pPr>
              <w:jc w:val="center"/>
            </w:pPr>
            <w:r>
              <w:t>42 (19.8)</w:t>
            </w:r>
          </w:p>
        </w:tc>
        <w:tc>
          <w:tcPr>
            <w:tcW w:w="0" w:type="auto"/>
            <w:vAlign w:val="center"/>
          </w:tcPr>
          <w:p w14:paraId="7C071CFE" w14:textId="77777777" w:rsidR="004D1A15" w:rsidRDefault="004D1A15" w:rsidP="005C0567">
            <w:pPr>
              <w:jc w:val="center"/>
            </w:pPr>
          </w:p>
        </w:tc>
        <w:tc>
          <w:tcPr>
            <w:tcW w:w="0" w:type="auto"/>
            <w:vAlign w:val="center"/>
          </w:tcPr>
          <w:p w14:paraId="37F03C1A" w14:textId="77777777" w:rsidR="004D1A15" w:rsidRDefault="004D1A15" w:rsidP="005C0567">
            <w:pPr>
              <w:jc w:val="center"/>
            </w:pPr>
          </w:p>
        </w:tc>
      </w:tr>
      <w:tr w:rsidR="004D1A15" w14:paraId="4ABCA333" w14:textId="77777777" w:rsidTr="005C0567">
        <w:tc>
          <w:tcPr>
            <w:tcW w:w="0" w:type="auto"/>
            <w:vAlign w:val="center"/>
          </w:tcPr>
          <w:p w14:paraId="77C5C8F3" w14:textId="77777777" w:rsidR="004D1A15" w:rsidRDefault="004D1A15" w:rsidP="005C0567">
            <w:r>
              <w:t>Unknown</w:t>
            </w:r>
          </w:p>
        </w:tc>
        <w:tc>
          <w:tcPr>
            <w:tcW w:w="2088" w:type="dxa"/>
            <w:vAlign w:val="center"/>
          </w:tcPr>
          <w:p w14:paraId="79BAFCBF" w14:textId="77777777" w:rsidR="004D1A15" w:rsidRDefault="004D1A15" w:rsidP="005C0567">
            <w:pPr>
              <w:jc w:val="center"/>
            </w:pPr>
            <w:r>
              <w:t>75 (15.6)</w:t>
            </w:r>
          </w:p>
        </w:tc>
        <w:tc>
          <w:tcPr>
            <w:tcW w:w="1955" w:type="dxa"/>
            <w:vAlign w:val="center"/>
          </w:tcPr>
          <w:p w14:paraId="157F2FF0" w14:textId="77777777" w:rsidR="004D1A15" w:rsidRDefault="004D1A15" w:rsidP="005C0567">
            <w:pPr>
              <w:jc w:val="center"/>
            </w:pPr>
            <w:r>
              <w:t>35 (16.5)</w:t>
            </w:r>
          </w:p>
        </w:tc>
        <w:tc>
          <w:tcPr>
            <w:tcW w:w="0" w:type="auto"/>
            <w:vAlign w:val="center"/>
          </w:tcPr>
          <w:p w14:paraId="4B5ECA1A" w14:textId="77777777" w:rsidR="004D1A15" w:rsidRDefault="004D1A15" w:rsidP="005C0567">
            <w:pPr>
              <w:jc w:val="center"/>
            </w:pPr>
          </w:p>
        </w:tc>
        <w:tc>
          <w:tcPr>
            <w:tcW w:w="0" w:type="auto"/>
            <w:vAlign w:val="center"/>
          </w:tcPr>
          <w:p w14:paraId="0E7C1EF7" w14:textId="77777777" w:rsidR="004D1A15" w:rsidRDefault="004D1A15" w:rsidP="005C0567">
            <w:pPr>
              <w:jc w:val="center"/>
            </w:pPr>
          </w:p>
        </w:tc>
      </w:tr>
      <w:tr w:rsidR="004D1A15" w14:paraId="16FE7EC8" w14:textId="77777777" w:rsidTr="005C0567">
        <w:tc>
          <w:tcPr>
            <w:tcW w:w="0" w:type="auto"/>
            <w:vAlign w:val="center"/>
          </w:tcPr>
          <w:p w14:paraId="41CDC194" w14:textId="77777777" w:rsidR="004D1A15" w:rsidRDefault="004D1A15" w:rsidP="005C0567"/>
        </w:tc>
        <w:tc>
          <w:tcPr>
            <w:tcW w:w="2088" w:type="dxa"/>
            <w:vAlign w:val="center"/>
          </w:tcPr>
          <w:p w14:paraId="0D8833BE" w14:textId="77777777" w:rsidR="004D1A15" w:rsidRDefault="004D1A15" w:rsidP="005C0567">
            <w:pPr>
              <w:jc w:val="center"/>
            </w:pPr>
          </w:p>
        </w:tc>
        <w:tc>
          <w:tcPr>
            <w:tcW w:w="1955" w:type="dxa"/>
            <w:vAlign w:val="center"/>
          </w:tcPr>
          <w:p w14:paraId="3D35C5DB" w14:textId="77777777" w:rsidR="004D1A15" w:rsidRDefault="004D1A15" w:rsidP="005C0567">
            <w:pPr>
              <w:jc w:val="center"/>
            </w:pPr>
          </w:p>
        </w:tc>
        <w:tc>
          <w:tcPr>
            <w:tcW w:w="0" w:type="auto"/>
            <w:vAlign w:val="center"/>
          </w:tcPr>
          <w:p w14:paraId="52F4477C" w14:textId="77777777" w:rsidR="004D1A15" w:rsidRDefault="004D1A15" w:rsidP="005C0567">
            <w:pPr>
              <w:jc w:val="center"/>
            </w:pPr>
          </w:p>
        </w:tc>
        <w:tc>
          <w:tcPr>
            <w:tcW w:w="0" w:type="auto"/>
            <w:vAlign w:val="center"/>
          </w:tcPr>
          <w:p w14:paraId="00675397" w14:textId="77777777" w:rsidR="004D1A15" w:rsidRDefault="004D1A15" w:rsidP="005C0567">
            <w:pPr>
              <w:jc w:val="center"/>
            </w:pPr>
          </w:p>
        </w:tc>
      </w:tr>
      <w:tr w:rsidR="004D1A15" w14:paraId="73920FB4" w14:textId="77777777" w:rsidTr="005C0567">
        <w:tc>
          <w:tcPr>
            <w:tcW w:w="0" w:type="auto"/>
            <w:tcMar>
              <w:left w:w="29" w:type="dxa"/>
              <w:right w:w="115" w:type="dxa"/>
            </w:tcMar>
            <w:vAlign w:val="center"/>
          </w:tcPr>
          <w:p w14:paraId="3C52779B" w14:textId="77777777" w:rsidR="004D1A15" w:rsidRPr="009B05F6" w:rsidRDefault="004D1A15" w:rsidP="005C0567">
            <w:pPr>
              <w:rPr>
                <w:bCs/>
              </w:rPr>
            </w:pPr>
            <w:r>
              <w:rPr>
                <w:bCs/>
              </w:rPr>
              <w:t>Total net worth of beneficiary</w:t>
            </w:r>
            <w:r w:rsidRPr="00342F42">
              <w:rPr>
                <w:vertAlign w:val="superscript"/>
              </w:rPr>
              <w:t>‖</w:t>
            </w:r>
          </w:p>
        </w:tc>
        <w:tc>
          <w:tcPr>
            <w:tcW w:w="2088" w:type="dxa"/>
            <w:vAlign w:val="center"/>
          </w:tcPr>
          <w:p w14:paraId="42C338F3" w14:textId="77777777" w:rsidR="004D1A15" w:rsidRDefault="004D1A15" w:rsidP="005C0567">
            <w:pPr>
              <w:jc w:val="center"/>
            </w:pPr>
          </w:p>
        </w:tc>
        <w:tc>
          <w:tcPr>
            <w:tcW w:w="1955" w:type="dxa"/>
            <w:vAlign w:val="center"/>
          </w:tcPr>
          <w:p w14:paraId="566CA4CF" w14:textId="77777777" w:rsidR="004D1A15" w:rsidRDefault="004D1A15" w:rsidP="005C0567">
            <w:pPr>
              <w:jc w:val="center"/>
            </w:pPr>
          </w:p>
        </w:tc>
        <w:tc>
          <w:tcPr>
            <w:tcW w:w="0" w:type="auto"/>
            <w:vAlign w:val="center"/>
          </w:tcPr>
          <w:p w14:paraId="20FB6D92" w14:textId="77777777" w:rsidR="004D1A15" w:rsidRDefault="004D1A15" w:rsidP="005C0567">
            <w:pPr>
              <w:jc w:val="center"/>
            </w:pPr>
            <w:r>
              <w:t>0.05</w:t>
            </w:r>
          </w:p>
        </w:tc>
        <w:tc>
          <w:tcPr>
            <w:tcW w:w="0" w:type="auto"/>
            <w:vAlign w:val="center"/>
          </w:tcPr>
          <w:p w14:paraId="68A741BE" w14:textId="77777777" w:rsidR="004D1A15" w:rsidRDefault="004D1A15" w:rsidP="005C0567">
            <w:pPr>
              <w:jc w:val="center"/>
            </w:pPr>
            <w:r>
              <w:t>0.09</w:t>
            </w:r>
          </w:p>
        </w:tc>
      </w:tr>
      <w:tr w:rsidR="004D1A15" w14:paraId="1DDBDDD8" w14:textId="77777777" w:rsidTr="005C0567">
        <w:tc>
          <w:tcPr>
            <w:tcW w:w="0" w:type="auto"/>
            <w:vAlign w:val="center"/>
          </w:tcPr>
          <w:p w14:paraId="45716BFE" w14:textId="77777777" w:rsidR="004D1A15" w:rsidRDefault="004D1A15" w:rsidP="005C0567">
            <w:r>
              <w:t>&lt;$25K</w:t>
            </w:r>
          </w:p>
        </w:tc>
        <w:tc>
          <w:tcPr>
            <w:tcW w:w="2088" w:type="dxa"/>
            <w:vAlign w:val="center"/>
          </w:tcPr>
          <w:p w14:paraId="2B48D600" w14:textId="77777777" w:rsidR="004D1A15" w:rsidRDefault="004D1A15" w:rsidP="005C0567">
            <w:pPr>
              <w:jc w:val="center"/>
            </w:pPr>
            <w:r>
              <w:t>74 (15.4)</w:t>
            </w:r>
          </w:p>
        </w:tc>
        <w:tc>
          <w:tcPr>
            <w:tcW w:w="1955" w:type="dxa"/>
            <w:vAlign w:val="center"/>
          </w:tcPr>
          <w:p w14:paraId="244698F7" w14:textId="77777777" w:rsidR="004D1A15" w:rsidRDefault="004D1A15" w:rsidP="005C0567">
            <w:pPr>
              <w:jc w:val="center"/>
            </w:pPr>
            <w:r>
              <w:t>30 (14.1)</w:t>
            </w:r>
          </w:p>
        </w:tc>
        <w:tc>
          <w:tcPr>
            <w:tcW w:w="0" w:type="auto"/>
            <w:vAlign w:val="center"/>
          </w:tcPr>
          <w:p w14:paraId="436702D6" w14:textId="77777777" w:rsidR="004D1A15" w:rsidRDefault="004D1A15" w:rsidP="005C0567">
            <w:pPr>
              <w:jc w:val="center"/>
            </w:pPr>
          </w:p>
        </w:tc>
        <w:tc>
          <w:tcPr>
            <w:tcW w:w="0" w:type="auto"/>
            <w:vAlign w:val="center"/>
          </w:tcPr>
          <w:p w14:paraId="61E4B40A" w14:textId="77777777" w:rsidR="004D1A15" w:rsidRDefault="004D1A15" w:rsidP="005C0567">
            <w:pPr>
              <w:jc w:val="center"/>
            </w:pPr>
          </w:p>
        </w:tc>
      </w:tr>
      <w:tr w:rsidR="004D1A15" w14:paraId="2F1EFBA9" w14:textId="77777777" w:rsidTr="005C0567">
        <w:tc>
          <w:tcPr>
            <w:tcW w:w="0" w:type="auto"/>
            <w:vAlign w:val="center"/>
          </w:tcPr>
          <w:p w14:paraId="16DA64C3" w14:textId="77777777" w:rsidR="004D1A15" w:rsidRDefault="004D1A15" w:rsidP="005C0567">
            <w:r>
              <w:t>$25K-$149K</w:t>
            </w:r>
          </w:p>
        </w:tc>
        <w:tc>
          <w:tcPr>
            <w:tcW w:w="2088" w:type="dxa"/>
            <w:vAlign w:val="center"/>
          </w:tcPr>
          <w:p w14:paraId="535856A5" w14:textId="77777777" w:rsidR="004D1A15" w:rsidRDefault="004D1A15" w:rsidP="005C0567">
            <w:pPr>
              <w:jc w:val="center"/>
            </w:pPr>
            <w:r>
              <w:t>75 (15.6)</w:t>
            </w:r>
          </w:p>
        </w:tc>
        <w:tc>
          <w:tcPr>
            <w:tcW w:w="1955" w:type="dxa"/>
            <w:vAlign w:val="center"/>
          </w:tcPr>
          <w:p w14:paraId="7F00CE8E" w14:textId="77777777" w:rsidR="004D1A15" w:rsidRDefault="004D1A15" w:rsidP="005C0567">
            <w:pPr>
              <w:jc w:val="center"/>
            </w:pPr>
            <w:r>
              <w:t>36 (17.0)</w:t>
            </w:r>
          </w:p>
        </w:tc>
        <w:tc>
          <w:tcPr>
            <w:tcW w:w="0" w:type="auto"/>
            <w:vAlign w:val="center"/>
          </w:tcPr>
          <w:p w14:paraId="5D011CE3" w14:textId="77777777" w:rsidR="004D1A15" w:rsidRDefault="004D1A15" w:rsidP="005C0567">
            <w:pPr>
              <w:jc w:val="center"/>
            </w:pPr>
          </w:p>
        </w:tc>
        <w:tc>
          <w:tcPr>
            <w:tcW w:w="0" w:type="auto"/>
            <w:vAlign w:val="center"/>
          </w:tcPr>
          <w:p w14:paraId="0EBE21AF" w14:textId="77777777" w:rsidR="004D1A15" w:rsidRDefault="004D1A15" w:rsidP="005C0567">
            <w:pPr>
              <w:jc w:val="center"/>
            </w:pPr>
          </w:p>
        </w:tc>
      </w:tr>
      <w:tr w:rsidR="004D1A15" w14:paraId="54D5978E" w14:textId="77777777" w:rsidTr="005C0567">
        <w:tc>
          <w:tcPr>
            <w:tcW w:w="0" w:type="auto"/>
            <w:vAlign w:val="center"/>
          </w:tcPr>
          <w:p w14:paraId="52A94801" w14:textId="77777777" w:rsidR="004D1A15" w:rsidRDefault="004D1A15" w:rsidP="005C0567">
            <w:r>
              <w:t>$150K-$249K</w:t>
            </w:r>
          </w:p>
        </w:tc>
        <w:tc>
          <w:tcPr>
            <w:tcW w:w="2088" w:type="dxa"/>
            <w:vAlign w:val="center"/>
          </w:tcPr>
          <w:p w14:paraId="433C1E63" w14:textId="77777777" w:rsidR="004D1A15" w:rsidRDefault="004D1A15" w:rsidP="005C0567">
            <w:pPr>
              <w:jc w:val="center"/>
            </w:pPr>
            <w:r>
              <w:t>46 (9.6)</w:t>
            </w:r>
          </w:p>
        </w:tc>
        <w:tc>
          <w:tcPr>
            <w:tcW w:w="1955" w:type="dxa"/>
            <w:vAlign w:val="center"/>
          </w:tcPr>
          <w:p w14:paraId="74669580" w14:textId="77777777" w:rsidR="004D1A15" w:rsidRDefault="004D1A15" w:rsidP="005C0567">
            <w:pPr>
              <w:jc w:val="center"/>
            </w:pPr>
            <w:r>
              <w:t>21 (9.9)</w:t>
            </w:r>
          </w:p>
        </w:tc>
        <w:tc>
          <w:tcPr>
            <w:tcW w:w="0" w:type="auto"/>
            <w:vAlign w:val="center"/>
          </w:tcPr>
          <w:p w14:paraId="1E825207" w14:textId="77777777" w:rsidR="004D1A15" w:rsidRDefault="004D1A15" w:rsidP="005C0567">
            <w:pPr>
              <w:jc w:val="center"/>
            </w:pPr>
          </w:p>
        </w:tc>
        <w:tc>
          <w:tcPr>
            <w:tcW w:w="0" w:type="auto"/>
            <w:vAlign w:val="center"/>
          </w:tcPr>
          <w:p w14:paraId="08919A35" w14:textId="77777777" w:rsidR="004D1A15" w:rsidRDefault="004D1A15" w:rsidP="005C0567">
            <w:pPr>
              <w:jc w:val="center"/>
            </w:pPr>
          </w:p>
        </w:tc>
      </w:tr>
      <w:tr w:rsidR="004D1A15" w14:paraId="0A786791" w14:textId="77777777" w:rsidTr="005C0567">
        <w:tc>
          <w:tcPr>
            <w:tcW w:w="0" w:type="auto"/>
            <w:vAlign w:val="center"/>
          </w:tcPr>
          <w:p w14:paraId="2123F42F" w14:textId="77777777" w:rsidR="004D1A15" w:rsidRDefault="004D1A15" w:rsidP="005C0567">
            <w:r>
              <w:t>$250K-$499K</w:t>
            </w:r>
          </w:p>
        </w:tc>
        <w:tc>
          <w:tcPr>
            <w:tcW w:w="2088" w:type="dxa"/>
            <w:vAlign w:val="center"/>
          </w:tcPr>
          <w:p w14:paraId="7B5B817E" w14:textId="77777777" w:rsidR="004D1A15" w:rsidRDefault="004D1A15" w:rsidP="005C0567">
            <w:pPr>
              <w:jc w:val="center"/>
            </w:pPr>
            <w:r>
              <w:t>72 (15.0)</w:t>
            </w:r>
          </w:p>
        </w:tc>
        <w:tc>
          <w:tcPr>
            <w:tcW w:w="1955" w:type="dxa"/>
            <w:vAlign w:val="center"/>
          </w:tcPr>
          <w:p w14:paraId="0083B77D" w14:textId="77777777" w:rsidR="004D1A15" w:rsidRDefault="004D1A15" w:rsidP="005C0567">
            <w:pPr>
              <w:jc w:val="center"/>
            </w:pPr>
            <w:r>
              <w:t>32 (15.1)</w:t>
            </w:r>
          </w:p>
        </w:tc>
        <w:tc>
          <w:tcPr>
            <w:tcW w:w="0" w:type="auto"/>
            <w:vAlign w:val="center"/>
          </w:tcPr>
          <w:p w14:paraId="5822DB80" w14:textId="77777777" w:rsidR="004D1A15" w:rsidRDefault="004D1A15" w:rsidP="005C0567">
            <w:pPr>
              <w:jc w:val="center"/>
            </w:pPr>
          </w:p>
        </w:tc>
        <w:tc>
          <w:tcPr>
            <w:tcW w:w="0" w:type="auto"/>
            <w:vAlign w:val="center"/>
          </w:tcPr>
          <w:p w14:paraId="4C4B93F8" w14:textId="77777777" w:rsidR="004D1A15" w:rsidRDefault="004D1A15" w:rsidP="005C0567">
            <w:pPr>
              <w:jc w:val="center"/>
            </w:pPr>
          </w:p>
        </w:tc>
      </w:tr>
      <w:tr w:rsidR="004D1A15" w14:paraId="67FCE2A2" w14:textId="77777777" w:rsidTr="005C0567">
        <w:tc>
          <w:tcPr>
            <w:tcW w:w="0" w:type="auto"/>
            <w:vAlign w:val="center"/>
          </w:tcPr>
          <w:p w14:paraId="4829CA51" w14:textId="77777777" w:rsidR="004D1A15" w:rsidRDefault="004D1A15" w:rsidP="005C0567">
            <w:r>
              <w:lastRenderedPageBreak/>
              <w:t>$500K+</w:t>
            </w:r>
          </w:p>
        </w:tc>
        <w:tc>
          <w:tcPr>
            <w:tcW w:w="2088" w:type="dxa"/>
            <w:vAlign w:val="center"/>
          </w:tcPr>
          <w:p w14:paraId="06435873" w14:textId="77777777" w:rsidR="004D1A15" w:rsidRDefault="004D1A15" w:rsidP="005C0567">
            <w:pPr>
              <w:jc w:val="center"/>
            </w:pPr>
            <w:r>
              <w:t>138 (28.8)</w:t>
            </w:r>
          </w:p>
        </w:tc>
        <w:tc>
          <w:tcPr>
            <w:tcW w:w="1955" w:type="dxa"/>
            <w:vAlign w:val="center"/>
          </w:tcPr>
          <w:p w14:paraId="60A4F124" w14:textId="77777777" w:rsidR="004D1A15" w:rsidRDefault="004D1A15" w:rsidP="005C0567">
            <w:pPr>
              <w:jc w:val="center"/>
            </w:pPr>
            <w:r>
              <w:t>58 (27.4)</w:t>
            </w:r>
          </w:p>
        </w:tc>
        <w:tc>
          <w:tcPr>
            <w:tcW w:w="0" w:type="auto"/>
            <w:vAlign w:val="center"/>
          </w:tcPr>
          <w:p w14:paraId="32C3E937" w14:textId="77777777" w:rsidR="004D1A15" w:rsidRDefault="004D1A15" w:rsidP="005C0567">
            <w:pPr>
              <w:jc w:val="center"/>
            </w:pPr>
          </w:p>
        </w:tc>
        <w:tc>
          <w:tcPr>
            <w:tcW w:w="0" w:type="auto"/>
            <w:vAlign w:val="center"/>
          </w:tcPr>
          <w:p w14:paraId="20D6B57B" w14:textId="77777777" w:rsidR="004D1A15" w:rsidRDefault="004D1A15" w:rsidP="005C0567">
            <w:pPr>
              <w:jc w:val="center"/>
            </w:pPr>
          </w:p>
        </w:tc>
      </w:tr>
      <w:tr w:rsidR="004D1A15" w14:paraId="13B43057" w14:textId="77777777" w:rsidTr="005C0567">
        <w:tc>
          <w:tcPr>
            <w:tcW w:w="0" w:type="auto"/>
            <w:vAlign w:val="center"/>
          </w:tcPr>
          <w:p w14:paraId="6B8F4E78" w14:textId="77777777" w:rsidR="004D1A15" w:rsidRDefault="004D1A15" w:rsidP="005C0567">
            <w:r>
              <w:t>Unknown</w:t>
            </w:r>
          </w:p>
        </w:tc>
        <w:tc>
          <w:tcPr>
            <w:tcW w:w="2088" w:type="dxa"/>
            <w:vAlign w:val="center"/>
          </w:tcPr>
          <w:p w14:paraId="73C247D4" w14:textId="77777777" w:rsidR="004D1A15" w:rsidRDefault="004D1A15" w:rsidP="005C0567">
            <w:pPr>
              <w:jc w:val="center"/>
            </w:pPr>
            <w:r>
              <w:t>75 (15.6)</w:t>
            </w:r>
          </w:p>
        </w:tc>
        <w:tc>
          <w:tcPr>
            <w:tcW w:w="1955" w:type="dxa"/>
            <w:vAlign w:val="center"/>
          </w:tcPr>
          <w:p w14:paraId="7F4A8221" w14:textId="77777777" w:rsidR="004D1A15" w:rsidRDefault="004D1A15" w:rsidP="005C0567">
            <w:pPr>
              <w:jc w:val="center"/>
            </w:pPr>
            <w:r>
              <w:t>35 (16.5)</w:t>
            </w:r>
          </w:p>
        </w:tc>
        <w:tc>
          <w:tcPr>
            <w:tcW w:w="0" w:type="auto"/>
            <w:vAlign w:val="center"/>
          </w:tcPr>
          <w:p w14:paraId="686F1E67" w14:textId="77777777" w:rsidR="004D1A15" w:rsidRDefault="004D1A15" w:rsidP="005C0567">
            <w:pPr>
              <w:jc w:val="center"/>
            </w:pPr>
          </w:p>
        </w:tc>
        <w:tc>
          <w:tcPr>
            <w:tcW w:w="0" w:type="auto"/>
            <w:vAlign w:val="center"/>
          </w:tcPr>
          <w:p w14:paraId="09EE3D59" w14:textId="77777777" w:rsidR="004D1A15" w:rsidRDefault="004D1A15" w:rsidP="005C0567">
            <w:pPr>
              <w:jc w:val="center"/>
            </w:pPr>
          </w:p>
        </w:tc>
      </w:tr>
      <w:tr w:rsidR="004D1A15" w14:paraId="3C0365CC" w14:textId="77777777" w:rsidTr="005C0567">
        <w:tc>
          <w:tcPr>
            <w:tcW w:w="0" w:type="auto"/>
            <w:vAlign w:val="center"/>
          </w:tcPr>
          <w:p w14:paraId="02AF2525" w14:textId="77777777" w:rsidR="004D1A15" w:rsidRDefault="004D1A15" w:rsidP="005C0567"/>
        </w:tc>
        <w:tc>
          <w:tcPr>
            <w:tcW w:w="2088" w:type="dxa"/>
            <w:vAlign w:val="center"/>
          </w:tcPr>
          <w:p w14:paraId="14309E03" w14:textId="77777777" w:rsidR="004D1A15" w:rsidRDefault="004D1A15" w:rsidP="005C0567">
            <w:pPr>
              <w:jc w:val="center"/>
            </w:pPr>
          </w:p>
        </w:tc>
        <w:tc>
          <w:tcPr>
            <w:tcW w:w="1955" w:type="dxa"/>
            <w:vAlign w:val="center"/>
          </w:tcPr>
          <w:p w14:paraId="282A9AF5" w14:textId="77777777" w:rsidR="004D1A15" w:rsidRDefault="004D1A15" w:rsidP="005C0567">
            <w:pPr>
              <w:jc w:val="center"/>
            </w:pPr>
          </w:p>
        </w:tc>
        <w:tc>
          <w:tcPr>
            <w:tcW w:w="0" w:type="auto"/>
            <w:vAlign w:val="center"/>
          </w:tcPr>
          <w:p w14:paraId="05876686" w14:textId="77777777" w:rsidR="004D1A15" w:rsidRDefault="004D1A15" w:rsidP="005C0567">
            <w:pPr>
              <w:jc w:val="center"/>
            </w:pPr>
          </w:p>
        </w:tc>
        <w:tc>
          <w:tcPr>
            <w:tcW w:w="0" w:type="auto"/>
            <w:vAlign w:val="center"/>
          </w:tcPr>
          <w:p w14:paraId="3674DB07" w14:textId="77777777" w:rsidR="004D1A15" w:rsidRDefault="004D1A15" w:rsidP="005C0567">
            <w:pPr>
              <w:jc w:val="center"/>
            </w:pPr>
          </w:p>
        </w:tc>
      </w:tr>
      <w:tr w:rsidR="004D1A15" w14:paraId="6A96FEB0" w14:textId="77777777" w:rsidTr="005C0567">
        <w:tc>
          <w:tcPr>
            <w:tcW w:w="0" w:type="auto"/>
            <w:shd w:val="clear" w:color="auto" w:fill="D9D9D9" w:themeFill="background1" w:themeFillShade="D9"/>
            <w:tcMar>
              <w:left w:w="29" w:type="dxa"/>
              <w:right w:w="115" w:type="dxa"/>
            </w:tcMar>
            <w:vAlign w:val="center"/>
          </w:tcPr>
          <w:p w14:paraId="69651D2C" w14:textId="77777777" w:rsidR="004D1A15" w:rsidRPr="00BC7185" w:rsidRDefault="004D1A15" w:rsidP="005C0567">
            <w:pPr>
              <w:rPr>
                <w:b/>
                <w:bCs/>
              </w:rPr>
            </w:pPr>
            <w:r>
              <w:rPr>
                <w:b/>
                <w:bCs/>
              </w:rPr>
              <w:t>Cancer</w:t>
            </w:r>
            <w:r w:rsidRPr="00BC7185">
              <w:rPr>
                <w:b/>
                <w:bCs/>
              </w:rPr>
              <w:t xml:space="preserve"> </w:t>
            </w:r>
            <w:r>
              <w:rPr>
                <w:b/>
                <w:bCs/>
              </w:rPr>
              <w:t>c</w:t>
            </w:r>
            <w:r w:rsidRPr="00BC7185">
              <w:rPr>
                <w:b/>
                <w:bCs/>
              </w:rPr>
              <w:t>omplications</w:t>
            </w:r>
            <w:r>
              <w:rPr>
                <w:b/>
                <w:bCs/>
              </w:rPr>
              <w:t>, present in baseline period</w:t>
            </w:r>
          </w:p>
        </w:tc>
        <w:tc>
          <w:tcPr>
            <w:tcW w:w="2088" w:type="dxa"/>
            <w:shd w:val="clear" w:color="auto" w:fill="D9D9D9" w:themeFill="background1" w:themeFillShade="D9"/>
            <w:vAlign w:val="center"/>
          </w:tcPr>
          <w:p w14:paraId="671D078F" w14:textId="77777777" w:rsidR="004D1A15" w:rsidRPr="00BC7185" w:rsidRDefault="004D1A15" w:rsidP="005C0567">
            <w:pPr>
              <w:jc w:val="center"/>
              <w:rPr>
                <w:b/>
                <w:bCs/>
              </w:rPr>
            </w:pPr>
          </w:p>
        </w:tc>
        <w:tc>
          <w:tcPr>
            <w:tcW w:w="1955" w:type="dxa"/>
            <w:shd w:val="clear" w:color="auto" w:fill="D9D9D9" w:themeFill="background1" w:themeFillShade="D9"/>
            <w:vAlign w:val="center"/>
          </w:tcPr>
          <w:p w14:paraId="5FB7EC56" w14:textId="77777777" w:rsidR="004D1A15" w:rsidRPr="00BC7185" w:rsidRDefault="004D1A15" w:rsidP="005C0567">
            <w:pPr>
              <w:jc w:val="center"/>
              <w:rPr>
                <w:b/>
                <w:bCs/>
              </w:rPr>
            </w:pPr>
          </w:p>
        </w:tc>
        <w:tc>
          <w:tcPr>
            <w:tcW w:w="0" w:type="auto"/>
            <w:shd w:val="clear" w:color="auto" w:fill="D9D9D9" w:themeFill="background1" w:themeFillShade="D9"/>
            <w:vAlign w:val="center"/>
          </w:tcPr>
          <w:p w14:paraId="2DF294F5" w14:textId="77777777" w:rsidR="004D1A15" w:rsidRPr="00BC7185" w:rsidRDefault="004D1A15" w:rsidP="005C0567">
            <w:pPr>
              <w:jc w:val="center"/>
              <w:rPr>
                <w:b/>
                <w:bCs/>
              </w:rPr>
            </w:pPr>
          </w:p>
        </w:tc>
        <w:tc>
          <w:tcPr>
            <w:tcW w:w="0" w:type="auto"/>
            <w:shd w:val="clear" w:color="auto" w:fill="D9D9D9" w:themeFill="background1" w:themeFillShade="D9"/>
            <w:vAlign w:val="center"/>
          </w:tcPr>
          <w:p w14:paraId="4E493C31" w14:textId="77777777" w:rsidR="004D1A15" w:rsidRPr="00BC7185" w:rsidRDefault="004D1A15" w:rsidP="005C0567">
            <w:pPr>
              <w:jc w:val="center"/>
              <w:rPr>
                <w:b/>
                <w:bCs/>
              </w:rPr>
            </w:pPr>
          </w:p>
        </w:tc>
      </w:tr>
      <w:tr w:rsidR="004D1A15" w14:paraId="508A6334" w14:textId="77777777" w:rsidTr="005C0567">
        <w:tc>
          <w:tcPr>
            <w:tcW w:w="0" w:type="auto"/>
            <w:tcMar>
              <w:left w:w="29" w:type="dxa"/>
              <w:right w:w="115" w:type="dxa"/>
            </w:tcMar>
            <w:vAlign w:val="center"/>
          </w:tcPr>
          <w:p w14:paraId="3DB58C71" w14:textId="77777777" w:rsidR="004D1A15" w:rsidRPr="009B05F6" w:rsidRDefault="004D1A15" w:rsidP="005C0567">
            <w:pPr>
              <w:rPr>
                <w:bCs/>
              </w:rPr>
            </w:pPr>
            <w:r w:rsidRPr="009B05F6">
              <w:rPr>
                <w:bCs/>
              </w:rPr>
              <w:t>Thrombocytopenia</w:t>
            </w:r>
          </w:p>
        </w:tc>
        <w:tc>
          <w:tcPr>
            <w:tcW w:w="2088" w:type="dxa"/>
            <w:vAlign w:val="center"/>
          </w:tcPr>
          <w:p w14:paraId="78D9911B" w14:textId="77777777" w:rsidR="004D1A15" w:rsidRDefault="004D1A15" w:rsidP="005C0567">
            <w:pPr>
              <w:jc w:val="center"/>
            </w:pPr>
            <w:r>
              <w:t>149 (31.0)</w:t>
            </w:r>
          </w:p>
        </w:tc>
        <w:tc>
          <w:tcPr>
            <w:tcW w:w="1955" w:type="dxa"/>
            <w:vAlign w:val="center"/>
          </w:tcPr>
          <w:p w14:paraId="4DA0B2A4" w14:textId="77777777" w:rsidR="004D1A15" w:rsidRDefault="004D1A15" w:rsidP="005C0567">
            <w:pPr>
              <w:jc w:val="center"/>
            </w:pPr>
            <w:r>
              <w:t>52 (24.5)</w:t>
            </w:r>
          </w:p>
        </w:tc>
        <w:tc>
          <w:tcPr>
            <w:tcW w:w="0" w:type="auto"/>
            <w:vAlign w:val="center"/>
          </w:tcPr>
          <w:p w14:paraId="28F224E8" w14:textId="77777777" w:rsidR="004D1A15" w:rsidRDefault="004D1A15" w:rsidP="005C0567">
            <w:pPr>
              <w:jc w:val="center"/>
            </w:pPr>
            <w:r>
              <w:t>0.15</w:t>
            </w:r>
          </w:p>
        </w:tc>
        <w:tc>
          <w:tcPr>
            <w:tcW w:w="0" w:type="auto"/>
            <w:vAlign w:val="center"/>
          </w:tcPr>
          <w:p w14:paraId="6C7E9E43" w14:textId="77777777" w:rsidR="004D1A15" w:rsidRDefault="004D1A15" w:rsidP="005C0567">
            <w:pPr>
              <w:jc w:val="center"/>
            </w:pPr>
            <w:r>
              <w:t>0.02</w:t>
            </w:r>
          </w:p>
        </w:tc>
      </w:tr>
      <w:tr w:rsidR="004D1A15" w14:paraId="74FE5CF9" w14:textId="77777777" w:rsidTr="005C0567">
        <w:tc>
          <w:tcPr>
            <w:tcW w:w="0" w:type="auto"/>
            <w:tcMar>
              <w:left w:w="29" w:type="dxa"/>
              <w:right w:w="115" w:type="dxa"/>
            </w:tcMar>
            <w:vAlign w:val="center"/>
          </w:tcPr>
          <w:p w14:paraId="680CAD43" w14:textId="77777777" w:rsidR="004D1A15" w:rsidRPr="009B05F6" w:rsidRDefault="004D1A15" w:rsidP="005C0567">
            <w:pPr>
              <w:rPr>
                <w:bCs/>
              </w:rPr>
            </w:pPr>
            <w:r w:rsidRPr="009B05F6">
              <w:rPr>
                <w:bCs/>
              </w:rPr>
              <w:t>Lymphadenopathy</w:t>
            </w:r>
          </w:p>
        </w:tc>
        <w:tc>
          <w:tcPr>
            <w:tcW w:w="2088" w:type="dxa"/>
            <w:vAlign w:val="center"/>
          </w:tcPr>
          <w:p w14:paraId="495FC858" w14:textId="77777777" w:rsidR="004D1A15" w:rsidRDefault="004D1A15" w:rsidP="005C0567">
            <w:pPr>
              <w:jc w:val="center"/>
            </w:pPr>
            <w:r>
              <w:t>151 (31.5)</w:t>
            </w:r>
          </w:p>
        </w:tc>
        <w:tc>
          <w:tcPr>
            <w:tcW w:w="1955" w:type="dxa"/>
            <w:vAlign w:val="center"/>
          </w:tcPr>
          <w:p w14:paraId="7A95AC1C" w14:textId="77777777" w:rsidR="004D1A15" w:rsidRDefault="004D1A15" w:rsidP="005C0567">
            <w:pPr>
              <w:jc w:val="center"/>
            </w:pPr>
            <w:r>
              <w:t>118 (55.7)</w:t>
            </w:r>
          </w:p>
        </w:tc>
        <w:tc>
          <w:tcPr>
            <w:tcW w:w="0" w:type="auto"/>
            <w:vAlign w:val="center"/>
          </w:tcPr>
          <w:p w14:paraId="5AF8ADB3" w14:textId="77777777" w:rsidR="004D1A15" w:rsidRDefault="004D1A15" w:rsidP="005C0567">
            <w:pPr>
              <w:jc w:val="center"/>
            </w:pPr>
            <w:r>
              <w:t>0.50</w:t>
            </w:r>
          </w:p>
        </w:tc>
        <w:tc>
          <w:tcPr>
            <w:tcW w:w="0" w:type="auto"/>
            <w:vAlign w:val="center"/>
          </w:tcPr>
          <w:p w14:paraId="112C8BDD" w14:textId="77777777" w:rsidR="004D1A15" w:rsidRDefault="004D1A15" w:rsidP="005C0567">
            <w:pPr>
              <w:jc w:val="center"/>
            </w:pPr>
            <w:r>
              <w:t>0.01</w:t>
            </w:r>
          </w:p>
        </w:tc>
      </w:tr>
      <w:tr w:rsidR="004D1A15" w14:paraId="786D8BD5" w14:textId="77777777" w:rsidTr="005C0567">
        <w:tc>
          <w:tcPr>
            <w:tcW w:w="0" w:type="auto"/>
            <w:tcMar>
              <w:left w:w="29" w:type="dxa"/>
              <w:right w:w="115" w:type="dxa"/>
            </w:tcMar>
            <w:vAlign w:val="center"/>
          </w:tcPr>
          <w:p w14:paraId="5D41A56E" w14:textId="77777777" w:rsidR="004D1A15" w:rsidRPr="009B05F6" w:rsidRDefault="004D1A15" w:rsidP="005C0567">
            <w:pPr>
              <w:rPr>
                <w:bCs/>
              </w:rPr>
            </w:pPr>
            <w:r w:rsidRPr="009B05F6">
              <w:rPr>
                <w:bCs/>
              </w:rPr>
              <w:t>Splenomegaly</w:t>
            </w:r>
          </w:p>
        </w:tc>
        <w:tc>
          <w:tcPr>
            <w:tcW w:w="2088" w:type="dxa"/>
            <w:vAlign w:val="center"/>
          </w:tcPr>
          <w:p w14:paraId="3A74593C" w14:textId="77777777" w:rsidR="004D1A15" w:rsidRDefault="004D1A15" w:rsidP="005C0567">
            <w:pPr>
              <w:jc w:val="center"/>
            </w:pPr>
            <w:r>
              <w:t>58 (12.1)</w:t>
            </w:r>
          </w:p>
        </w:tc>
        <w:tc>
          <w:tcPr>
            <w:tcW w:w="1955" w:type="dxa"/>
            <w:vAlign w:val="center"/>
          </w:tcPr>
          <w:p w14:paraId="1C901855" w14:textId="77777777" w:rsidR="004D1A15" w:rsidRDefault="004D1A15" w:rsidP="005C0567">
            <w:pPr>
              <w:jc w:val="center"/>
            </w:pPr>
            <w:r>
              <w:t>52 (24.5)</w:t>
            </w:r>
          </w:p>
        </w:tc>
        <w:tc>
          <w:tcPr>
            <w:tcW w:w="0" w:type="auto"/>
            <w:vAlign w:val="center"/>
          </w:tcPr>
          <w:p w14:paraId="5F023DEF" w14:textId="77777777" w:rsidR="004D1A15" w:rsidRDefault="004D1A15" w:rsidP="005C0567">
            <w:pPr>
              <w:jc w:val="center"/>
            </w:pPr>
            <w:r>
              <w:t>0.33</w:t>
            </w:r>
          </w:p>
        </w:tc>
        <w:tc>
          <w:tcPr>
            <w:tcW w:w="0" w:type="auto"/>
            <w:vAlign w:val="center"/>
          </w:tcPr>
          <w:p w14:paraId="740ED77B" w14:textId="77777777" w:rsidR="004D1A15" w:rsidRDefault="004D1A15" w:rsidP="005C0567">
            <w:pPr>
              <w:jc w:val="center"/>
            </w:pPr>
            <w:r>
              <w:t>0.01</w:t>
            </w:r>
          </w:p>
        </w:tc>
      </w:tr>
      <w:tr w:rsidR="004D1A15" w14:paraId="449F8DB4" w14:textId="77777777" w:rsidTr="005C0567">
        <w:tc>
          <w:tcPr>
            <w:tcW w:w="0" w:type="auto"/>
            <w:tcMar>
              <w:left w:w="29" w:type="dxa"/>
              <w:right w:w="115" w:type="dxa"/>
            </w:tcMar>
            <w:vAlign w:val="center"/>
          </w:tcPr>
          <w:p w14:paraId="1D9A57DA" w14:textId="77777777" w:rsidR="004D1A15" w:rsidRPr="00705776" w:rsidRDefault="004D1A15" w:rsidP="005C0567">
            <w:pPr>
              <w:rPr>
                <w:b/>
              </w:rPr>
            </w:pPr>
          </w:p>
        </w:tc>
        <w:tc>
          <w:tcPr>
            <w:tcW w:w="2088" w:type="dxa"/>
            <w:vAlign w:val="center"/>
          </w:tcPr>
          <w:p w14:paraId="45290835" w14:textId="77777777" w:rsidR="004D1A15" w:rsidRDefault="004D1A15" w:rsidP="005C0567">
            <w:pPr>
              <w:jc w:val="center"/>
            </w:pPr>
          </w:p>
        </w:tc>
        <w:tc>
          <w:tcPr>
            <w:tcW w:w="1955" w:type="dxa"/>
            <w:vAlign w:val="center"/>
          </w:tcPr>
          <w:p w14:paraId="522CB411" w14:textId="77777777" w:rsidR="004D1A15" w:rsidRDefault="004D1A15" w:rsidP="005C0567">
            <w:pPr>
              <w:jc w:val="center"/>
            </w:pPr>
          </w:p>
        </w:tc>
        <w:tc>
          <w:tcPr>
            <w:tcW w:w="0" w:type="auto"/>
            <w:vAlign w:val="center"/>
          </w:tcPr>
          <w:p w14:paraId="1804CFB6" w14:textId="77777777" w:rsidR="004D1A15" w:rsidRDefault="004D1A15" w:rsidP="005C0567">
            <w:pPr>
              <w:jc w:val="center"/>
            </w:pPr>
          </w:p>
        </w:tc>
        <w:tc>
          <w:tcPr>
            <w:tcW w:w="0" w:type="auto"/>
            <w:vAlign w:val="center"/>
          </w:tcPr>
          <w:p w14:paraId="0BA1434D" w14:textId="77777777" w:rsidR="004D1A15" w:rsidRDefault="004D1A15" w:rsidP="005C0567">
            <w:pPr>
              <w:jc w:val="center"/>
            </w:pPr>
          </w:p>
        </w:tc>
      </w:tr>
      <w:tr w:rsidR="004D1A15" w14:paraId="067C4973" w14:textId="77777777" w:rsidTr="005C0567">
        <w:tc>
          <w:tcPr>
            <w:tcW w:w="0" w:type="auto"/>
            <w:shd w:val="clear" w:color="auto" w:fill="D9D9D9" w:themeFill="background1" w:themeFillShade="D9"/>
            <w:tcMar>
              <w:left w:w="29" w:type="dxa"/>
              <w:right w:w="115" w:type="dxa"/>
            </w:tcMar>
            <w:vAlign w:val="center"/>
          </w:tcPr>
          <w:p w14:paraId="380C1D17" w14:textId="77777777" w:rsidR="004D1A15" w:rsidRPr="00705776" w:rsidRDefault="004D1A15" w:rsidP="005C0567">
            <w:pPr>
              <w:rPr>
                <w:b/>
              </w:rPr>
            </w:pPr>
            <w:r>
              <w:rPr>
                <w:b/>
              </w:rPr>
              <w:t>Medical conditions, present in baseline period</w:t>
            </w:r>
          </w:p>
        </w:tc>
        <w:tc>
          <w:tcPr>
            <w:tcW w:w="2088" w:type="dxa"/>
            <w:shd w:val="clear" w:color="auto" w:fill="D9D9D9" w:themeFill="background1" w:themeFillShade="D9"/>
            <w:vAlign w:val="center"/>
          </w:tcPr>
          <w:p w14:paraId="43C4C802" w14:textId="77777777" w:rsidR="004D1A15" w:rsidRDefault="004D1A15" w:rsidP="005C0567">
            <w:pPr>
              <w:jc w:val="center"/>
            </w:pPr>
          </w:p>
        </w:tc>
        <w:tc>
          <w:tcPr>
            <w:tcW w:w="1955" w:type="dxa"/>
            <w:shd w:val="clear" w:color="auto" w:fill="D9D9D9" w:themeFill="background1" w:themeFillShade="D9"/>
            <w:vAlign w:val="center"/>
          </w:tcPr>
          <w:p w14:paraId="6F39C798" w14:textId="77777777" w:rsidR="004D1A15" w:rsidRDefault="004D1A15" w:rsidP="005C0567">
            <w:pPr>
              <w:jc w:val="center"/>
            </w:pPr>
          </w:p>
        </w:tc>
        <w:tc>
          <w:tcPr>
            <w:tcW w:w="0" w:type="auto"/>
            <w:shd w:val="clear" w:color="auto" w:fill="D9D9D9" w:themeFill="background1" w:themeFillShade="D9"/>
            <w:vAlign w:val="center"/>
          </w:tcPr>
          <w:p w14:paraId="16AB0E61" w14:textId="77777777" w:rsidR="004D1A15" w:rsidRDefault="004D1A15" w:rsidP="005C0567">
            <w:pPr>
              <w:jc w:val="center"/>
            </w:pPr>
          </w:p>
        </w:tc>
        <w:tc>
          <w:tcPr>
            <w:tcW w:w="0" w:type="auto"/>
            <w:shd w:val="clear" w:color="auto" w:fill="D9D9D9" w:themeFill="background1" w:themeFillShade="D9"/>
            <w:vAlign w:val="center"/>
          </w:tcPr>
          <w:p w14:paraId="3B5351F7" w14:textId="77777777" w:rsidR="004D1A15" w:rsidRDefault="004D1A15" w:rsidP="005C0567">
            <w:pPr>
              <w:jc w:val="center"/>
            </w:pPr>
          </w:p>
        </w:tc>
      </w:tr>
      <w:tr w:rsidR="004D1A15" w14:paraId="2A2FAE30" w14:textId="77777777" w:rsidTr="005C0567">
        <w:tc>
          <w:tcPr>
            <w:tcW w:w="0" w:type="auto"/>
            <w:tcMar>
              <w:left w:w="29" w:type="dxa"/>
              <w:right w:w="115" w:type="dxa"/>
            </w:tcMar>
            <w:vAlign w:val="center"/>
          </w:tcPr>
          <w:p w14:paraId="691A76A6" w14:textId="77777777" w:rsidR="004D1A15" w:rsidRPr="009B05F6" w:rsidRDefault="004D1A15" w:rsidP="005C0567">
            <w:pPr>
              <w:rPr>
                <w:bCs/>
              </w:rPr>
            </w:pPr>
            <w:r w:rsidRPr="009B05F6">
              <w:rPr>
                <w:bCs/>
              </w:rPr>
              <w:t>Hypertension</w:t>
            </w:r>
          </w:p>
        </w:tc>
        <w:tc>
          <w:tcPr>
            <w:tcW w:w="2088" w:type="dxa"/>
            <w:vAlign w:val="center"/>
          </w:tcPr>
          <w:p w14:paraId="3746AF26" w14:textId="77777777" w:rsidR="004D1A15" w:rsidRDefault="004D1A15" w:rsidP="005C0567">
            <w:pPr>
              <w:jc w:val="center"/>
            </w:pPr>
            <w:r>
              <w:t>382 (79.6)</w:t>
            </w:r>
          </w:p>
        </w:tc>
        <w:tc>
          <w:tcPr>
            <w:tcW w:w="1955" w:type="dxa"/>
            <w:vAlign w:val="center"/>
          </w:tcPr>
          <w:p w14:paraId="2DBA0D69" w14:textId="77777777" w:rsidR="004D1A15" w:rsidRDefault="004D1A15" w:rsidP="005C0567">
            <w:pPr>
              <w:jc w:val="center"/>
            </w:pPr>
            <w:r>
              <w:t>161 (75.9)</w:t>
            </w:r>
          </w:p>
        </w:tc>
        <w:tc>
          <w:tcPr>
            <w:tcW w:w="0" w:type="auto"/>
            <w:vAlign w:val="center"/>
          </w:tcPr>
          <w:p w14:paraId="55A14F5B" w14:textId="77777777" w:rsidR="004D1A15" w:rsidRDefault="004D1A15" w:rsidP="005C0567">
            <w:pPr>
              <w:jc w:val="center"/>
            </w:pPr>
            <w:r>
              <w:t>0.09</w:t>
            </w:r>
          </w:p>
        </w:tc>
        <w:tc>
          <w:tcPr>
            <w:tcW w:w="0" w:type="auto"/>
            <w:vAlign w:val="center"/>
          </w:tcPr>
          <w:p w14:paraId="286E4A93" w14:textId="77777777" w:rsidR="004D1A15" w:rsidRDefault="004D1A15" w:rsidP="005C0567">
            <w:pPr>
              <w:jc w:val="center"/>
            </w:pPr>
            <w:r>
              <w:t>&lt;0.01</w:t>
            </w:r>
          </w:p>
        </w:tc>
      </w:tr>
      <w:tr w:rsidR="004D1A15" w14:paraId="14FF8A56" w14:textId="77777777" w:rsidTr="005C0567">
        <w:tc>
          <w:tcPr>
            <w:tcW w:w="0" w:type="auto"/>
            <w:tcMar>
              <w:left w:w="29" w:type="dxa"/>
              <w:right w:w="115" w:type="dxa"/>
            </w:tcMar>
            <w:vAlign w:val="center"/>
          </w:tcPr>
          <w:p w14:paraId="023A378A" w14:textId="77777777" w:rsidR="004D1A15" w:rsidRPr="009B05F6" w:rsidRDefault="004D1A15" w:rsidP="005C0567">
            <w:pPr>
              <w:rPr>
                <w:bCs/>
              </w:rPr>
            </w:pPr>
            <w:r w:rsidRPr="009B05F6">
              <w:rPr>
                <w:bCs/>
              </w:rPr>
              <w:t xml:space="preserve">Renal </w:t>
            </w:r>
            <w:r>
              <w:rPr>
                <w:bCs/>
              </w:rPr>
              <w:t>d</w:t>
            </w:r>
            <w:r w:rsidRPr="009B05F6">
              <w:rPr>
                <w:bCs/>
              </w:rPr>
              <w:t>ysfunction</w:t>
            </w:r>
          </w:p>
        </w:tc>
        <w:tc>
          <w:tcPr>
            <w:tcW w:w="2088" w:type="dxa"/>
            <w:vAlign w:val="center"/>
          </w:tcPr>
          <w:p w14:paraId="0E716348" w14:textId="77777777" w:rsidR="004D1A15" w:rsidRDefault="004D1A15" w:rsidP="005C0567">
            <w:pPr>
              <w:jc w:val="center"/>
            </w:pPr>
            <w:r>
              <w:t>164 (34.2)</w:t>
            </w:r>
          </w:p>
        </w:tc>
        <w:tc>
          <w:tcPr>
            <w:tcW w:w="1955" w:type="dxa"/>
            <w:vAlign w:val="center"/>
          </w:tcPr>
          <w:p w14:paraId="2EFA72D6" w14:textId="77777777" w:rsidR="004D1A15" w:rsidRDefault="004D1A15" w:rsidP="005C0567">
            <w:pPr>
              <w:jc w:val="center"/>
            </w:pPr>
            <w:r>
              <w:t>82 (38.7)</w:t>
            </w:r>
          </w:p>
        </w:tc>
        <w:tc>
          <w:tcPr>
            <w:tcW w:w="0" w:type="auto"/>
            <w:vAlign w:val="center"/>
          </w:tcPr>
          <w:p w14:paraId="591456A1" w14:textId="77777777" w:rsidR="004D1A15" w:rsidRDefault="004D1A15" w:rsidP="005C0567">
            <w:pPr>
              <w:jc w:val="center"/>
            </w:pPr>
            <w:r>
              <w:t>0.09</w:t>
            </w:r>
          </w:p>
        </w:tc>
        <w:tc>
          <w:tcPr>
            <w:tcW w:w="0" w:type="auto"/>
            <w:vAlign w:val="center"/>
          </w:tcPr>
          <w:p w14:paraId="7C4C44FD" w14:textId="77777777" w:rsidR="004D1A15" w:rsidRDefault="004D1A15" w:rsidP="005C0567">
            <w:pPr>
              <w:jc w:val="center"/>
            </w:pPr>
            <w:r>
              <w:t>0.04</w:t>
            </w:r>
          </w:p>
        </w:tc>
      </w:tr>
      <w:tr w:rsidR="004D1A15" w14:paraId="05522336" w14:textId="77777777" w:rsidTr="005C0567">
        <w:tc>
          <w:tcPr>
            <w:tcW w:w="0" w:type="auto"/>
            <w:tcMar>
              <w:left w:w="29" w:type="dxa"/>
              <w:right w:w="115" w:type="dxa"/>
            </w:tcMar>
            <w:vAlign w:val="center"/>
          </w:tcPr>
          <w:p w14:paraId="2A6AB26D" w14:textId="77777777" w:rsidR="004D1A15" w:rsidRPr="009B05F6" w:rsidRDefault="004D1A15" w:rsidP="005C0567">
            <w:pPr>
              <w:rPr>
                <w:bCs/>
              </w:rPr>
            </w:pPr>
            <w:r w:rsidRPr="009B05F6">
              <w:rPr>
                <w:bCs/>
              </w:rPr>
              <w:t xml:space="preserve">Liver </w:t>
            </w:r>
            <w:r>
              <w:rPr>
                <w:bCs/>
              </w:rPr>
              <w:t>d</w:t>
            </w:r>
            <w:r w:rsidRPr="009B05F6">
              <w:rPr>
                <w:bCs/>
              </w:rPr>
              <w:t>ysfunction</w:t>
            </w:r>
          </w:p>
        </w:tc>
        <w:tc>
          <w:tcPr>
            <w:tcW w:w="2088" w:type="dxa"/>
            <w:vAlign w:val="center"/>
          </w:tcPr>
          <w:p w14:paraId="5A4BC761" w14:textId="77777777" w:rsidR="004D1A15" w:rsidRDefault="004D1A15" w:rsidP="005C0567">
            <w:pPr>
              <w:jc w:val="center"/>
            </w:pPr>
            <w:r>
              <w:t>78 (16.3)</w:t>
            </w:r>
          </w:p>
        </w:tc>
        <w:tc>
          <w:tcPr>
            <w:tcW w:w="1955" w:type="dxa"/>
            <w:vAlign w:val="center"/>
          </w:tcPr>
          <w:p w14:paraId="282CAE87" w14:textId="77777777" w:rsidR="004D1A15" w:rsidRDefault="004D1A15" w:rsidP="005C0567">
            <w:pPr>
              <w:jc w:val="center"/>
            </w:pPr>
            <w:r>
              <w:t>43 (20.3)</w:t>
            </w:r>
          </w:p>
        </w:tc>
        <w:tc>
          <w:tcPr>
            <w:tcW w:w="0" w:type="auto"/>
            <w:vAlign w:val="center"/>
          </w:tcPr>
          <w:p w14:paraId="55304629" w14:textId="77777777" w:rsidR="004D1A15" w:rsidRDefault="004D1A15" w:rsidP="005C0567">
            <w:pPr>
              <w:jc w:val="center"/>
            </w:pPr>
            <w:r>
              <w:t>0.10</w:t>
            </w:r>
          </w:p>
        </w:tc>
        <w:tc>
          <w:tcPr>
            <w:tcW w:w="0" w:type="auto"/>
            <w:vAlign w:val="center"/>
          </w:tcPr>
          <w:p w14:paraId="380079EC" w14:textId="77777777" w:rsidR="004D1A15" w:rsidRDefault="004D1A15" w:rsidP="005C0567">
            <w:pPr>
              <w:jc w:val="center"/>
            </w:pPr>
            <w:r>
              <w:t>0.02</w:t>
            </w:r>
          </w:p>
        </w:tc>
      </w:tr>
      <w:tr w:rsidR="004D1A15" w14:paraId="16946956" w14:textId="77777777" w:rsidTr="005C0567">
        <w:tc>
          <w:tcPr>
            <w:tcW w:w="0" w:type="auto"/>
            <w:tcMar>
              <w:left w:w="29" w:type="dxa"/>
              <w:right w:w="115" w:type="dxa"/>
            </w:tcMar>
            <w:vAlign w:val="center"/>
          </w:tcPr>
          <w:p w14:paraId="3B1D853E" w14:textId="77777777" w:rsidR="004D1A15" w:rsidRPr="009B05F6" w:rsidRDefault="004D1A15" w:rsidP="005C0567">
            <w:pPr>
              <w:rPr>
                <w:bCs/>
              </w:rPr>
            </w:pPr>
            <w:r w:rsidRPr="009B05F6">
              <w:rPr>
                <w:bCs/>
              </w:rPr>
              <w:t>Stroke</w:t>
            </w:r>
          </w:p>
        </w:tc>
        <w:tc>
          <w:tcPr>
            <w:tcW w:w="2088" w:type="dxa"/>
            <w:vAlign w:val="center"/>
          </w:tcPr>
          <w:p w14:paraId="768D5EF5" w14:textId="77777777" w:rsidR="004D1A15" w:rsidRDefault="004D1A15" w:rsidP="005C0567">
            <w:pPr>
              <w:jc w:val="center"/>
            </w:pPr>
            <w:r>
              <w:t>54 (11.3)</w:t>
            </w:r>
          </w:p>
        </w:tc>
        <w:tc>
          <w:tcPr>
            <w:tcW w:w="1955" w:type="dxa"/>
            <w:vAlign w:val="center"/>
          </w:tcPr>
          <w:p w14:paraId="2880C921" w14:textId="77777777" w:rsidR="004D1A15" w:rsidRDefault="004D1A15" w:rsidP="005C0567">
            <w:pPr>
              <w:jc w:val="center"/>
            </w:pPr>
            <w:r>
              <w:t>18 (8.5)</w:t>
            </w:r>
          </w:p>
        </w:tc>
        <w:tc>
          <w:tcPr>
            <w:tcW w:w="0" w:type="auto"/>
            <w:vAlign w:val="center"/>
          </w:tcPr>
          <w:p w14:paraId="6FB0AEA8" w14:textId="77777777" w:rsidR="004D1A15" w:rsidRDefault="004D1A15" w:rsidP="005C0567">
            <w:pPr>
              <w:jc w:val="center"/>
            </w:pPr>
            <w:r>
              <w:t>0.09</w:t>
            </w:r>
          </w:p>
        </w:tc>
        <w:tc>
          <w:tcPr>
            <w:tcW w:w="0" w:type="auto"/>
            <w:vAlign w:val="center"/>
          </w:tcPr>
          <w:p w14:paraId="682961A8" w14:textId="77777777" w:rsidR="004D1A15" w:rsidRDefault="004D1A15" w:rsidP="005C0567">
            <w:pPr>
              <w:jc w:val="center"/>
            </w:pPr>
            <w:r>
              <w:t>0.06</w:t>
            </w:r>
          </w:p>
        </w:tc>
      </w:tr>
      <w:tr w:rsidR="004D1A15" w14:paraId="32D80633" w14:textId="77777777" w:rsidTr="005C0567">
        <w:tc>
          <w:tcPr>
            <w:tcW w:w="0" w:type="auto"/>
            <w:tcMar>
              <w:left w:w="29" w:type="dxa"/>
              <w:right w:w="115" w:type="dxa"/>
            </w:tcMar>
            <w:vAlign w:val="center"/>
          </w:tcPr>
          <w:p w14:paraId="5699D305" w14:textId="77777777" w:rsidR="004D1A15" w:rsidRPr="009B05F6" w:rsidRDefault="004D1A15" w:rsidP="005C0567">
            <w:pPr>
              <w:rPr>
                <w:bCs/>
              </w:rPr>
            </w:pPr>
            <w:r w:rsidRPr="009B05F6">
              <w:rPr>
                <w:bCs/>
              </w:rPr>
              <w:t xml:space="preserve">Peptic </w:t>
            </w:r>
            <w:r>
              <w:rPr>
                <w:bCs/>
              </w:rPr>
              <w:t>u</w:t>
            </w:r>
            <w:r w:rsidRPr="009B05F6">
              <w:rPr>
                <w:bCs/>
              </w:rPr>
              <w:t>lcer</w:t>
            </w:r>
          </w:p>
        </w:tc>
        <w:tc>
          <w:tcPr>
            <w:tcW w:w="2088" w:type="dxa"/>
            <w:vAlign w:val="center"/>
          </w:tcPr>
          <w:p w14:paraId="66414B4B" w14:textId="77777777" w:rsidR="004D1A15" w:rsidRDefault="004D1A15" w:rsidP="005C0567">
            <w:pPr>
              <w:jc w:val="center"/>
            </w:pPr>
            <w:r>
              <w:t>9 (1.9)</w:t>
            </w:r>
          </w:p>
        </w:tc>
        <w:tc>
          <w:tcPr>
            <w:tcW w:w="1955" w:type="dxa"/>
            <w:vAlign w:val="center"/>
          </w:tcPr>
          <w:p w14:paraId="71F26C56" w14:textId="77777777" w:rsidR="004D1A15" w:rsidRDefault="004D1A15" w:rsidP="005C0567">
            <w:pPr>
              <w:jc w:val="center"/>
            </w:pPr>
            <w:r>
              <w:t>7 (3.3)</w:t>
            </w:r>
          </w:p>
        </w:tc>
        <w:tc>
          <w:tcPr>
            <w:tcW w:w="0" w:type="auto"/>
            <w:vAlign w:val="center"/>
          </w:tcPr>
          <w:p w14:paraId="7C331540" w14:textId="77777777" w:rsidR="004D1A15" w:rsidRDefault="004D1A15" w:rsidP="005C0567">
            <w:pPr>
              <w:jc w:val="center"/>
            </w:pPr>
            <w:r>
              <w:t>0.09</w:t>
            </w:r>
          </w:p>
        </w:tc>
        <w:tc>
          <w:tcPr>
            <w:tcW w:w="0" w:type="auto"/>
            <w:vAlign w:val="center"/>
          </w:tcPr>
          <w:p w14:paraId="4EC33BC0" w14:textId="77777777" w:rsidR="004D1A15" w:rsidRDefault="004D1A15" w:rsidP="005C0567">
            <w:pPr>
              <w:jc w:val="center"/>
            </w:pPr>
            <w:r>
              <w:t>0.06</w:t>
            </w:r>
          </w:p>
        </w:tc>
      </w:tr>
      <w:tr w:rsidR="004D1A15" w14:paraId="3E2613D8" w14:textId="77777777" w:rsidTr="005C0567">
        <w:tc>
          <w:tcPr>
            <w:tcW w:w="0" w:type="auto"/>
            <w:tcMar>
              <w:left w:w="29" w:type="dxa"/>
              <w:right w:w="115" w:type="dxa"/>
            </w:tcMar>
            <w:vAlign w:val="center"/>
          </w:tcPr>
          <w:p w14:paraId="24729704" w14:textId="77777777" w:rsidR="004D1A15" w:rsidRPr="009B05F6" w:rsidRDefault="004D1A15" w:rsidP="005C0567">
            <w:pPr>
              <w:rPr>
                <w:bCs/>
              </w:rPr>
            </w:pPr>
            <w:r>
              <w:rPr>
                <w:bCs/>
              </w:rPr>
              <w:t>Bleeding</w:t>
            </w:r>
            <w:r w:rsidRPr="00D210A7">
              <w:rPr>
                <w:vertAlign w:val="superscript"/>
              </w:rPr>
              <w:t>¶</w:t>
            </w:r>
          </w:p>
        </w:tc>
        <w:tc>
          <w:tcPr>
            <w:tcW w:w="2088" w:type="dxa"/>
            <w:vAlign w:val="center"/>
          </w:tcPr>
          <w:p w14:paraId="5B1828AD" w14:textId="77777777" w:rsidR="004D1A15" w:rsidRDefault="004D1A15" w:rsidP="005C0567">
            <w:pPr>
              <w:jc w:val="center"/>
            </w:pPr>
            <w:r>
              <w:t>39 (8.1)</w:t>
            </w:r>
          </w:p>
        </w:tc>
        <w:tc>
          <w:tcPr>
            <w:tcW w:w="1955" w:type="dxa"/>
            <w:vAlign w:val="center"/>
          </w:tcPr>
          <w:p w14:paraId="48DD65D7" w14:textId="77777777" w:rsidR="004D1A15" w:rsidRDefault="004D1A15" w:rsidP="005C0567">
            <w:pPr>
              <w:jc w:val="center"/>
            </w:pPr>
            <w:r>
              <w:t>17 (8.0)</w:t>
            </w:r>
          </w:p>
        </w:tc>
        <w:tc>
          <w:tcPr>
            <w:tcW w:w="0" w:type="auto"/>
            <w:vAlign w:val="center"/>
          </w:tcPr>
          <w:p w14:paraId="7098BFA5" w14:textId="77777777" w:rsidR="004D1A15" w:rsidRDefault="004D1A15" w:rsidP="005C0567">
            <w:pPr>
              <w:jc w:val="center"/>
            </w:pPr>
            <w:r>
              <w:t>0.004</w:t>
            </w:r>
          </w:p>
        </w:tc>
        <w:tc>
          <w:tcPr>
            <w:tcW w:w="0" w:type="auto"/>
            <w:vAlign w:val="center"/>
          </w:tcPr>
          <w:p w14:paraId="2EFD1547" w14:textId="77777777" w:rsidR="004D1A15" w:rsidRDefault="004D1A15" w:rsidP="005C0567">
            <w:pPr>
              <w:jc w:val="center"/>
            </w:pPr>
            <w:r>
              <w:t>0.07</w:t>
            </w:r>
          </w:p>
        </w:tc>
      </w:tr>
      <w:tr w:rsidR="004D1A15" w14:paraId="7CED8FD2" w14:textId="77777777" w:rsidTr="005C0567">
        <w:tc>
          <w:tcPr>
            <w:tcW w:w="0" w:type="auto"/>
            <w:tcMar>
              <w:left w:w="29" w:type="dxa"/>
              <w:right w:w="115" w:type="dxa"/>
            </w:tcMar>
            <w:vAlign w:val="center"/>
          </w:tcPr>
          <w:p w14:paraId="55D41125" w14:textId="77777777" w:rsidR="004D1A15" w:rsidRDefault="004D1A15" w:rsidP="005C0567">
            <w:pPr>
              <w:rPr>
                <w:bCs/>
              </w:rPr>
            </w:pPr>
            <w:r>
              <w:rPr>
                <w:bCs/>
              </w:rPr>
              <w:t>Atrial fibrillation</w:t>
            </w:r>
          </w:p>
        </w:tc>
        <w:tc>
          <w:tcPr>
            <w:tcW w:w="2088" w:type="dxa"/>
            <w:vAlign w:val="center"/>
          </w:tcPr>
          <w:p w14:paraId="43A2A3D0" w14:textId="77777777" w:rsidR="004D1A15" w:rsidRDefault="004D1A15" w:rsidP="005C0567">
            <w:pPr>
              <w:jc w:val="center"/>
            </w:pPr>
            <w:r>
              <w:t>333 (69.4)</w:t>
            </w:r>
          </w:p>
        </w:tc>
        <w:tc>
          <w:tcPr>
            <w:tcW w:w="1955" w:type="dxa"/>
            <w:vAlign w:val="center"/>
          </w:tcPr>
          <w:p w14:paraId="51734791" w14:textId="77777777" w:rsidR="004D1A15" w:rsidRDefault="004D1A15" w:rsidP="005C0567">
            <w:pPr>
              <w:jc w:val="center"/>
            </w:pPr>
            <w:r>
              <w:t>136 (64.2)</w:t>
            </w:r>
          </w:p>
        </w:tc>
        <w:tc>
          <w:tcPr>
            <w:tcW w:w="0" w:type="auto"/>
            <w:vAlign w:val="center"/>
          </w:tcPr>
          <w:p w14:paraId="4E8D59D2" w14:textId="77777777" w:rsidR="004D1A15" w:rsidRDefault="004D1A15" w:rsidP="005C0567">
            <w:pPr>
              <w:jc w:val="center"/>
            </w:pPr>
            <w:r>
              <w:t>0.11</w:t>
            </w:r>
          </w:p>
        </w:tc>
        <w:tc>
          <w:tcPr>
            <w:tcW w:w="0" w:type="auto"/>
            <w:vAlign w:val="center"/>
          </w:tcPr>
          <w:p w14:paraId="1FBBA675" w14:textId="77777777" w:rsidR="004D1A15" w:rsidRDefault="004D1A15" w:rsidP="005C0567">
            <w:pPr>
              <w:jc w:val="center"/>
            </w:pPr>
            <w:r>
              <w:t>0.03</w:t>
            </w:r>
          </w:p>
        </w:tc>
      </w:tr>
      <w:tr w:rsidR="004D1A15" w14:paraId="12DAFDCF" w14:textId="77777777" w:rsidTr="005C0567">
        <w:tc>
          <w:tcPr>
            <w:tcW w:w="0" w:type="auto"/>
            <w:tcMar>
              <w:left w:w="29" w:type="dxa"/>
              <w:right w:w="115" w:type="dxa"/>
            </w:tcMar>
            <w:vAlign w:val="center"/>
          </w:tcPr>
          <w:p w14:paraId="40B369C5" w14:textId="77777777" w:rsidR="004D1A15" w:rsidRDefault="004D1A15" w:rsidP="005C0567">
            <w:pPr>
              <w:rPr>
                <w:bCs/>
              </w:rPr>
            </w:pPr>
            <w:r>
              <w:rPr>
                <w:bCs/>
              </w:rPr>
              <w:t>Deep vein thrombosis</w:t>
            </w:r>
          </w:p>
        </w:tc>
        <w:tc>
          <w:tcPr>
            <w:tcW w:w="2088" w:type="dxa"/>
            <w:vAlign w:val="center"/>
          </w:tcPr>
          <w:p w14:paraId="3DED756C" w14:textId="77777777" w:rsidR="004D1A15" w:rsidRDefault="004D1A15" w:rsidP="005C0567">
            <w:pPr>
              <w:jc w:val="center"/>
            </w:pPr>
            <w:r>
              <w:t>57 (11.9)</w:t>
            </w:r>
          </w:p>
        </w:tc>
        <w:tc>
          <w:tcPr>
            <w:tcW w:w="1955" w:type="dxa"/>
            <w:vAlign w:val="center"/>
          </w:tcPr>
          <w:p w14:paraId="59BE7551" w14:textId="77777777" w:rsidR="004D1A15" w:rsidRDefault="004D1A15" w:rsidP="005C0567">
            <w:pPr>
              <w:jc w:val="center"/>
            </w:pPr>
            <w:r>
              <w:t>44 (20.8)</w:t>
            </w:r>
          </w:p>
        </w:tc>
        <w:tc>
          <w:tcPr>
            <w:tcW w:w="0" w:type="auto"/>
            <w:vAlign w:val="center"/>
          </w:tcPr>
          <w:p w14:paraId="7AA79065" w14:textId="77777777" w:rsidR="004D1A15" w:rsidRDefault="004D1A15" w:rsidP="005C0567">
            <w:pPr>
              <w:jc w:val="center"/>
            </w:pPr>
            <w:r>
              <w:t>0.24</w:t>
            </w:r>
          </w:p>
        </w:tc>
        <w:tc>
          <w:tcPr>
            <w:tcW w:w="0" w:type="auto"/>
            <w:vAlign w:val="center"/>
          </w:tcPr>
          <w:p w14:paraId="095B6915" w14:textId="77777777" w:rsidR="004D1A15" w:rsidRDefault="004D1A15" w:rsidP="005C0567">
            <w:pPr>
              <w:jc w:val="center"/>
            </w:pPr>
            <w:r>
              <w:t>0.03</w:t>
            </w:r>
          </w:p>
        </w:tc>
      </w:tr>
      <w:tr w:rsidR="004D1A15" w14:paraId="10AC1878" w14:textId="77777777" w:rsidTr="005C0567">
        <w:tc>
          <w:tcPr>
            <w:tcW w:w="0" w:type="auto"/>
            <w:tcMar>
              <w:left w:w="29" w:type="dxa"/>
              <w:right w:w="115" w:type="dxa"/>
            </w:tcMar>
            <w:vAlign w:val="center"/>
          </w:tcPr>
          <w:p w14:paraId="7647A3FF" w14:textId="77777777" w:rsidR="004D1A15" w:rsidRDefault="004D1A15" w:rsidP="005C0567">
            <w:pPr>
              <w:rPr>
                <w:bCs/>
              </w:rPr>
            </w:pPr>
            <w:r>
              <w:rPr>
                <w:bCs/>
              </w:rPr>
              <w:t>Pulmonary embolism</w:t>
            </w:r>
          </w:p>
        </w:tc>
        <w:tc>
          <w:tcPr>
            <w:tcW w:w="2088" w:type="dxa"/>
            <w:vAlign w:val="center"/>
          </w:tcPr>
          <w:p w14:paraId="356B5783" w14:textId="77777777" w:rsidR="004D1A15" w:rsidRDefault="004D1A15" w:rsidP="005C0567">
            <w:pPr>
              <w:jc w:val="center"/>
            </w:pPr>
            <w:r>
              <w:t>52 (10.8)</w:t>
            </w:r>
          </w:p>
        </w:tc>
        <w:tc>
          <w:tcPr>
            <w:tcW w:w="1955" w:type="dxa"/>
            <w:vAlign w:val="center"/>
          </w:tcPr>
          <w:p w14:paraId="72090963" w14:textId="77777777" w:rsidR="004D1A15" w:rsidRDefault="004D1A15" w:rsidP="005C0567">
            <w:pPr>
              <w:jc w:val="center"/>
            </w:pPr>
            <w:r>
              <w:t>44 (20.8)</w:t>
            </w:r>
          </w:p>
        </w:tc>
        <w:tc>
          <w:tcPr>
            <w:tcW w:w="0" w:type="auto"/>
            <w:vAlign w:val="center"/>
          </w:tcPr>
          <w:p w14:paraId="5FBA2222" w14:textId="77777777" w:rsidR="004D1A15" w:rsidRDefault="004D1A15" w:rsidP="005C0567">
            <w:pPr>
              <w:jc w:val="center"/>
            </w:pPr>
            <w:r>
              <w:t>0.27</w:t>
            </w:r>
          </w:p>
        </w:tc>
        <w:tc>
          <w:tcPr>
            <w:tcW w:w="0" w:type="auto"/>
            <w:vAlign w:val="center"/>
          </w:tcPr>
          <w:p w14:paraId="02BC6645" w14:textId="77777777" w:rsidR="004D1A15" w:rsidRDefault="004D1A15" w:rsidP="005C0567">
            <w:pPr>
              <w:jc w:val="center"/>
            </w:pPr>
            <w:r>
              <w:t>&lt;0.01</w:t>
            </w:r>
          </w:p>
        </w:tc>
      </w:tr>
      <w:tr w:rsidR="004D1A15" w14:paraId="1C96E3F3" w14:textId="77777777" w:rsidTr="005C0567">
        <w:tc>
          <w:tcPr>
            <w:tcW w:w="0" w:type="auto"/>
            <w:vAlign w:val="center"/>
          </w:tcPr>
          <w:p w14:paraId="35337E4D" w14:textId="77777777" w:rsidR="004D1A15" w:rsidRDefault="004D1A15" w:rsidP="005C0567"/>
        </w:tc>
        <w:tc>
          <w:tcPr>
            <w:tcW w:w="2088" w:type="dxa"/>
            <w:vAlign w:val="center"/>
          </w:tcPr>
          <w:p w14:paraId="13811E20" w14:textId="77777777" w:rsidR="004D1A15" w:rsidRDefault="004D1A15" w:rsidP="005C0567">
            <w:pPr>
              <w:jc w:val="center"/>
            </w:pPr>
          </w:p>
        </w:tc>
        <w:tc>
          <w:tcPr>
            <w:tcW w:w="1955" w:type="dxa"/>
            <w:vAlign w:val="center"/>
          </w:tcPr>
          <w:p w14:paraId="5B6D7668" w14:textId="77777777" w:rsidR="004D1A15" w:rsidRDefault="004D1A15" w:rsidP="005C0567">
            <w:pPr>
              <w:jc w:val="center"/>
            </w:pPr>
          </w:p>
        </w:tc>
        <w:tc>
          <w:tcPr>
            <w:tcW w:w="0" w:type="auto"/>
            <w:vAlign w:val="center"/>
          </w:tcPr>
          <w:p w14:paraId="11646A3F" w14:textId="77777777" w:rsidR="004D1A15" w:rsidRDefault="004D1A15" w:rsidP="005C0567">
            <w:pPr>
              <w:jc w:val="center"/>
            </w:pPr>
          </w:p>
        </w:tc>
        <w:tc>
          <w:tcPr>
            <w:tcW w:w="0" w:type="auto"/>
            <w:vAlign w:val="center"/>
          </w:tcPr>
          <w:p w14:paraId="544CAD08" w14:textId="77777777" w:rsidR="004D1A15" w:rsidRDefault="004D1A15" w:rsidP="005C0567">
            <w:pPr>
              <w:jc w:val="center"/>
            </w:pPr>
          </w:p>
        </w:tc>
      </w:tr>
      <w:tr w:rsidR="004D1A15" w14:paraId="1783A432" w14:textId="77777777" w:rsidTr="005C0567">
        <w:tc>
          <w:tcPr>
            <w:tcW w:w="0" w:type="auto"/>
            <w:shd w:val="clear" w:color="auto" w:fill="D9D9D9" w:themeFill="background1" w:themeFillShade="D9"/>
            <w:tcMar>
              <w:left w:w="29" w:type="dxa"/>
              <w:right w:w="115" w:type="dxa"/>
            </w:tcMar>
            <w:vAlign w:val="center"/>
          </w:tcPr>
          <w:p w14:paraId="63B3A529" w14:textId="77777777" w:rsidR="004D1A15" w:rsidRPr="00BC7185" w:rsidRDefault="004D1A15" w:rsidP="005C0567">
            <w:pPr>
              <w:rPr>
                <w:b/>
                <w:bCs/>
              </w:rPr>
            </w:pPr>
            <w:r w:rsidRPr="00BC7185">
              <w:rPr>
                <w:b/>
                <w:bCs/>
              </w:rPr>
              <w:t xml:space="preserve">Medications </w:t>
            </w:r>
            <w:r>
              <w:rPr>
                <w:b/>
                <w:bCs/>
              </w:rPr>
              <w:t xml:space="preserve">dispensed </w:t>
            </w:r>
            <w:r w:rsidRPr="00BC7185">
              <w:rPr>
                <w:b/>
                <w:bCs/>
              </w:rPr>
              <w:t xml:space="preserve">in the </w:t>
            </w:r>
            <w:r>
              <w:rPr>
                <w:b/>
                <w:bCs/>
              </w:rPr>
              <w:t>90</w:t>
            </w:r>
            <w:r w:rsidRPr="00BC7185">
              <w:rPr>
                <w:b/>
                <w:bCs/>
              </w:rPr>
              <w:t xml:space="preserve"> days prior to index date</w:t>
            </w:r>
            <w:r w:rsidRPr="004734BF">
              <w:rPr>
                <w:b/>
                <w:bCs/>
                <w:vertAlign w:val="superscript"/>
              </w:rPr>
              <w:t>**</w:t>
            </w:r>
          </w:p>
        </w:tc>
        <w:tc>
          <w:tcPr>
            <w:tcW w:w="2088" w:type="dxa"/>
            <w:shd w:val="clear" w:color="auto" w:fill="D9D9D9" w:themeFill="background1" w:themeFillShade="D9"/>
            <w:vAlign w:val="center"/>
          </w:tcPr>
          <w:p w14:paraId="7DD40576" w14:textId="77777777" w:rsidR="004D1A15" w:rsidRDefault="004D1A15" w:rsidP="005C0567">
            <w:pPr>
              <w:jc w:val="center"/>
            </w:pPr>
          </w:p>
        </w:tc>
        <w:tc>
          <w:tcPr>
            <w:tcW w:w="1955" w:type="dxa"/>
            <w:shd w:val="clear" w:color="auto" w:fill="D9D9D9" w:themeFill="background1" w:themeFillShade="D9"/>
            <w:vAlign w:val="center"/>
          </w:tcPr>
          <w:p w14:paraId="49E26B77" w14:textId="77777777" w:rsidR="004D1A15" w:rsidRDefault="004D1A15" w:rsidP="005C0567">
            <w:pPr>
              <w:jc w:val="center"/>
            </w:pPr>
          </w:p>
        </w:tc>
        <w:tc>
          <w:tcPr>
            <w:tcW w:w="0" w:type="auto"/>
            <w:shd w:val="clear" w:color="auto" w:fill="D9D9D9" w:themeFill="background1" w:themeFillShade="D9"/>
            <w:vAlign w:val="center"/>
          </w:tcPr>
          <w:p w14:paraId="0E4187C7" w14:textId="77777777" w:rsidR="004D1A15" w:rsidRDefault="004D1A15" w:rsidP="005C0567">
            <w:pPr>
              <w:jc w:val="center"/>
            </w:pPr>
          </w:p>
        </w:tc>
        <w:tc>
          <w:tcPr>
            <w:tcW w:w="0" w:type="auto"/>
            <w:shd w:val="clear" w:color="auto" w:fill="D9D9D9" w:themeFill="background1" w:themeFillShade="D9"/>
            <w:vAlign w:val="center"/>
          </w:tcPr>
          <w:p w14:paraId="0302A514" w14:textId="77777777" w:rsidR="004D1A15" w:rsidRDefault="004D1A15" w:rsidP="005C0567">
            <w:pPr>
              <w:jc w:val="center"/>
            </w:pPr>
          </w:p>
        </w:tc>
      </w:tr>
      <w:tr w:rsidR="004D1A15" w14:paraId="2A1396E7" w14:textId="77777777" w:rsidTr="005C0567">
        <w:tc>
          <w:tcPr>
            <w:tcW w:w="0" w:type="auto"/>
            <w:tcMar>
              <w:left w:w="29" w:type="dxa"/>
              <w:right w:w="115" w:type="dxa"/>
            </w:tcMar>
            <w:vAlign w:val="center"/>
          </w:tcPr>
          <w:p w14:paraId="303EC0EC" w14:textId="77777777" w:rsidR="004D1A15" w:rsidRPr="009B05F6" w:rsidRDefault="004D1A15" w:rsidP="005C0567">
            <w:pPr>
              <w:rPr>
                <w:bCs/>
              </w:rPr>
            </w:pPr>
            <w:r w:rsidRPr="009B05F6">
              <w:rPr>
                <w:bCs/>
              </w:rPr>
              <w:t>Antiplatelets</w:t>
            </w:r>
          </w:p>
        </w:tc>
        <w:tc>
          <w:tcPr>
            <w:tcW w:w="2088" w:type="dxa"/>
            <w:vAlign w:val="center"/>
          </w:tcPr>
          <w:p w14:paraId="727BF566" w14:textId="77777777" w:rsidR="004D1A15" w:rsidRDefault="004D1A15" w:rsidP="005C0567">
            <w:pPr>
              <w:jc w:val="center"/>
            </w:pPr>
            <w:r>
              <w:t>26 (5.4)</w:t>
            </w:r>
          </w:p>
        </w:tc>
        <w:tc>
          <w:tcPr>
            <w:tcW w:w="1955" w:type="dxa"/>
            <w:vAlign w:val="center"/>
          </w:tcPr>
          <w:p w14:paraId="188237D4" w14:textId="77777777" w:rsidR="004D1A15" w:rsidRDefault="004D1A15" w:rsidP="005C0567">
            <w:pPr>
              <w:jc w:val="center"/>
            </w:pPr>
            <w:r>
              <w:t>6 (2.8)</w:t>
            </w:r>
          </w:p>
        </w:tc>
        <w:tc>
          <w:tcPr>
            <w:tcW w:w="0" w:type="auto"/>
            <w:vAlign w:val="center"/>
          </w:tcPr>
          <w:p w14:paraId="56A47789" w14:textId="77777777" w:rsidR="004D1A15" w:rsidRDefault="004D1A15" w:rsidP="005C0567">
            <w:pPr>
              <w:jc w:val="center"/>
            </w:pPr>
            <w:r>
              <w:t>0.13</w:t>
            </w:r>
          </w:p>
        </w:tc>
        <w:tc>
          <w:tcPr>
            <w:tcW w:w="0" w:type="auto"/>
            <w:vAlign w:val="center"/>
          </w:tcPr>
          <w:p w14:paraId="7E8AB375" w14:textId="77777777" w:rsidR="004D1A15" w:rsidRDefault="004D1A15" w:rsidP="005C0567">
            <w:pPr>
              <w:jc w:val="center"/>
            </w:pPr>
            <w:r>
              <w:t>&lt;0.01</w:t>
            </w:r>
          </w:p>
        </w:tc>
      </w:tr>
      <w:tr w:rsidR="004D1A15" w14:paraId="6FFCDC8B" w14:textId="77777777" w:rsidTr="005C0567">
        <w:tc>
          <w:tcPr>
            <w:tcW w:w="0" w:type="auto"/>
            <w:tcMar>
              <w:left w:w="29" w:type="dxa"/>
              <w:right w:w="115" w:type="dxa"/>
            </w:tcMar>
            <w:vAlign w:val="center"/>
          </w:tcPr>
          <w:p w14:paraId="4C90D816" w14:textId="77777777" w:rsidR="004D1A15" w:rsidRPr="009B05F6" w:rsidRDefault="004D1A15" w:rsidP="005C0567">
            <w:pPr>
              <w:rPr>
                <w:bCs/>
              </w:rPr>
            </w:pPr>
            <w:r w:rsidRPr="009B05F6">
              <w:rPr>
                <w:bCs/>
              </w:rPr>
              <w:t>NSAIDs</w:t>
            </w:r>
          </w:p>
        </w:tc>
        <w:tc>
          <w:tcPr>
            <w:tcW w:w="2088" w:type="dxa"/>
            <w:vAlign w:val="center"/>
          </w:tcPr>
          <w:p w14:paraId="6BBE985C" w14:textId="77777777" w:rsidR="004D1A15" w:rsidRDefault="004D1A15" w:rsidP="005C0567">
            <w:pPr>
              <w:jc w:val="center"/>
            </w:pPr>
            <w:r>
              <w:t>33 (6.9)</w:t>
            </w:r>
          </w:p>
        </w:tc>
        <w:tc>
          <w:tcPr>
            <w:tcW w:w="1955" w:type="dxa"/>
            <w:vAlign w:val="center"/>
          </w:tcPr>
          <w:p w14:paraId="09E7EF7F" w14:textId="77777777" w:rsidR="004D1A15" w:rsidRDefault="004D1A15" w:rsidP="005C0567">
            <w:pPr>
              <w:jc w:val="center"/>
            </w:pPr>
            <w:r>
              <w:t>11 (5.2)</w:t>
            </w:r>
          </w:p>
        </w:tc>
        <w:tc>
          <w:tcPr>
            <w:tcW w:w="0" w:type="auto"/>
            <w:vAlign w:val="center"/>
          </w:tcPr>
          <w:p w14:paraId="21DB882C" w14:textId="77777777" w:rsidR="004D1A15" w:rsidRDefault="004D1A15" w:rsidP="005C0567">
            <w:pPr>
              <w:jc w:val="center"/>
            </w:pPr>
            <w:r>
              <w:t>0.07</w:t>
            </w:r>
          </w:p>
        </w:tc>
        <w:tc>
          <w:tcPr>
            <w:tcW w:w="0" w:type="auto"/>
            <w:vAlign w:val="center"/>
          </w:tcPr>
          <w:p w14:paraId="7E03B9D3" w14:textId="77777777" w:rsidR="004D1A15" w:rsidRDefault="004D1A15" w:rsidP="005C0567">
            <w:pPr>
              <w:jc w:val="center"/>
            </w:pPr>
            <w:r>
              <w:t>0.03</w:t>
            </w:r>
          </w:p>
        </w:tc>
      </w:tr>
      <w:tr w:rsidR="004D1A15" w14:paraId="30DAD4D3" w14:textId="77777777" w:rsidTr="005C0567">
        <w:tc>
          <w:tcPr>
            <w:tcW w:w="0" w:type="auto"/>
            <w:tcMar>
              <w:left w:w="29" w:type="dxa"/>
              <w:right w:w="115" w:type="dxa"/>
            </w:tcMar>
            <w:vAlign w:val="center"/>
          </w:tcPr>
          <w:p w14:paraId="52A5BB4E" w14:textId="77777777" w:rsidR="004D1A15" w:rsidRPr="009B05F6" w:rsidRDefault="004D1A15" w:rsidP="005C0567">
            <w:pPr>
              <w:rPr>
                <w:bCs/>
              </w:rPr>
            </w:pPr>
            <w:r w:rsidRPr="009B05F6">
              <w:rPr>
                <w:bCs/>
              </w:rPr>
              <w:t>Heparin</w:t>
            </w:r>
          </w:p>
        </w:tc>
        <w:tc>
          <w:tcPr>
            <w:tcW w:w="2088" w:type="dxa"/>
            <w:vAlign w:val="center"/>
          </w:tcPr>
          <w:p w14:paraId="3B0F6E16" w14:textId="77777777" w:rsidR="004D1A15" w:rsidRDefault="004D1A15" w:rsidP="005C0567">
            <w:pPr>
              <w:jc w:val="center"/>
            </w:pPr>
            <w:r>
              <w:t>71 (14.8)</w:t>
            </w:r>
          </w:p>
        </w:tc>
        <w:tc>
          <w:tcPr>
            <w:tcW w:w="1955" w:type="dxa"/>
            <w:vAlign w:val="center"/>
          </w:tcPr>
          <w:p w14:paraId="59FF1829" w14:textId="77777777" w:rsidR="004D1A15" w:rsidRDefault="004D1A15" w:rsidP="005C0567">
            <w:pPr>
              <w:jc w:val="center"/>
            </w:pPr>
            <w:r>
              <w:t>69 (32.6)</w:t>
            </w:r>
          </w:p>
        </w:tc>
        <w:tc>
          <w:tcPr>
            <w:tcW w:w="0" w:type="auto"/>
            <w:vAlign w:val="center"/>
          </w:tcPr>
          <w:p w14:paraId="2A4EB264" w14:textId="77777777" w:rsidR="004D1A15" w:rsidRDefault="004D1A15" w:rsidP="005C0567">
            <w:pPr>
              <w:jc w:val="center"/>
            </w:pPr>
            <w:r>
              <w:t>0.43</w:t>
            </w:r>
          </w:p>
        </w:tc>
        <w:tc>
          <w:tcPr>
            <w:tcW w:w="0" w:type="auto"/>
            <w:vAlign w:val="center"/>
          </w:tcPr>
          <w:p w14:paraId="281E6379" w14:textId="77777777" w:rsidR="004D1A15" w:rsidRDefault="004D1A15" w:rsidP="005C0567">
            <w:pPr>
              <w:jc w:val="center"/>
            </w:pPr>
            <w:r>
              <w:t>0.01</w:t>
            </w:r>
          </w:p>
        </w:tc>
      </w:tr>
      <w:tr w:rsidR="004D1A15" w14:paraId="3A0A4063" w14:textId="77777777" w:rsidTr="005C0567">
        <w:tc>
          <w:tcPr>
            <w:tcW w:w="0" w:type="auto"/>
            <w:tcMar>
              <w:left w:w="29" w:type="dxa"/>
              <w:right w:w="115" w:type="dxa"/>
            </w:tcMar>
            <w:vAlign w:val="center"/>
          </w:tcPr>
          <w:p w14:paraId="56238183" w14:textId="77777777" w:rsidR="004D1A15" w:rsidRPr="009B05F6" w:rsidRDefault="004D1A15" w:rsidP="005C0567">
            <w:pPr>
              <w:rPr>
                <w:bCs/>
              </w:rPr>
            </w:pPr>
            <w:r>
              <w:rPr>
                <w:bCs/>
              </w:rPr>
              <w:t>Anticancer therapy – targeted</w:t>
            </w:r>
            <w:r w:rsidRPr="006213D4">
              <w:rPr>
                <w:rFonts w:eastAsia="Calibri"/>
                <w:vertAlign w:val="superscript"/>
              </w:rPr>
              <w:t>††</w:t>
            </w:r>
          </w:p>
        </w:tc>
        <w:tc>
          <w:tcPr>
            <w:tcW w:w="2088" w:type="dxa"/>
            <w:vAlign w:val="center"/>
          </w:tcPr>
          <w:p w14:paraId="2B2C56C8" w14:textId="77777777" w:rsidR="004D1A15" w:rsidRDefault="004D1A15" w:rsidP="005C0567">
            <w:pPr>
              <w:jc w:val="center"/>
            </w:pPr>
            <w:r>
              <w:t>16 (3.3)</w:t>
            </w:r>
          </w:p>
        </w:tc>
        <w:tc>
          <w:tcPr>
            <w:tcW w:w="1955" w:type="dxa"/>
            <w:vAlign w:val="center"/>
          </w:tcPr>
          <w:p w14:paraId="5F0A087A" w14:textId="77777777" w:rsidR="004D1A15" w:rsidRDefault="004D1A15" w:rsidP="005C0567">
            <w:pPr>
              <w:jc w:val="center"/>
            </w:pPr>
            <w:r>
              <w:t>6 (2.8)</w:t>
            </w:r>
          </w:p>
        </w:tc>
        <w:tc>
          <w:tcPr>
            <w:tcW w:w="0" w:type="auto"/>
            <w:vAlign w:val="center"/>
          </w:tcPr>
          <w:p w14:paraId="1EF417A6" w14:textId="77777777" w:rsidR="004D1A15" w:rsidRDefault="004D1A15" w:rsidP="005C0567">
            <w:pPr>
              <w:jc w:val="center"/>
            </w:pPr>
            <w:r>
              <w:t>0.03</w:t>
            </w:r>
          </w:p>
        </w:tc>
        <w:tc>
          <w:tcPr>
            <w:tcW w:w="0" w:type="auto"/>
            <w:vAlign w:val="center"/>
          </w:tcPr>
          <w:p w14:paraId="153C014A" w14:textId="77777777" w:rsidR="004D1A15" w:rsidRDefault="004D1A15" w:rsidP="005C0567">
            <w:pPr>
              <w:jc w:val="center"/>
            </w:pPr>
            <w:r>
              <w:t>0.04</w:t>
            </w:r>
          </w:p>
        </w:tc>
      </w:tr>
      <w:tr w:rsidR="004D1A15" w14:paraId="4B3A078C" w14:textId="77777777" w:rsidTr="005C0567">
        <w:tc>
          <w:tcPr>
            <w:tcW w:w="0" w:type="auto"/>
            <w:tcMar>
              <w:left w:w="29" w:type="dxa"/>
              <w:right w:w="115" w:type="dxa"/>
            </w:tcMar>
            <w:vAlign w:val="center"/>
          </w:tcPr>
          <w:p w14:paraId="3654DAE6" w14:textId="77777777" w:rsidR="004D1A15" w:rsidRPr="009B05F6" w:rsidRDefault="004D1A15" w:rsidP="005C0567">
            <w:pPr>
              <w:rPr>
                <w:bCs/>
              </w:rPr>
            </w:pPr>
            <w:r w:rsidRPr="009B05F6">
              <w:rPr>
                <w:bCs/>
              </w:rPr>
              <w:t>Anticancer therapy - chemotherapy</w:t>
            </w:r>
            <w:r w:rsidRPr="006213D4">
              <w:rPr>
                <w:rFonts w:eastAsia="Calibri"/>
                <w:vertAlign w:val="superscript"/>
              </w:rPr>
              <w:t>††</w:t>
            </w:r>
          </w:p>
        </w:tc>
        <w:tc>
          <w:tcPr>
            <w:tcW w:w="2088" w:type="dxa"/>
            <w:vAlign w:val="center"/>
          </w:tcPr>
          <w:p w14:paraId="705E8796" w14:textId="77777777" w:rsidR="004D1A15" w:rsidRDefault="004D1A15" w:rsidP="005C0567">
            <w:pPr>
              <w:jc w:val="center"/>
            </w:pPr>
            <w:r>
              <w:t>28 (5.8)</w:t>
            </w:r>
          </w:p>
        </w:tc>
        <w:tc>
          <w:tcPr>
            <w:tcW w:w="1955" w:type="dxa"/>
            <w:vAlign w:val="center"/>
          </w:tcPr>
          <w:p w14:paraId="7584841E" w14:textId="77777777" w:rsidR="004D1A15" w:rsidRDefault="004D1A15" w:rsidP="005C0567">
            <w:pPr>
              <w:jc w:val="center"/>
            </w:pPr>
            <w:r>
              <w:t>8 (3.8)</w:t>
            </w:r>
          </w:p>
        </w:tc>
        <w:tc>
          <w:tcPr>
            <w:tcW w:w="0" w:type="auto"/>
            <w:vAlign w:val="center"/>
          </w:tcPr>
          <w:p w14:paraId="77CD7233" w14:textId="77777777" w:rsidR="004D1A15" w:rsidRDefault="004D1A15" w:rsidP="005C0567">
            <w:pPr>
              <w:jc w:val="center"/>
            </w:pPr>
            <w:r>
              <w:t>0.10</w:t>
            </w:r>
          </w:p>
        </w:tc>
        <w:tc>
          <w:tcPr>
            <w:tcW w:w="0" w:type="auto"/>
            <w:vAlign w:val="center"/>
          </w:tcPr>
          <w:p w14:paraId="1FA2FFBF" w14:textId="77777777" w:rsidR="004D1A15" w:rsidRDefault="004D1A15" w:rsidP="005C0567">
            <w:pPr>
              <w:jc w:val="center"/>
            </w:pPr>
            <w:r>
              <w:t>0.07</w:t>
            </w:r>
          </w:p>
        </w:tc>
      </w:tr>
      <w:tr w:rsidR="004D1A15" w14:paraId="6B31BF47" w14:textId="77777777" w:rsidTr="005C0567">
        <w:tc>
          <w:tcPr>
            <w:tcW w:w="0" w:type="auto"/>
            <w:tcMar>
              <w:left w:w="29" w:type="dxa"/>
              <w:right w:w="115" w:type="dxa"/>
            </w:tcMar>
            <w:vAlign w:val="center"/>
          </w:tcPr>
          <w:p w14:paraId="0C405271" w14:textId="77777777" w:rsidR="004D1A15" w:rsidRPr="009B05F6" w:rsidRDefault="004D1A15" w:rsidP="005C0567">
            <w:pPr>
              <w:rPr>
                <w:bCs/>
              </w:rPr>
            </w:pPr>
            <w:r w:rsidRPr="009B05F6">
              <w:rPr>
                <w:bCs/>
              </w:rPr>
              <w:t>CYP3A4 inhibitors</w:t>
            </w:r>
            <w:r w:rsidRPr="004734BF">
              <w:rPr>
                <w:rFonts w:eastAsia="Calibri"/>
                <w:vertAlign w:val="superscript"/>
              </w:rPr>
              <w:t>‡‡</w:t>
            </w:r>
          </w:p>
        </w:tc>
        <w:tc>
          <w:tcPr>
            <w:tcW w:w="2088" w:type="dxa"/>
            <w:vAlign w:val="center"/>
          </w:tcPr>
          <w:p w14:paraId="1AA75E98" w14:textId="77777777" w:rsidR="004D1A15" w:rsidRDefault="004D1A15" w:rsidP="005C0567">
            <w:pPr>
              <w:jc w:val="center"/>
            </w:pPr>
            <w:r>
              <w:t>64 (13.3)</w:t>
            </w:r>
          </w:p>
        </w:tc>
        <w:tc>
          <w:tcPr>
            <w:tcW w:w="1955" w:type="dxa"/>
            <w:vAlign w:val="center"/>
          </w:tcPr>
          <w:p w14:paraId="21E4A0C6" w14:textId="77777777" w:rsidR="004D1A15" w:rsidRDefault="004D1A15" w:rsidP="005C0567">
            <w:pPr>
              <w:jc w:val="center"/>
            </w:pPr>
            <w:r>
              <w:t>38 (17.9)</w:t>
            </w:r>
          </w:p>
        </w:tc>
        <w:tc>
          <w:tcPr>
            <w:tcW w:w="0" w:type="auto"/>
            <w:vAlign w:val="center"/>
          </w:tcPr>
          <w:p w14:paraId="5AF87E35" w14:textId="77777777" w:rsidR="004D1A15" w:rsidRDefault="004D1A15" w:rsidP="005C0567">
            <w:pPr>
              <w:jc w:val="center"/>
            </w:pPr>
            <w:r>
              <w:t>0.13</w:t>
            </w:r>
          </w:p>
        </w:tc>
        <w:tc>
          <w:tcPr>
            <w:tcW w:w="0" w:type="auto"/>
            <w:vAlign w:val="center"/>
          </w:tcPr>
          <w:p w14:paraId="0A0E8C87" w14:textId="77777777" w:rsidR="004D1A15" w:rsidRDefault="004D1A15" w:rsidP="005C0567">
            <w:pPr>
              <w:jc w:val="center"/>
            </w:pPr>
            <w:r>
              <w:t>0.02</w:t>
            </w:r>
          </w:p>
        </w:tc>
      </w:tr>
      <w:tr w:rsidR="004D1A15" w14:paraId="30789845" w14:textId="77777777" w:rsidTr="005C0567">
        <w:tc>
          <w:tcPr>
            <w:tcW w:w="0" w:type="auto"/>
            <w:tcMar>
              <w:left w:w="29" w:type="dxa"/>
              <w:right w:w="115" w:type="dxa"/>
            </w:tcMar>
            <w:vAlign w:val="center"/>
          </w:tcPr>
          <w:p w14:paraId="6E83F562" w14:textId="77777777" w:rsidR="004D1A15" w:rsidRPr="009B05F6" w:rsidRDefault="004D1A15" w:rsidP="005C0567">
            <w:pPr>
              <w:rPr>
                <w:bCs/>
              </w:rPr>
            </w:pPr>
            <w:r w:rsidRPr="009B05F6">
              <w:rPr>
                <w:bCs/>
              </w:rPr>
              <w:t>CYP3A4 inducers</w:t>
            </w:r>
            <w:r w:rsidRPr="004734BF">
              <w:rPr>
                <w:rFonts w:eastAsia="Calibri"/>
                <w:vertAlign w:val="superscript"/>
              </w:rPr>
              <w:t>‡‡</w:t>
            </w:r>
          </w:p>
        </w:tc>
        <w:tc>
          <w:tcPr>
            <w:tcW w:w="2088" w:type="dxa"/>
            <w:vAlign w:val="center"/>
          </w:tcPr>
          <w:p w14:paraId="5769B4B3" w14:textId="77777777" w:rsidR="004D1A15" w:rsidRDefault="004D1A15" w:rsidP="005C0567">
            <w:pPr>
              <w:jc w:val="center"/>
            </w:pPr>
            <w:r>
              <w:t>10 (2.1)</w:t>
            </w:r>
          </w:p>
        </w:tc>
        <w:tc>
          <w:tcPr>
            <w:tcW w:w="1955" w:type="dxa"/>
            <w:vAlign w:val="center"/>
          </w:tcPr>
          <w:p w14:paraId="0D4619DC" w14:textId="77777777" w:rsidR="004D1A15" w:rsidRDefault="004D1A15" w:rsidP="005C0567">
            <w:pPr>
              <w:jc w:val="center"/>
            </w:pPr>
            <w:r>
              <w:t>4 (1.9)</w:t>
            </w:r>
          </w:p>
        </w:tc>
        <w:tc>
          <w:tcPr>
            <w:tcW w:w="0" w:type="auto"/>
            <w:vAlign w:val="center"/>
          </w:tcPr>
          <w:p w14:paraId="555AD6CD" w14:textId="77777777" w:rsidR="004D1A15" w:rsidRDefault="004D1A15" w:rsidP="005C0567">
            <w:pPr>
              <w:jc w:val="center"/>
            </w:pPr>
            <w:r>
              <w:t>0.01</w:t>
            </w:r>
          </w:p>
        </w:tc>
        <w:tc>
          <w:tcPr>
            <w:tcW w:w="0" w:type="auto"/>
            <w:vAlign w:val="center"/>
          </w:tcPr>
          <w:p w14:paraId="18EF5410" w14:textId="77777777" w:rsidR="004D1A15" w:rsidRDefault="004D1A15" w:rsidP="005C0567">
            <w:pPr>
              <w:jc w:val="center"/>
            </w:pPr>
            <w:r>
              <w:t>0.01</w:t>
            </w:r>
          </w:p>
        </w:tc>
      </w:tr>
      <w:tr w:rsidR="004D1A15" w14:paraId="606A3A1F" w14:textId="77777777" w:rsidTr="005C0567">
        <w:tc>
          <w:tcPr>
            <w:tcW w:w="0" w:type="auto"/>
            <w:tcMar>
              <w:left w:w="29" w:type="dxa"/>
              <w:right w:w="115" w:type="dxa"/>
            </w:tcMar>
            <w:vAlign w:val="center"/>
          </w:tcPr>
          <w:p w14:paraId="1D765A39" w14:textId="77777777" w:rsidR="004D1A15" w:rsidRPr="009B05F6" w:rsidRDefault="004D1A15" w:rsidP="005C0567">
            <w:pPr>
              <w:rPr>
                <w:bCs/>
              </w:rPr>
            </w:pPr>
            <w:r w:rsidRPr="009B05F6">
              <w:rPr>
                <w:bCs/>
              </w:rPr>
              <w:lastRenderedPageBreak/>
              <w:t>CYP2D6 inhibitors</w:t>
            </w:r>
            <w:r w:rsidRPr="004734BF">
              <w:rPr>
                <w:rFonts w:eastAsia="Calibri"/>
                <w:vertAlign w:val="superscript"/>
              </w:rPr>
              <w:t>‡‡</w:t>
            </w:r>
          </w:p>
        </w:tc>
        <w:tc>
          <w:tcPr>
            <w:tcW w:w="2088" w:type="dxa"/>
            <w:vAlign w:val="center"/>
          </w:tcPr>
          <w:p w14:paraId="606FF74D" w14:textId="77777777" w:rsidR="004D1A15" w:rsidRDefault="004D1A15" w:rsidP="005C0567">
            <w:pPr>
              <w:jc w:val="center"/>
            </w:pPr>
            <w:r>
              <w:t>49 (10.2)</w:t>
            </w:r>
          </w:p>
        </w:tc>
        <w:tc>
          <w:tcPr>
            <w:tcW w:w="1955" w:type="dxa"/>
            <w:vAlign w:val="center"/>
          </w:tcPr>
          <w:p w14:paraId="426F2076" w14:textId="77777777" w:rsidR="004D1A15" w:rsidRDefault="004D1A15" w:rsidP="005C0567">
            <w:pPr>
              <w:jc w:val="center"/>
            </w:pPr>
            <w:r>
              <w:t>27 (12.7)</w:t>
            </w:r>
          </w:p>
        </w:tc>
        <w:tc>
          <w:tcPr>
            <w:tcW w:w="0" w:type="auto"/>
            <w:vAlign w:val="center"/>
          </w:tcPr>
          <w:p w14:paraId="3C3D2064" w14:textId="77777777" w:rsidR="004D1A15" w:rsidRDefault="004D1A15" w:rsidP="005C0567">
            <w:pPr>
              <w:jc w:val="center"/>
            </w:pPr>
            <w:r>
              <w:t>0.08</w:t>
            </w:r>
          </w:p>
        </w:tc>
        <w:tc>
          <w:tcPr>
            <w:tcW w:w="0" w:type="auto"/>
            <w:vAlign w:val="center"/>
          </w:tcPr>
          <w:p w14:paraId="101067C9" w14:textId="77777777" w:rsidR="004D1A15" w:rsidRDefault="004D1A15" w:rsidP="005C0567">
            <w:pPr>
              <w:jc w:val="center"/>
            </w:pPr>
            <w:r>
              <w:t>0.01</w:t>
            </w:r>
          </w:p>
        </w:tc>
      </w:tr>
      <w:tr w:rsidR="004D1A15" w14:paraId="5AC5DC96" w14:textId="77777777" w:rsidTr="005C0567">
        <w:tc>
          <w:tcPr>
            <w:tcW w:w="0" w:type="auto"/>
            <w:tcMar>
              <w:left w:w="29" w:type="dxa"/>
              <w:right w:w="115" w:type="dxa"/>
            </w:tcMar>
            <w:vAlign w:val="center"/>
          </w:tcPr>
          <w:p w14:paraId="6644A8A0" w14:textId="77777777" w:rsidR="004D1A15" w:rsidRPr="009B05F6" w:rsidRDefault="004D1A15" w:rsidP="005C0567">
            <w:pPr>
              <w:rPr>
                <w:bCs/>
              </w:rPr>
            </w:pPr>
            <w:r>
              <w:rPr>
                <w:bCs/>
              </w:rPr>
              <w:t>CYP2D6 inducers</w:t>
            </w:r>
            <w:r w:rsidRPr="004734BF">
              <w:rPr>
                <w:rFonts w:eastAsia="Calibri"/>
                <w:vertAlign w:val="superscript"/>
              </w:rPr>
              <w:t>‡‡</w:t>
            </w:r>
            <w:r w:rsidRPr="004D3972">
              <w:rPr>
                <w:vertAlign w:val="superscript"/>
              </w:rPr>
              <w:t>§§</w:t>
            </w:r>
          </w:p>
        </w:tc>
        <w:tc>
          <w:tcPr>
            <w:tcW w:w="2088" w:type="dxa"/>
            <w:vAlign w:val="center"/>
          </w:tcPr>
          <w:p w14:paraId="7305FB82" w14:textId="77777777" w:rsidR="004D1A15" w:rsidRDefault="004D1A15" w:rsidP="005C0567">
            <w:pPr>
              <w:jc w:val="center"/>
            </w:pPr>
            <w:r>
              <w:t>1 (0.2)</w:t>
            </w:r>
          </w:p>
        </w:tc>
        <w:tc>
          <w:tcPr>
            <w:tcW w:w="1955" w:type="dxa"/>
            <w:vAlign w:val="center"/>
          </w:tcPr>
          <w:p w14:paraId="478E8DF5" w14:textId="77777777" w:rsidR="004D1A15" w:rsidRDefault="004D1A15" w:rsidP="005C0567">
            <w:pPr>
              <w:jc w:val="center"/>
            </w:pPr>
            <w:r>
              <w:t>0 (0.0)</w:t>
            </w:r>
          </w:p>
        </w:tc>
        <w:tc>
          <w:tcPr>
            <w:tcW w:w="0" w:type="auto"/>
            <w:vAlign w:val="center"/>
          </w:tcPr>
          <w:p w14:paraId="42E8C0DA" w14:textId="77777777" w:rsidR="004D1A15" w:rsidRDefault="004D1A15" w:rsidP="005C0567">
            <w:pPr>
              <w:jc w:val="center"/>
            </w:pPr>
            <w:r>
              <w:t>0.06</w:t>
            </w:r>
          </w:p>
        </w:tc>
        <w:tc>
          <w:tcPr>
            <w:tcW w:w="0" w:type="auto"/>
            <w:vAlign w:val="center"/>
          </w:tcPr>
          <w:p w14:paraId="763B44A8" w14:textId="77777777" w:rsidR="004D1A15" w:rsidRDefault="004D1A15" w:rsidP="005C0567">
            <w:pPr>
              <w:jc w:val="center"/>
            </w:pPr>
            <w:r>
              <w:t>0.07</w:t>
            </w:r>
          </w:p>
        </w:tc>
      </w:tr>
      <w:tr w:rsidR="004D1A15" w14:paraId="1DB28070" w14:textId="77777777" w:rsidTr="005C0567">
        <w:tc>
          <w:tcPr>
            <w:tcW w:w="0" w:type="auto"/>
            <w:tcMar>
              <w:left w:w="29" w:type="dxa"/>
              <w:right w:w="115" w:type="dxa"/>
            </w:tcMar>
            <w:vAlign w:val="center"/>
          </w:tcPr>
          <w:p w14:paraId="73AC548F" w14:textId="77777777" w:rsidR="004D1A15" w:rsidRPr="009B05F6" w:rsidRDefault="004D1A15" w:rsidP="005C0567">
            <w:pPr>
              <w:rPr>
                <w:bCs/>
              </w:rPr>
            </w:pPr>
            <w:r w:rsidRPr="009B05F6">
              <w:rPr>
                <w:bCs/>
              </w:rPr>
              <w:t>CYP1A2 inhibitor</w:t>
            </w:r>
            <w:r>
              <w:rPr>
                <w:bCs/>
              </w:rPr>
              <w:t>s</w:t>
            </w:r>
            <w:r w:rsidRPr="004734BF">
              <w:rPr>
                <w:rFonts w:eastAsia="Calibri"/>
                <w:vertAlign w:val="superscript"/>
              </w:rPr>
              <w:t>‡‡</w:t>
            </w:r>
          </w:p>
        </w:tc>
        <w:tc>
          <w:tcPr>
            <w:tcW w:w="2088" w:type="dxa"/>
            <w:vAlign w:val="center"/>
          </w:tcPr>
          <w:p w14:paraId="3534EBA2" w14:textId="77777777" w:rsidR="004D1A15" w:rsidRDefault="004D1A15" w:rsidP="005C0567">
            <w:pPr>
              <w:jc w:val="center"/>
            </w:pPr>
            <w:r>
              <w:t>20 (4.2)</w:t>
            </w:r>
          </w:p>
        </w:tc>
        <w:tc>
          <w:tcPr>
            <w:tcW w:w="1955" w:type="dxa"/>
            <w:vAlign w:val="center"/>
          </w:tcPr>
          <w:p w14:paraId="4A407F17" w14:textId="77777777" w:rsidR="004D1A15" w:rsidRDefault="004D1A15" w:rsidP="005C0567">
            <w:pPr>
              <w:jc w:val="center"/>
            </w:pPr>
            <w:r>
              <w:t>16 (7.6)</w:t>
            </w:r>
          </w:p>
        </w:tc>
        <w:tc>
          <w:tcPr>
            <w:tcW w:w="0" w:type="auto"/>
            <w:vAlign w:val="center"/>
          </w:tcPr>
          <w:p w14:paraId="27587C02" w14:textId="77777777" w:rsidR="004D1A15" w:rsidRDefault="004D1A15" w:rsidP="005C0567">
            <w:pPr>
              <w:jc w:val="center"/>
            </w:pPr>
            <w:r>
              <w:t>0.14</w:t>
            </w:r>
          </w:p>
        </w:tc>
        <w:tc>
          <w:tcPr>
            <w:tcW w:w="0" w:type="auto"/>
            <w:vAlign w:val="center"/>
          </w:tcPr>
          <w:p w14:paraId="089A2CBA" w14:textId="77777777" w:rsidR="004D1A15" w:rsidRDefault="004D1A15" w:rsidP="005C0567">
            <w:pPr>
              <w:jc w:val="center"/>
            </w:pPr>
            <w:r>
              <w:t>&lt;0.01</w:t>
            </w:r>
          </w:p>
        </w:tc>
      </w:tr>
      <w:tr w:rsidR="004D1A15" w14:paraId="3530CC31" w14:textId="77777777" w:rsidTr="005C0567">
        <w:tc>
          <w:tcPr>
            <w:tcW w:w="0" w:type="auto"/>
            <w:tcMar>
              <w:left w:w="29" w:type="dxa"/>
              <w:right w:w="115" w:type="dxa"/>
            </w:tcMar>
            <w:vAlign w:val="center"/>
          </w:tcPr>
          <w:p w14:paraId="63F60A3F" w14:textId="77777777" w:rsidR="004D1A15" w:rsidRPr="009B05F6" w:rsidRDefault="004D1A15" w:rsidP="005C0567">
            <w:pPr>
              <w:rPr>
                <w:bCs/>
              </w:rPr>
            </w:pPr>
            <w:r w:rsidRPr="009B05F6">
              <w:rPr>
                <w:bCs/>
              </w:rPr>
              <w:t>CYP1A2 inducers</w:t>
            </w:r>
            <w:r w:rsidRPr="004734BF">
              <w:rPr>
                <w:rFonts w:eastAsia="Calibri"/>
                <w:vertAlign w:val="superscript"/>
              </w:rPr>
              <w:t>‡‡</w:t>
            </w:r>
          </w:p>
        </w:tc>
        <w:tc>
          <w:tcPr>
            <w:tcW w:w="2088" w:type="dxa"/>
            <w:vAlign w:val="center"/>
          </w:tcPr>
          <w:p w14:paraId="70F4109D" w14:textId="77777777" w:rsidR="004D1A15" w:rsidRDefault="004D1A15" w:rsidP="005C0567">
            <w:pPr>
              <w:jc w:val="center"/>
            </w:pPr>
            <w:r>
              <w:t>88 (18.3)</w:t>
            </w:r>
          </w:p>
        </w:tc>
        <w:tc>
          <w:tcPr>
            <w:tcW w:w="1955" w:type="dxa"/>
            <w:vAlign w:val="center"/>
          </w:tcPr>
          <w:p w14:paraId="5E2E4F4B" w14:textId="77777777" w:rsidR="004D1A15" w:rsidRDefault="004D1A15" w:rsidP="005C0567">
            <w:pPr>
              <w:jc w:val="center"/>
            </w:pPr>
            <w:r>
              <w:t>37 (17.5)</w:t>
            </w:r>
          </w:p>
        </w:tc>
        <w:tc>
          <w:tcPr>
            <w:tcW w:w="0" w:type="auto"/>
            <w:vAlign w:val="center"/>
          </w:tcPr>
          <w:p w14:paraId="31A4DE9E" w14:textId="77777777" w:rsidR="004D1A15" w:rsidRDefault="004D1A15" w:rsidP="005C0567">
            <w:pPr>
              <w:jc w:val="center"/>
            </w:pPr>
            <w:r>
              <w:t>0.02</w:t>
            </w:r>
          </w:p>
        </w:tc>
        <w:tc>
          <w:tcPr>
            <w:tcW w:w="0" w:type="auto"/>
            <w:vAlign w:val="center"/>
          </w:tcPr>
          <w:p w14:paraId="1CFD1C3B" w14:textId="77777777" w:rsidR="004D1A15" w:rsidRDefault="004D1A15" w:rsidP="005C0567">
            <w:pPr>
              <w:jc w:val="center"/>
            </w:pPr>
            <w:r>
              <w:t>0.09</w:t>
            </w:r>
          </w:p>
        </w:tc>
      </w:tr>
      <w:tr w:rsidR="004D1A15" w14:paraId="304460DE" w14:textId="77777777" w:rsidTr="005C0567">
        <w:tc>
          <w:tcPr>
            <w:tcW w:w="0" w:type="auto"/>
            <w:tcMar>
              <w:left w:w="29" w:type="dxa"/>
              <w:right w:w="115" w:type="dxa"/>
            </w:tcMar>
            <w:vAlign w:val="center"/>
          </w:tcPr>
          <w:p w14:paraId="2C163597" w14:textId="77777777" w:rsidR="004D1A15" w:rsidRPr="009B05F6" w:rsidRDefault="004D1A15" w:rsidP="005C0567">
            <w:pPr>
              <w:rPr>
                <w:bCs/>
              </w:rPr>
            </w:pPr>
            <w:r>
              <w:rPr>
                <w:bCs/>
              </w:rPr>
              <w:t>P-</w:t>
            </w:r>
            <w:proofErr w:type="spellStart"/>
            <w:r>
              <w:rPr>
                <w:bCs/>
              </w:rPr>
              <w:t>gp</w:t>
            </w:r>
            <w:proofErr w:type="spellEnd"/>
            <w:r>
              <w:rPr>
                <w:bCs/>
              </w:rPr>
              <w:t xml:space="preserve"> inhibitors</w:t>
            </w:r>
            <w:r w:rsidRPr="005912B0">
              <w:rPr>
                <w:vertAlign w:val="superscript"/>
              </w:rPr>
              <w:t>‖‖</w:t>
            </w:r>
          </w:p>
        </w:tc>
        <w:tc>
          <w:tcPr>
            <w:tcW w:w="2088" w:type="dxa"/>
            <w:vAlign w:val="center"/>
          </w:tcPr>
          <w:p w14:paraId="6B12A7C3" w14:textId="77777777" w:rsidR="004D1A15" w:rsidRDefault="004D1A15" w:rsidP="005C0567">
            <w:pPr>
              <w:jc w:val="center"/>
            </w:pPr>
            <w:r>
              <w:t>87 (18.1)</w:t>
            </w:r>
          </w:p>
        </w:tc>
        <w:tc>
          <w:tcPr>
            <w:tcW w:w="1955" w:type="dxa"/>
            <w:vAlign w:val="center"/>
          </w:tcPr>
          <w:p w14:paraId="45BACFBD" w14:textId="77777777" w:rsidR="004D1A15" w:rsidRDefault="004D1A15" w:rsidP="005C0567">
            <w:pPr>
              <w:jc w:val="center"/>
            </w:pPr>
            <w:r>
              <w:t>39 (18.4)</w:t>
            </w:r>
          </w:p>
        </w:tc>
        <w:tc>
          <w:tcPr>
            <w:tcW w:w="0" w:type="auto"/>
            <w:vAlign w:val="center"/>
          </w:tcPr>
          <w:p w14:paraId="2AC04EB8" w14:textId="77777777" w:rsidR="004D1A15" w:rsidRDefault="004D1A15" w:rsidP="005C0567">
            <w:pPr>
              <w:jc w:val="center"/>
            </w:pPr>
            <w:r>
              <w:t>0.007</w:t>
            </w:r>
          </w:p>
        </w:tc>
        <w:tc>
          <w:tcPr>
            <w:tcW w:w="0" w:type="auto"/>
            <w:vAlign w:val="center"/>
          </w:tcPr>
          <w:p w14:paraId="2E98A024" w14:textId="77777777" w:rsidR="004D1A15" w:rsidRDefault="004D1A15" w:rsidP="005C0567">
            <w:pPr>
              <w:jc w:val="center"/>
            </w:pPr>
            <w:r>
              <w:t>0.06</w:t>
            </w:r>
          </w:p>
        </w:tc>
      </w:tr>
      <w:tr w:rsidR="004D1A15" w14:paraId="03D1C137" w14:textId="77777777" w:rsidTr="005C0567">
        <w:tc>
          <w:tcPr>
            <w:tcW w:w="0" w:type="auto"/>
            <w:tcMar>
              <w:left w:w="29" w:type="dxa"/>
              <w:right w:w="115" w:type="dxa"/>
            </w:tcMar>
            <w:vAlign w:val="center"/>
          </w:tcPr>
          <w:p w14:paraId="4A44EBAE" w14:textId="77777777" w:rsidR="004D1A15" w:rsidRPr="009B05F6" w:rsidRDefault="004D1A15" w:rsidP="005C0567">
            <w:pPr>
              <w:rPr>
                <w:bCs/>
              </w:rPr>
            </w:pPr>
            <w:r>
              <w:rPr>
                <w:bCs/>
              </w:rPr>
              <w:t>P-</w:t>
            </w:r>
            <w:proofErr w:type="spellStart"/>
            <w:r>
              <w:rPr>
                <w:bCs/>
              </w:rPr>
              <w:t>gp</w:t>
            </w:r>
            <w:proofErr w:type="spellEnd"/>
            <w:r>
              <w:rPr>
                <w:bCs/>
              </w:rPr>
              <w:t xml:space="preserve"> inducers</w:t>
            </w:r>
            <w:r w:rsidRPr="005912B0">
              <w:rPr>
                <w:vertAlign w:val="superscript"/>
              </w:rPr>
              <w:t>‖‖</w:t>
            </w:r>
          </w:p>
        </w:tc>
        <w:tc>
          <w:tcPr>
            <w:tcW w:w="2088" w:type="dxa"/>
            <w:vAlign w:val="center"/>
          </w:tcPr>
          <w:p w14:paraId="5112538B" w14:textId="77777777" w:rsidR="004D1A15" w:rsidRDefault="004D1A15" w:rsidP="005C0567">
            <w:pPr>
              <w:jc w:val="center"/>
            </w:pPr>
            <w:r>
              <w:t>4 (0.8)</w:t>
            </w:r>
          </w:p>
        </w:tc>
        <w:tc>
          <w:tcPr>
            <w:tcW w:w="1955" w:type="dxa"/>
            <w:vAlign w:val="center"/>
          </w:tcPr>
          <w:p w14:paraId="471BD376" w14:textId="77777777" w:rsidR="004D1A15" w:rsidRDefault="004D1A15" w:rsidP="005C0567">
            <w:pPr>
              <w:jc w:val="center"/>
            </w:pPr>
            <w:r>
              <w:t>1 (0.5)</w:t>
            </w:r>
          </w:p>
        </w:tc>
        <w:tc>
          <w:tcPr>
            <w:tcW w:w="0" w:type="auto"/>
            <w:vAlign w:val="center"/>
          </w:tcPr>
          <w:p w14:paraId="118C3926" w14:textId="77777777" w:rsidR="004D1A15" w:rsidRDefault="004D1A15" w:rsidP="005C0567">
            <w:pPr>
              <w:jc w:val="center"/>
            </w:pPr>
            <w:r>
              <w:t>0.04</w:t>
            </w:r>
          </w:p>
        </w:tc>
        <w:tc>
          <w:tcPr>
            <w:tcW w:w="0" w:type="auto"/>
            <w:vAlign w:val="center"/>
          </w:tcPr>
          <w:p w14:paraId="4B793421" w14:textId="77777777" w:rsidR="004D1A15" w:rsidRDefault="004D1A15" w:rsidP="005C0567">
            <w:pPr>
              <w:jc w:val="center"/>
            </w:pPr>
            <w:r>
              <w:t>0.02</w:t>
            </w:r>
          </w:p>
        </w:tc>
      </w:tr>
      <w:tr w:rsidR="004D1A15" w14:paraId="3E1B97C8" w14:textId="77777777" w:rsidTr="005C0567">
        <w:tc>
          <w:tcPr>
            <w:tcW w:w="0" w:type="auto"/>
            <w:tcMar>
              <w:left w:w="29" w:type="dxa"/>
              <w:right w:w="115" w:type="dxa"/>
            </w:tcMar>
            <w:vAlign w:val="center"/>
          </w:tcPr>
          <w:p w14:paraId="20EE0BB0" w14:textId="77777777" w:rsidR="004D1A15" w:rsidRDefault="004D1A15" w:rsidP="005C0567"/>
        </w:tc>
        <w:tc>
          <w:tcPr>
            <w:tcW w:w="2088" w:type="dxa"/>
            <w:vAlign w:val="center"/>
          </w:tcPr>
          <w:p w14:paraId="674314F5" w14:textId="77777777" w:rsidR="004D1A15" w:rsidRDefault="004D1A15" w:rsidP="005C0567">
            <w:pPr>
              <w:jc w:val="center"/>
            </w:pPr>
          </w:p>
        </w:tc>
        <w:tc>
          <w:tcPr>
            <w:tcW w:w="1955" w:type="dxa"/>
            <w:vAlign w:val="center"/>
          </w:tcPr>
          <w:p w14:paraId="1387F9C9" w14:textId="77777777" w:rsidR="004D1A15" w:rsidRDefault="004D1A15" w:rsidP="005C0567">
            <w:pPr>
              <w:jc w:val="center"/>
            </w:pPr>
          </w:p>
        </w:tc>
        <w:tc>
          <w:tcPr>
            <w:tcW w:w="0" w:type="auto"/>
            <w:vAlign w:val="center"/>
          </w:tcPr>
          <w:p w14:paraId="62865462" w14:textId="77777777" w:rsidR="004D1A15" w:rsidRDefault="004D1A15" w:rsidP="005C0567">
            <w:pPr>
              <w:jc w:val="center"/>
            </w:pPr>
          </w:p>
        </w:tc>
        <w:tc>
          <w:tcPr>
            <w:tcW w:w="0" w:type="auto"/>
            <w:vAlign w:val="center"/>
          </w:tcPr>
          <w:p w14:paraId="56600E90" w14:textId="77777777" w:rsidR="004D1A15" w:rsidRDefault="004D1A15" w:rsidP="005C0567">
            <w:pPr>
              <w:jc w:val="center"/>
            </w:pPr>
          </w:p>
        </w:tc>
      </w:tr>
      <w:tr w:rsidR="004D1A15" w14:paraId="4B624886" w14:textId="77777777" w:rsidTr="005C0567">
        <w:tc>
          <w:tcPr>
            <w:tcW w:w="0" w:type="auto"/>
            <w:shd w:val="clear" w:color="auto" w:fill="D9D9D9" w:themeFill="background1" w:themeFillShade="D9"/>
            <w:tcMar>
              <w:left w:w="29" w:type="dxa"/>
              <w:right w:w="115" w:type="dxa"/>
            </w:tcMar>
            <w:vAlign w:val="center"/>
          </w:tcPr>
          <w:p w14:paraId="439ABBF5" w14:textId="77777777" w:rsidR="004D1A15" w:rsidRPr="00870B5D" w:rsidRDefault="004D1A15" w:rsidP="005C0567">
            <w:pPr>
              <w:rPr>
                <w:b/>
                <w:bCs/>
              </w:rPr>
            </w:pPr>
            <w:r w:rsidRPr="00870B5D">
              <w:rPr>
                <w:b/>
                <w:bCs/>
              </w:rPr>
              <w:t xml:space="preserve">Measure of </w:t>
            </w:r>
            <w:r>
              <w:rPr>
                <w:b/>
                <w:bCs/>
              </w:rPr>
              <w:t>f</w:t>
            </w:r>
            <w:r w:rsidRPr="00870B5D">
              <w:rPr>
                <w:b/>
                <w:bCs/>
              </w:rPr>
              <w:t>railty</w:t>
            </w:r>
          </w:p>
        </w:tc>
        <w:tc>
          <w:tcPr>
            <w:tcW w:w="2088" w:type="dxa"/>
            <w:shd w:val="clear" w:color="auto" w:fill="D9D9D9" w:themeFill="background1" w:themeFillShade="D9"/>
            <w:vAlign w:val="center"/>
          </w:tcPr>
          <w:p w14:paraId="222979DA" w14:textId="77777777" w:rsidR="004D1A15" w:rsidRDefault="004D1A15" w:rsidP="005C0567">
            <w:pPr>
              <w:jc w:val="center"/>
            </w:pPr>
          </w:p>
        </w:tc>
        <w:tc>
          <w:tcPr>
            <w:tcW w:w="1955" w:type="dxa"/>
            <w:shd w:val="clear" w:color="auto" w:fill="D9D9D9" w:themeFill="background1" w:themeFillShade="D9"/>
            <w:vAlign w:val="center"/>
          </w:tcPr>
          <w:p w14:paraId="2C345D7D" w14:textId="77777777" w:rsidR="004D1A15" w:rsidRDefault="004D1A15" w:rsidP="005C0567">
            <w:pPr>
              <w:jc w:val="center"/>
            </w:pPr>
          </w:p>
        </w:tc>
        <w:tc>
          <w:tcPr>
            <w:tcW w:w="0" w:type="auto"/>
            <w:shd w:val="clear" w:color="auto" w:fill="D9D9D9" w:themeFill="background1" w:themeFillShade="D9"/>
            <w:vAlign w:val="center"/>
          </w:tcPr>
          <w:p w14:paraId="6FF34E36" w14:textId="77777777" w:rsidR="004D1A15" w:rsidRDefault="004D1A15" w:rsidP="005C0567">
            <w:pPr>
              <w:jc w:val="center"/>
            </w:pPr>
          </w:p>
        </w:tc>
        <w:tc>
          <w:tcPr>
            <w:tcW w:w="0" w:type="auto"/>
            <w:shd w:val="clear" w:color="auto" w:fill="D9D9D9" w:themeFill="background1" w:themeFillShade="D9"/>
            <w:vAlign w:val="center"/>
          </w:tcPr>
          <w:p w14:paraId="640C6A98" w14:textId="77777777" w:rsidR="004D1A15" w:rsidRDefault="004D1A15" w:rsidP="005C0567">
            <w:pPr>
              <w:jc w:val="center"/>
            </w:pPr>
          </w:p>
        </w:tc>
      </w:tr>
      <w:tr w:rsidR="004D1A15" w14:paraId="178C1F8E" w14:textId="77777777" w:rsidTr="005C0567">
        <w:tc>
          <w:tcPr>
            <w:tcW w:w="0" w:type="auto"/>
            <w:tcMar>
              <w:left w:w="29" w:type="dxa"/>
              <w:right w:w="115" w:type="dxa"/>
            </w:tcMar>
            <w:vAlign w:val="center"/>
          </w:tcPr>
          <w:p w14:paraId="14850776" w14:textId="77777777" w:rsidR="004D1A15" w:rsidRPr="009B05F6" w:rsidRDefault="004D1A15" w:rsidP="005C0567">
            <w:pPr>
              <w:rPr>
                <w:bCs/>
              </w:rPr>
            </w:pPr>
            <w:r w:rsidRPr="009B05F6">
              <w:rPr>
                <w:bCs/>
              </w:rPr>
              <w:t>Claims-based frailty index, median (IQR)</w:t>
            </w:r>
            <w:r w:rsidRPr="00984DDD">
              <w:rPr>
                <w:vertAlign w:val="superscript"/>
              </w:rPr>
              <w:t>¶¶</w:t>
            </w:r>
          </w:p>
        </w:tc>
        <w:tc>
          <w:tcPr>
            <w:tcW w:w="2088" w:type="dxa"/>
            <w:vAlign w:val="center"/>
          </w:tcPr>
          <w:p w14:paraId="4E7BF7FB" w14:textId="77777777" w:rsidR="004D1A15" w:rsidRDefault="004D1A15" w:rsidP="005C0567">
            <w:pPr>
              <w:jc w:val="center"/>
            </w:pPr>
            <w:r>
              <w:t xml:space="preserve">0.173 </w:t>
            </w:r>
          </w:p>
          <w:p w14:paraId="04E54848" w14:textId="77777777" w:rsidR="004D1A15" w:rsidRDefault="004D1A15" w:rsidP="005C0567">
            <w:pPr>
              <w:jc w:val="center"/>
            </w:pPr>
            <w:r>
              <w:t>(0.140 – 0.209)</w:t>
            </w:r>
          </w:p>
        </w:tc>
        <w:tc>
          <w:tcPr>
            <w:tcW w:w="1955" w:type="dxa"/>
            <w:vAlign w:val="center"/>
          </w:tcPr>
          <w:p w14:paraId="6B129B70" w14:textId="77777777" w:rsidR="004D1A15" w:rsidRDefault="004D1A15" w:rsidP="005C0567">
            <w:pPr>
              <w:jc w:val="center"/>
            </w:pPr>
            <w:r>
              <w:t xml:space="preserve">0.161 </w:t>
            </w:r>
          </w:p>
          <w:p w14:paraId="43E21B1D" w14:textId="77777777" w:rsidR="004D1A15" w:rsidRDefault="004D1A15" w:rsidP="005C0567">
            <w:pPr>
              <w:jc w:val="center"/>
            </w:pPr>
            <w:r>
              <w:t>(0.136 – 0.198)</w:t>
            </w:r>
          </w:p>
        </w:tc>
        <w:tc>
          <w:tcPr>
            <w:tcW w:w="0" w:type="auto"/>
            <w:vAlign w:val="center"/>
          </w:tcPr>
          <w:p w14:paraId="5436F217" w14:textId="77777777" w:rsidR="004D1A15" w:rsidRDefault="004D1A15" w:rsidP="005C0567">
            <w:pPr>
              <w:jc w:val="center"/>
            </w:pPr>
            <w:r>
              <w:t>0.17</w:t>
            </w:r>
          </w:p>
        </w:tc>
        <w:tc>
          <w:tcPr>
            <w:tcW w:w="0" w:type="auto"/>
            <w:vAlign w:val="center"/>
          </w:tcPr>
          <w:p w14:paraId="5AF22BEE" w14:textId="77777777" w:rsidR="004D1A15" w:rsidRDefault="004D1A15" w:rsidP="005C0567">
            <w:pPr>
              <w:jc w:val="center"/>
            </w:pPr>
            <w:r>
              <w:t>0.01</w:t>
            </w:r>
          </w:p>
        </w:tc>
      </w:tr>
      <w:tr w:rsidR="004D1A15" w14:paraId="7C4AB97D" w14:textId="77777777" w:rsidTr="005C0567">
        <w:tc>
          <w:tcPr>
            <w:tcW w:w="0" w:type="auto"/>
            <w:gridSpan w:val="5"/>
            <w:tcMar>
              <w:left w:w="29" w:type="dxa"/>
              <w:right w:w="115" w:type="dxa"/>
            </w:tcMar>
            <w:vAlign w:val="center"/>
          </w:tcPr>
          <w:p w14:paraId="75A3591C" w14:textId="77777777" w:rsidR="004D1A15" w:rsidRDefault="004D1A15" w:rsidP="005C0567">
            <w:pPr>
              <w:rPr>
                <w:sz w:val="20"/>
                <w:szCs w:val="20"/>
              </w:rPr>
            </w:pPr>
            <w:r>
              <w:rPr>
                <w:sz w:val="20"/>
                <w:szCs w:val="20"/>
              </w:rPr>
              <w:t>CLL = chronic lymphocytic leukemia; CYP = cytochrome P450; IQR = interquartile range; MCL = mantle cell lymphoma; MZL = marginal zone lymphoma; NSAID = nonsteroidal anti-inflammatory drug; OAC = oral anticoagulant; P-</w:t>
            </w:r>
            <w:proofErr w:type="spellStart"/>
            <w:r>
              <w:rPr>
                <w:sz w:val="20"/>
                <w:szCs w:val="20"/>
              </w:rPr>
              <w:t>gp</w:t>
            </w:r>
            <w:proofErr w:type="spellEnd"/>
            <w:r>
              <w:rPr>
                <w:sz w:val="20"/>
                <w:szCs w:val="20"/>
              </w:rPr>
              <w:t xml:space="preserve"> = p-glycoprotein</w:t>
            </w:r>
          </w:p>
          <w:p w14:paraId="169E6ECD" w14:textId="77777777" w:rsidR="004D1A15" w:rsidRDefault="004D1A15" w:rsidP="005C0567">
            <w:pPr>
              <w:rPr>
                <w:sz w:val="20"/>
                <w:szCs w:val="20"/>
              </w:rPr>
            </w:pPr>
          </w:p>
          <w:p w14:paraId="570D6A0A" w14:textId="77777777" w:rsidR="004D1A15" w:rsidRDefault="004D1A15" w:rsidP="005C0567">
            <w:pPr>
              <w:rPr>
                <w:sz w:val="20"/>
                <w:szCs w:val="20"/>
              </w:rPr>
            </w:pPr>
            <w:r>
              <w:rPr>
                <w:sz w:val="20"/>
                <w:szCs w:val="20"/>
              </w:rPr>
              <w:t>*  Unless otherwise specified</w:t>
            </w:r>
          </w:p>
          <w:p w14:paraId="38A9EAFC" w14:textId="77777777" w:rsidR="004D1A15" w:rsidRPr="00F01591" w:rsidRDefault="004D1A15" w:rsidP="005C0567">
            <w:pPr>
              <w:rPr>
                <w:rFonts w:eastAsia="Calibri"/>
                <w:sz w:val="20"/>
                <w:szCs w:val="20"/>
              </w:rPr>
            </w:pPr>
            <w:r w:rsidRPr="00043D18">
              <w:rPr>
                <w:rFonts w:eastAsia="Calibri"/>
                <w:sz w:val="20"/>
                <w:szCs w:val="20"/>
              </w:rPr>
              <w:t>†</w:t>
            </w:r>
            <w:r>
              <w:rPr>
                <w:rFonts w:eastAsia="Calibri"/>
                <w:sz w:val="20"/>
                <w:szCs w:val="20"/>
              </w:rPr>
              <w:t xml:space="preserve">  Average daily dose calculation: prescription quantity × capsule or tablet strength / prescription days’ supply</w:t>
            </w:r>
          </w:p>
          <w:p w14:paraId="69A887DB" w14:textId="77777777" w:rsidR="004D1A15" w:rsidRPr="00043D18" w:rsidRDefault="004D1A15" w:rsidP="005C0567">
            <w:pPr>
              <w:rPr>
                <w:sz w:val="20"/>
                <w:szCs w:val="20"/>
              </w:rPr>
            </w:pPr>
            <w:r w:rsidRPr="00043D18">
              <w:rPr>
                <w:rFonts w:eastAsia="Calibri"/>
                <w:sz w:val="20"/>
                <w:szCs w:val="20"/>
              </w:rPr>
              <w:t>‡</w:t>
            </w:r>
            <w:r>
              <w:rPr>
                <w:rFonts w:eastAsia="Calibri"/>
                <w:sz w:val="20"/>
                <w:szCs w:val="20"/>
              </w:rPr>
              <w:t xml:space="preserve">  </w:t>
            </w:r>
            <w:proofErr w:type="spellStart"/>
            <w:r>
              <w:rPr>
                <w:rFonts w:eastAsia="Calibri"/>
                <w:sz w:val="20"/>
                <w:szCs w:val="20"/>
              </w:rPr>
              <w:t>Bendamustine</w:t>
            </w:r>
            <w:proofErr w:type="spellEnd"/>
            <w:r>
              <w:rPr>
                <w:rFonts w:eastAsia="Calibri"/>
                <w:sz w:val="20"/>
                <w:szCs w:val="20"/>
              </w:rPr>
              <w:t xml:space="preserve">-rituximab dose was unavailable in Optum </w:t>
            </w:r>
            <w:proofErr w:type="spellStart"/>
            <w:r>
              <w:rPr>
                <w:rFonts w:eastAsia="Calibri"/>
                <w:sz w:val="20"/>
                <w:szCs w:val="20"/>
              </w:rPr>
              <w:t>Clinformatics</w:t>
            </w:r>
            <w:proofErr w:type="spellEnd"/>
            <w:r w:rsidRPr="00BA0092">
              <w:rPr>
                <w:sz w:val="20"/>
                <w:szCs w:val="20"/>
                <w:vertAlign w:val="superscript"/>
              </w:rPr>
              <w:t>®</w:t>
            </w:r>
          </w:p>
          <w:p w14:paraId="0170D340" w14:textId="77777777" w:rsidR="004D1A15" w:rsidRDefault="004D1A15" w:rsidP="005C0567">
            <w:pPr>
              <w:rPr>
                <w:sz w:val="20"/>
                <w:szCs w:val="20"/>
              </w:rPr>
            </w:pPr>
            <w:r w:rsidRPr="00320589">
              <w:rPr>
                <w:sz w:val="20"/>
                <w:szCs w:val="20"/>
              </w:rPr>
              <w:t>§</w:t>
            </w:r>
            <w:r>
              <w:rPr>
                <w:sz w:val="20"/>
                <w:szCs w:val="20"/>
              </w:rPr>
              <w:t xml:space="preserve">   </w:t>
            </w:r>
            <w:r w:rsidRPr="00043D18">
              <w:rPr>
                <w:sz w:val="20"/>
                <w:szCs w:val="20"/>
              </w:rPr>
              <w:t>Covariate was not forced into propensity score, but included as a categorical variable in outcome model</w:t>
            </w:r>
          </w:p>
          <w:p w14:paraId="6064E6EF" w14:textId="77777777" w:rsidR="004D1A15" w:rsidRDefault="004D1A15" w:rsidP="005C0567">
            <w:pPr>
              <w:rPr>
                <w:rFonts w:eastAsia="Calibri"/>
                <w:sz w:val="20"/>
                <w:szCs w:val="20"/>
              </w:rPr>
            </w:pPr>
            <w:r w:rsidRPr="009649A7">
              <w:rPr>
                <w:sz w:val="20"/>
                <w:szCs w:val="20"/>
              </w:rPr>
              <w:t>‖</w:t>
            </w:r>
            <w:r>
              <w:rPr>
                <w:sz w:val="20"/>
                <w:szCs w:val="20"/>
              </w:rPr>
              <w:t xml:space="preserve">  </w:t>
            </w:r>
            <w:r>
              <w:rPr>
                <w:rFonts w:eastAsia="Calibri"/>
                <w:sz w:val="20"/>
                <w:szCs w:val="20"/>
              </w:rPr>
              <w:t>Variable contains group-level information based on census data</w:t>
            </w:r>
          </w:p>
          <w:p w14:paraId="19FC50DE" w14:textId="77777777" w:rsidR="004D1A15" w:rsidRPr="00043D18" w:rsidRDefault="004D1A15" w:rsidP="005C0567">
            <w:pPr>
              <w:rPr>
                <w:rFonts w:eastAsia="Calibri"/>
                <w:sz w:val="20"/>
                <w:szCs w:val="20"/>
              </w:rPr>
            </w:pPr>
            <w:r w:rsidRPr="006213D4">
              <w:rPr>
                <w:sz w:val="20"/>
              </w:rPr>
              <w:t>¶</w:t>
            </w:r>
            <w:r>
              <w:rPr>
                <w:sz w:val="20"/>
              </w:rPr>
              <w:t xml:space="preserve">  </w:t>
            </w:r>
            <w:r>
              <w:rPr>
                <w:rFonts w:eastAsia="Calibri"/>
                <w:sz w:val="20"/>
                <w:szCs w:val="20"/>
              </w:rPr>
              <w:t>Baseline bl</w:t>
            </w:r>
            <w:r w:rsidRPr="00043D18">
              <w:rPr>
                <w:rFonts w:eastAsia="Calibri"/>
                <w:sz w:val="20"/>
                <w:szCs w:val="20"/>
              </w:rPr>
              <w:t xml:space="preserve">eeding </w:t>
            </w:r>
            <w:r>
              <w:rPr>
                <w:rFonts w:eastAsia="Calibri"/>
                <w:sz w:val="20"/>
                <w:szCs w:val="20"/>
              </w:rPr>
              <w:t>was identified using the same diagnosis codes as the</w:t>
            </w:r>
            <w:r w:rsidRPr="00043D18">
              <w:rPr>
                <w:rFonts w:eastAsia="Calibri"/>
                <w:sz w:val="20"/>
                <w:szCs w:val="20"/>
              </w:rPr>
              <w:t xml:space="preserve"> primary outcome</w:t>
            </w:r>
            <w:r>
              <w:rPr>
                <w:rFonts w:eastAsia="Calibri"/>
                <w:sz w:val="20"/>
                <w:szCs w:val="20"/>
              </w:rPr>
              <w:t xml:space="preserve"> definition,</w:t>
            </w:r>
            <w:r w:rsidRPr="00043D18">
              <w:rPr>
                <w:rFonts w:eastAsia="Calibri"/>
                <w:sz w:val="20"/>
                <w:szCs w:val="20"/>
              </w:rPr>
              <w:t xml:space="preserve"> but </w:t>
            </w:r>
            <w:r>
              <w:rPr>
                <w:rFonts w:eastAsia="Calibri"/>
                <w:sz w:val="20"/>
                <w:szCs w:val="20"/>
              </w:rPr>
              <w:t>permitted in any diagnosis position on the claim</w:t>
            </w:r>
          </w:p>
          <w:p w14:paraId="7FB7251E" w14:textId="77777777" w:rsidR="004D1A15" w:rsidRDefault="004D1A15" w:rsidP="005C0567">
            <w:pPr>
              <w:rPr>
                <w:rFonts w:eastAsia="Calibri"/>
                <w:sz w:val="20"/>
                <w:szCs w:val="20"/>
              </w:rPr>
            </w:pPr>
            <w:r>
              <w:rPr>
                <w:rFonts w:eastAsia="Calibri"/>
                <w:sz w:val="20"/>
                <w:szCs w:val="20"/>
              </w:rPr>
              <w:t>**  A</w:t>
            </w:r>
            <w:r w:rsidRPr="00043D18">
              <w:rPr>
                <w:rFonts w:eastAsia="Calibri"/>
                <w:sz w:val="20"/>
                <w:szCs w:val="20"/>
              </w:rPr>
              <w:t>ntimicrobial medications were examine</w:t>
            </w:r>
            <w:r>
              <w:rPr>
                <w:rFonts w:eastAsia="Calibri"/>
                <w:sz w:val="20"/>
                <w:szCs w:val="20"/>
              </w:rPr>
              <w:t>d within 14 (rather than 90</w:t>
            </w:r>
            <w:r w:rsidRPr="00043D18">
              <w:rPr>
                <w:rFonts w:eastAsia="Calibri"/>
                <w:sz w:val="20"/>
                <w:szCs w:val="20"/>
              </w:rPr>
              <w:t>) days prior to index date as these agents are</w:t>
            </w:r>
            <w:r>
              <w:rPr>
                <w:rFonts w:eastAsia="Calibri"/>
                <w:sz w:val="20"/>
                <w:szCs w:val="20"/>
              </w:rPr>
              <w:t xml:space="preserve"> </w:t>
            </w:r>
            <w:r w:rsidRPr="00043D18">
              <w:rPr>
                <w:rFonts w:eastAsia="Calibri"/>
                <w:sz w:val="20"/>
                <w:szCs w:val="20"/>
              </w:rPr>
              <w:t>typically prescribed for acute conditions</w:t>
            </w:r>
          </w:p>
          <w:p w14:paraId="3017F340" w14:textId="77777777" w:rsidR="004D1A15" w:rsidRDefault="004D1A15" w:rsidP="005C0567">
            <w:pPr>
              <w:rPr>
                <w:rFonts w:eastAsia="Calibri"/>
                <w:sz w:val="20"/>
                <w:szCs w:val="20"/>
                <w:vertAlign w:val="superscript"/>
              </w:rPr>
            </w:pPr>
            <w:r w:rsidRPr="00043D18">
              <w:rPr>
                <w:rFonts w:eastAsia="Calibri"/>
                <w:sz w:val="20"/>
                <w:szCs w:val="20"/>
              </w:rPr>
              <w:t>††</w:t>
            </w:r>
            <w:r>
              <w:rPr>
                <w:rFonts w:eastAsia="Calibri"/>
                <w:sz w:val="20"/>
                <w:szCs w:val="20"/>
              </w:rPr>
              <w:t xml:space="preserve">  Anticancer therapy was examined within 180 days prior to index date</w:t>
            </w:r>
          </w:p>
          <w:p w14:paraId="21DBA1C3" w14:textId="77777777" w:rsidR="004D1A15" w:rsidRDefault="004D1A15" w:rsidP="005C0567">
            <w:pPr>
              <w:rPr>
                <w:rFonts w:eastAsia="Calibri"/>
                <w:sz w:val="20"/>
                <w:szCs w:val="20"/>
              </w:rPr>
            </w:pPr>
            <w:r w:rsidRPr="00043D18">
              <w:rPr>
                <w:rFonts w:eastAsia="Calibri"/>
                <w:sz w:val="20"/>
                <w:szCs w:val="20"/>
              </w:rPr>
              <w:t>‡‡</w:t>
            </w:r>
            <w:r>
              <w:rPr>
                <w:rFonts w:eastAsia="Calibri"/>
                <w:sz w:val="20"/>
                <w:szCs w:val="20"/>
              </w:rPr>
              <w:t xml:space="preserve">  Medications identified using the Drug Interactions Flockhart Table</w:t>
            </w:r>
            <w:r w:rsidRPr="00E13226">
              <w:rPr>
                <w:rFonts w:eastAsia="Calibri"/>
                <w:sz w:val="20"/>
                <w:szCs w:val="20"/>
                <w:vertAlign w:val="superscript"/>
              </w:rPr>
              <w:t>TM</w:t>
            </w:r>
            <w:r>
              <w:rPr>
                <w:rFonts w:eastAsia="Calibri"/>
                <w:sz w:val="20"/>
                <w:szCs w:val="20"/>
                <w:vertAlign w:val="superscript"/>
              </w:rPr>
              <w:t>1</w:t>
            </w:r>
          </w:p>
          <w:p w14:paraId="01D98292" w14:textId="77777777" w:rsidR="004D1A15" w:rsidRDefault="004D1A15" w:rsidP="005C0567">
            <w:pPr>
              <w:rPr>
                <w:sz w:val="20"/>
                <w:szCs w:val="20"/>
              </w:rPr>
            </w:pPr>
            <w:r w:rsidRPr="00320589">
              <w:rPr>
                <w:sz w:val="20"/>
                <w:szCs w:val="20"/>
              </w:rPr>
              <w:t>§§</w:t>
            </w:r>
            <w:r>
              <w:rPr>
                <w:sz w:val="20"/>
                <w:szCs w:val="20"/>
              </w:rPr>
              <w:t xml:space="preserve">  </w:t>
            </w:r>
            <w:r>
              <w:rPr>
                <w:rFonts w:eastAsia="Calibri"/>
                <w:sz w:val="20"/>
                <w:szCs w:val="20"/>
              </w:rPr>
              <w:t>Variable not included in propensity score due to low cell counts</w:t>
            </w:r>
          </w:p>
          <w:p w14:paraId="1072CE85" w14:textId="77777777" w:rsidR="004D1A15" w:rsidRDefault="004D1A15" w:rsidP="005C0567">
            <w:pPr>
              <w:rPr>
                <w:rFonts w:eastAsia="Calibri"/>
                <w:sz w:val="20"/>
                <w:szCs w:val="20"/>
              </w:rPr>
            </w:pPr>
            <w:r w:rsidRPr="009649A7">
              <w:rPr>
                <w:sz w:val="20"/>
                <w:szCs w:val="20"/>
              </w:rPr>
              <w:t>‖‖</w:t>
            </w:r>
            <w:r>
              <w:rPr>
                <w:sz w:val="20"/>
              </w:rPr>
              <w:t xml:space="preserve">  </w:t>
            </w:r>
            <w:r>
              <w:rPr>
                <w:sz w:val="20"/>
                <w:szCs w:val="20"/>
              </w:rPr>
              <w:t>Medications identified using UpToDate</w:t>
            </w:r>
            <w:r w:rsidRPr="00B466D6">
              <w:rPr>
                <w:sz w:val="20"/>
                <w:szCs w:val="20"/>
                <w:vertAlign w:val="superscript"/>
              </w:rPr>
              <w:t>®</w:t>
            </w:r>
            <w:r>
              <w:rPr>
                <w:sz w:val="20"/>
                <w:szCs w:val="20"/>
              </w:rPr>
              <w:t xml:space="preserve"> list of P-</w:t>
            </w:r>
            <w:proofErr w:type="spellStart"/>
            <w:r>
              <w:rPr>
                <w:sz w:val="20"/>
                <w:szCs w:val="20"/>
              </w:rPr>
              <w:t>gp</w:t>
            </w:r>
            <w:proofErr w:type="spellEnd"/>
            <w:r>
              <w:rPr>
                <w:sz w:val="20"/>
                <w:szCs w:val="20"/>
              </w:rPr>
              <w:t xml:space="preserve"> inhibitors and inducers</w:t>
            </w:r>
            <w:r w:rsidRPr="00AD13A1">
              <w:rPr>
                <w:sz w:val="20"/>
                <w:szCs w:val="20"/>
                <w:vertAlign w:val="superscript"/>
              </w:rPr>
              <w:t>2</w:t>
            </w:r>
          </w:p>
          <w:p w14:paraId="1F696FA1" w14:textId="77777777" w:rsidR="004D1A15" w:rsidRPr="001B29F6" w:rsidRDefault="004D1A15" w:rsidP="005C0567">
            <w:pPr>
              <w:rPr>
                <w:sz w:val="20"/>
                <w:szCs w:val="20"/>
              </w:rPr>
            </w:pPr>
            <w:r w:rsidRPr="006213D4">
              <w:rPr>
                <w:sz w:val="20"/>
              </w:rPr>
              <w:t>¶¶</w:t>
            </w:r>
            <w:r>
              <w:rPr>
                <w:sz w:val="20"/>
                <w:szCs w:val="20"/>
              </w:rPr>
              <w:t xml:space="preserve"> </w:t>
            </w:r>
            <w:r>
              <w:rPr>
                <w:sz w:val="20"/>
              </w:rPr>
              <w:t>Claims-based frailty index</w:t>
            </w:r>
            <w:r w:rsidRPr="001E1852">
              <w:rPr>
                <w:sz w:val="20"/>
                <w:vertAlign w:val="superscript"/>
              </w:rPr>
              <w:t>3</w:t>
            </w:r>
            <w:r>
              <w:rPr>
                <w:sz w:val="20"/>
              </w:rPr>
              <w:t xml:space="preserve"> categories: non-frail: &lt;0.10; pre-frail: 0.10 – 0.19; mildly frail: 0.20 – 0.29; moderately frail: 0.30 – 0.39; severely frail: ≥0.40</w:t>
            </w:r>
          </w:p>
          <w:p w14:paraId="2AEC3D85" w14:textId="77777777" w:rsidR="004D1A15" w:rsidRDefault="004D1A15" w:rsidP="005C0567"/>
          <w:p w14:paraId="4400DC7A" w14:textId="77777777" w:rsidR="004D1A15" w:rsidRPr="00AD13A1" w:rsidRDefault="004D1A15" w:rsidP="005C0567">
            <w:pPr>
              <w:rPr>
                <w:sz w:val="20"/>
              </w:rPr>
            </w:pPr>
            <w:r w:rsidRPr="00AD13A1">
              <w:rPr>
                <w:rFonts w:eastAsia="Calibri"/>
                <w:sz w:val="20"/>
                <w:szCs w:val="20"/>
              </w:rPr>
              <w:t>1.</w:t>
            </w:r>
            <w:r>
              <w:rPr>
                <w:sz w:val="20"/>
              </w:rPr>
              <w:t xml:space="preserve"> </w:t>
            </w:r>
            <w:r w:rsidRPr="00AD13A1">
              <w:rPr>
                <w:sz w:val="20"/>
              </w:rPr>
              <w:t>Flockhart DA, et al. The Flockhart Table™. Drug Interactions: Cytochrome P450 drug interaction table. Indiana University School of Medicine. 2020.</w:t>
            </w:r>
          </w:p>
          <w:p w14:paraId="701700E5" w14:textId="77777777" w:rsidR="004D1A15" w:rsidRPr="00B466D6" w:rsidRDefault="004D1A15" w:rsidP="005C0567">
            <w:pPr>
              <w:rPr>
                <w:rFonts w:eastAsia="Calibri"/>
                <w:sz w:val="20"/>
                <w:szCs w:val="20"/>
              </w:rPr>
            </w:pPr>
            <w:r w:rsidRPr="00B466D6">
              <w:rPr>
                <w:rFonts w:eastAsia="Calibri"/>
                <w:sz w:val="20"/>
                <w:szCs w:val="20"/>
              </w:rPr>
              <w:t>2. Inhibitors and inducers of P-glycoprotein (P-</w:t>
            </w:r>
            <w:proofErr w:type="spellStart"/>
            <w:r w:rsidRPr="00B466D6">
              <w:rPr>
                <w:rFonts w:eastAsia="Calibri"/>
                <w:sz w:val="20"/>
                <w:szCs w:val="20"/>
              </w:rPr>
              <w:t>gp</w:t>
            </w:r>
            <w:proofErr w:type="spellEnd"/>
            <w:r w:rsidRPr="00B466D6">
              <w:rPr>
                <w:rFonts w:eastAsia="Calibri"/>
                <w:sz w:val="20"/>
                <w:szCs w:val="20"/>
              </w:rPr>
              <w:t>) drug efflux pump (P-</w:t>
            </w:r>
            <w:proofErr w:type="spellStart"/>
            <w:r w:rsidRPr="00B466D6">
              <w:rPr>
                <w:rFonts w:eastAsia="Calibri"/>
                <w:sz w:val="20"/>
                <w:szCs w:val="20"/>
              </w:rPr>
              <w:t>gp</w:t>
            </w:r>
            <w:proofErr w:type="spellEnd"/>
            <w:r w:rsidRPr="00B466D6">
              <w:rPr>
                <w:rFonts w:eastAsia="Calibri"/>
                <w:sz w:val="20"/>
                <w:szCs w:val="20"/>
              </w:rPr>
              <w:t xml:space="preserve"> multidrug resistance transporter). UpToDate</w:t>
            </w:r>
            <w:r w:rsidRPr="00B466D6">
              <w:rPr>
                <w:sz w:val="20"/>
                <w:szCs w:val="20"/>
                <w:vertAlign w:val="superscript"/>
              </w:rPr>
              <w:t>®</w:t>
            </w:r>
            <w:r w:rsidRPr="00B466D6">
              <w:rPr>
                <w:sz w:val="20"/>
                <w:szCs w:val="20"/>
              </w:rPr>
              <w:t>. 2022.</w:t>
            </w:r>
          </w:p>
          <w:p w14:paraId="3D8A4375" w14:textId="77777777" w:rsidR="004D1A15" w:rsidRDefault="004D1A15" w:rsidP="005C0567">
            <w:r>
              <w:rPr>
                <w:rFonts w:eastAsia="Calibri"/>
                <w:sz w:val="20"/>
                <w:szCs w:val="20"/>
              </w:rPr>
              <w:t xml:space="preserve">3. </w:t>
            </w:r>
            <w:r w:rsidRPr="007942E0">
              <w:rPr>
                <w:rFonts w:eastAsia="Calibri"/>
                <w:sz w:val="20"/>
                <w:szCs w:val="20"/>
              </w:rPr>
              <w:t xml:space="preserve">Kim et al. </w:t>
            </w:r>
            <w:r w:rsidRPr="007942E0">
              <w:rPr>
                <w:sz w:val="20"/>
                <w:szCs w:val="20"/>
              </w:rPr>
              <w:t xml:space="preserve">Measuring Frailty in Medicare Data: Development and Validation of a Claims-Based Frailty Index. </w:t>
            </w:r>
            <w:r w:rsidRPr="007942E0">
              <w:rPr>
                <w:i/>
                <w:iCs/>
                <w:sz w:val="20"/>
                <w:szCs w:val="20"/>
              </w:rPr>
              <w:t xml:space="preserve">J </w:t>
            </w:r>
            <w:proofErr w:type="spellStart"/>
            <w:r w:rsidRPr="007942E0">
              <w:rPr>
                <w:i/>
                <w:iCs/>
                <w:sz w:val="20"/>
                <w:szCs w:val="20"/>
              </w:rPr>
              <w:t>Gerontol</w:t>
            </w:r>
            <w:proofErr w:type="spellEnd"/>
            <w:r w:rsidRPr="007942E0">
              <w:rPr>
                <w:i/>
                <w:iCs/>
                <w:sz w:val="20"/>
                <w:szCs w:val="20"/>
              </w:rPr>
              <w:t xml:space="preserve"> A Biol Sci Med Sci</w:t>
            </w:r>
            <w:r w:rsidRPr="007942E0">
              <w:rPr>
                <w:sz w:val="20"/>
                <w:szCs w:val="20"/>
              </w:rPr>
              <w:t>. 2018;73(7):980-7.</w:t>
            </w:r>
          </w:p>
        </w:tc>
      </w:tr>
    </w:tbl>
    <w:p w14:paraId="59BAF661" w14:textId="77777777" w:rsidR="004D1A15" w:rsidRDefault="004D1A15">
      <w:pPr>
        <w:rPr>
          <w:rFonts w:eastAsiaTheme="majorEastAsia" w:cs="Times New Roman"/>
          <w:b/>
          <w:bCs/>
          <w:szCs w:val="24"/>
        </w:rPr>
      </w:pPr>
      <w:r>
        <w:rPr>
          <w:rFonts w:cs="Times New Roman"/>
          <w:b/>
          <w:bCs/>
          <w:szCs w:val="24"/>
        </w:rPr>
        <w:br w:type="page"/>
      </w:r>
    </w:p>
    <w:p w14:paraId="748ADEBF" w14:textId="77777777" w:rsidR="004D1A15" w:rsidRPr="00E75620" w:rsidRDefault="004D1A15" w:rsidP="00E75620">
      <w:pPr>
        <w:pStyle w:val="Heading1"/>
        <w:rPr>
          <w:rFonts w:ascii="Times New Roman" w:hAnsi="Times New Roman" w:cs="Times New Roman"/>
          <w:b/>
          <w:bCs/>
          <w:color w:val="auto"/>
          <w:sz w:val="24"/>
          <w:szCs w:val="24"/>
        </w:rPr>
      </w:pPr>
      <w:r w:rsidRPr="00E75620">
        <w:rPr>
          <w:rFonts w:ascii="Times New Roman" w:hAnsi="Times New Roman" w:cs="Times New Roman"/>
          <w:b/>
          <w:bCs/>
          <w:color w:val="auto"/>
          <w:sz w:val="24"/>
          <w:szCs w:val="24"/>
        </w:rPr>
        <w:lastRenderedPageBreak/>
        <w:t xml:space="preserve">Supplementary Table </w:t>
      </w:r>
      <w:r>
        <w:rPr>
          <w:rFonts w:ascii="Times New Roman" w:hAnsi="Times New Roman" w:cs="Times New Roman"/>
          <w:b/>
          <w:bCs/>
          <w:color w:val="auto"/>
          <w:sz w:val="24"/>
          <w:szCs w:val="24"/>
        </w:rPr>
        <w:t>6</w:t>
      </w:r>
      <w:r w:rsidRPr="00E75620">
        <w:rPr>
          <w:rFonts w:ascii="Times New Roman" w:hAnsi="Times New Roman" w:cs="Times New Roman"/>
          <w:b/>
          <w:bCs/>
          <w:color w:val="auto"/>
          <w:sz w:val="24"/>
          <w:szCs w:val="24"/>
        </w:rPr>
        <w:t>. Baseline characteristics in the weighted population.</w:t>
      </w:r>
    </w:p>
    <w:tbl>
      <w:tblPr>
        <w:tblStyle w:val="TableGrid"/>
        <w:tblW w:w="0" w:type="auto"/>
        <w:tblLook w:val="04A0" w:firstRow="1" w:lastRow="0" w:firstColumn="1" w:lastColumn="0" w:noHBand="0" w:noVBand="1"/>
      </w:tblPr>
      <w:tblGrid>
        <w:gridCol w:w="3166"/>
        <w:gridCol w:w="1544"/>
        <w:gridCol w:w="2384"/>
        <w:gridCol w:w="2256"/>
      </w:tblGrid>
      <w:tr w:rsidR="004D1A15" w14:paraId="25F3337C" w14:textId="77777777" w:rsidTr="007411E6">
        <w:tc>
          <w:tcPr>
            <w:tcW w:w="0" w:type="auto"/>
            <w:shd w:val="clear" w:color="auto" w:fill="D9D9D9" w:themeFill="background1" w:themeFillShade="D9"/>
            <w:tcMar>
              <w:left w:w="29" w:type="dxa"/>
              <w:right w:w="115" w:type="dxa"/>
            </w:tcMar>
            <w:vAlign w:val="center"/>
          </w:tcPr>
          <w:p w14:paraId="0E903ABA" w14:textId="77777777" w:rsidR="004D1A15" w:rsidRPr="00705776" w:rsidRDefault="004D1A15" w:rsidP="00C5210C">
            <w:pPr>
              <w:rPr>
                <w:b/>
              </w:rPr>
            </w:pPr>
            <w:r>
              <w:rPr>
                <w:b/>
              </w:rPr>
              <w:t>Characteristic, N (%)</w:t>
            </w:r>
            <w:r w:rsidRPr="00443ABD">
              <w:rPr>
                <w:b/>
                <w:vertAlign w:val="superscript"/>
              </w:rPr>
              <w:t>*</w:t>
            </w:r>
          </w:p>
        </w:tc>
        <w:tc>
          <w:tcPr>
            <w:tcW w:w="0" w:type="auto"/>
            <w:shd w:val="clear" w:color="auto" w:fill="D9D9D9" w:themeFill="background1" w:themeFillShade="D9"/>
            <w:vAlign w:val="center"/>
          </w:tcPr>
          <w:p w14:paraId="4E29B66E" w14:textId="77777777" w:rsidR="004D1A15" w:rsidRDefault="004D1A15" w:rsidP="00C5210C">
            <w:pPr>
              <w:jc w:val="center"/>
              <w:rPr>
                <w:b/>
              </w:rPr>
            </w:pPr>
            <w:r w:rsidRPr="00705776">
              <w:rPr>
                <w:b/>
              </w:rPr>
              <w:t>Ibrutinib</w:t>
            </w:r>
            <w:r>
              <w:rPr>
                <w:b/>
              </w:rPr>
              <w:t xml:space="preserve"> + OAC</w:t>
            </w:r>
          </w:p>
          <w:p w14:paraId="31487107" w14:textId="77777777" w:rsidR="004D1A15" w:rsidRPr="00705776" w:rsidRDefault="004D1A15" w:rsidP="00C5210C">
            <w:pPr>
              <w:jc w:val="center"/>
              <w:rPr>
                <w:b/>
              </w:rPr>
            </w:pPr>
            <w:r>
              <w:rPr>
                <w:b/>
              </w:rPr>
              <w:t>N = 498</w:t>
            </w:r>
          </w:p>
        </w:tc>
        <w:tc>
          <w:tcPr>
            <w:tcW w:w="0" w:type="auto"/>
            <w:shd w:val="clear" w:color="auto" w:fill="D9D9D9" w:themeFill="background1" w:themeFillShade="D9"/>
            <w:vAlign w:val="center"/>
          </w:tcPr>
          <w:p w14:paraId="4324F5EE" w14:textId="77777777" w:rsidR="004D1A15" w:rsidRDefault="004D1A15" w:rsidP="00C5210C">
            <w:pPr>
              <w:jc w:val="center"/>
              <w:rPr>
                <w:b/>
              </w:rPr>
            </w:pPr>
            <w:proofErr w:type="spellStart"/>
            <w:r w:rsidRPr="00705776">
              <w:rPr>
                <w:b/>
              </w:rPr>
              <w:t>B</w:t>
            </w:r>
            <w:r>
              <w:rPr>
                <w:b/>
              </w:rPr>
              <w:t>endamustine</w:t>
            </w:r>
            <w:proofErr w:type="spellEnd"/>
            <w:r>
              <w:rPr>
                <w:b/>
              </w:rPr>
              <w:t>-Rituximab + OAC</w:t>
            </w:r>
          </w:p>
          <w:p w14:paraId="7BFB83DF" w14:textId="77777777" w:rsidR="004D1A15" w:rsidRPr="00705776" w:rsidRDefault="004D1A15" w:rsidP="00C5210C">
            <w:pPr>
              <w:jc w:val="center"/>
              <w:rPr>
                <w:b/>
              </w:rPr>
            </w:pPr>
            <w:r>
              <w:rPr>
                <w:b/>
              </w:rPr>
              <w:t>N = 200</w:t>
            </w:r>
          </w:p>
        </w:tc>
        <w:tc>
          <w:tcPr>
            <w:tcW w:w="0" w:type="auto"/>
            <w:shd w:val="clear" w:color="auto" w:fill="D9D9D9" w:themeFill="background1" w:themeFillShade="D9"/>
            <w:vAlign w:val="center"/>
          </w:tcPr>
          <w:p w14:paraId="7AFF0F19" w14:textId="77777777" w:rsidR="004D1A15" w:rsidRPr="00705776" w:rsidRDefault="004D1A15" w:rsidP="00C5210C">
            <w:pPr>
              <w:jc w:val="center"/>
              <w:rPr>
                <w:b/>
              </w:rPr>
            </w:pPr>
            <w:r>
              <w:rPr>
                <w:b/>
              </w:rPr>
              <w:t xml:space="preserve">Absolute </w:t>
            </w:r>
            <w:r w:rsidRPr="00705776">
              <w:rPr>
                <w:b/>
              </w:rPr>
              <w:t>S</w:t>
            </w:r>
            <w:r>
              <w:rPr>
                <w:b/>
              </w:rPr>
              <w:t>tandardized Difference</w:t>
            </w:r>
          </w:p>
        </w:tc>
      </w:tr>
      <w:tr w:rsidR="004D1A15" w14:paraId="389EF83E" w14:textId="77777777" w:rsidTr="00C5210C">
        <w:tc>
          <w:tcPr>
            <w:tcW w:w="0" w:type="auto"/>
            <w:tcMar>
              <w:left w:w="29" w:type="dxa"/>
              <w:right w:w="115" w:type="dxa"/>
            </w:tcMar>
            <w:vAlign w:val="center"/>
          </w:tcPr>
          <w:p w14:paraId="7E0AEA32" w14:textId="77777777" w:rsidR="004D1A15" w:rsidRPr="00EA50E0" w:rsidRDefault="004D1A15" w:rsidP="00C5210C">
            <w:pPr>
              <w:rPr>
                <w:bCs/>
              </w:rPr>
            </w:pPr>
            <w:r w:rsidRPr="00EA50E0">
              <w:rPr>
                <w:bCs/>
              </w:rPr>
              <w:t xml:space="preserve">Cancer </w:t>
            </w:r>
            <w:r>
              <w:rPr>
                <w:bCs/>
              </w:rPr>
              <w:t>t</w:t>
            </w:r>
            <w:r w:rsidRPr="00EA50E0">
              <w:rPr>
                <w:bCs/>
              </w:rPr>
              <w:t>ype</w:t>
            </w:r>
          </w:p>
        </w:tc>
        <w:tc>
          <w:tcPr>
            <w:tcW w:w="0" w:type="auto"/>
            <w:vAlign w:val="center"/>
          </w:tcPr>
          <w:p w14:paraId="03C76B51" w14:textId="77777777" w:rsidR="004D1A15" w:rsidRDefault="004D1A15" w:rsidP="00C5210C">
            <w:pPr>
              <w:jc w:val="center"/>
            </w:pPr>
          </w:p>
        </w:tc>
        <w:tc>
          <w:tcPr>
            <w:tcW w:w="0" w:type="auto"/>
            <w:vAlign w:val="center"/>
          </w:tcPr>
          <w:p w14:paraId="146CAC50" w14:textId="77777777" w:rsidR="004D1A15" w:rsidRDefault="004D1A15" w:rsidP="00C5210C">
            <w:pPr>
              <w:jc w:val="center"/>
            </w:pPr>
          </w:p>
        </w:tc>
        <w:tc>
          <w:tcPr>
            <w:tcW w:w="0" w:type="auto"/>
            <w:vAlign w:val="center"/>
          </w:tcPr>
          <w:p w14:paraId="281B4125" w14:textId="77777777" w:rsidR="004D1A15" w:rsidRDefault="004D1A15" w:rsidP="00C5210C">
            <w:pPr>
              <w:jc w:val="center"/>
            </w:pPr>
          </w:p>
        </w:tc>
      </w:tr>
      <w:tr w:rsidR="004D1A15" w14:paraId="7DA6EC32" w14:textId="77777777" w:rsidTr="00C5210C">
        <w:tc>
          <w:tcPr>
            <w:tcW w:w="0" w:type="auto"/>
            <w:vAlign w:val="center"/>
          </w:tcPr>
          <w:p w14:paraId="45A62728" w14:textId="77777777" w:rsidR="004D1A15" w:rsidRPr="00EA50E0" w:rsidRDefault="004D1A15" w:rsidP="00C5210C">
            <w:pPr>
              <w:rPr>
                <w:bCs/>
              </w:rPr>
            </w:pPr>
            <w:r w:rsidRPr="00EA50E0">
              <w:rPr>
                <w:bCs/>
              </w:rPr>
              <w:t>CLL</w:t>
            </w:r>
          </w:p>
        </w:tc>
        <w:tc>
          <w:tcPr>
            <w:tcW w:w="0" w:type="auto"/>
            <w:vAlign w:val="center"/>
          </w:tcPr>
          <w:p w14:paraId="1239120F" w14:textId="77777777" w:rsidR="004D1A15" w:rsidRDefault="004D1A15" w:rsidP="0017193B">
            <w:pPr>
              <w:jc w:val="center"/>
            </w:pPr>
            <w:r>
              <w:t>442 (88.8)</w:t>
            </w:r>
          </w:p>
        </w:tc>
        <w:tc>
          <w:tcPr>
            <w:tcW w:w="0" w:type="auto"/>
            <w:vAlign w:val="center"/>
          </w:tcPr>
          <w:p w14:paraId="32768BD6" w14:textId="77777777" w:rsidR="004D1A15" w:rsidRDefault="004D1A15" w:rsidP="00C5210C">
            <w:pPr>
              <w:jc w:val="center"/>
            </w:pPr>
            <w:r>
              <w:t>109 (54.5)</w:t>
            </w:r>
          </w:p>
        </w:tc>
        <w:tc>
          <w:tcPr>
            <w:tcW w:w="0" w:type="auto"/>
            <w:vAlign w:val="center"/>
          </w:tcPr>
          <w:p w14:paraId="08DF680A" w14:textId="77777777" w:rsidR="004D1A15" w:rsidRDefault="004D1A15" w:rsidP="00C5210C">
            <w:pPr>
              <w:jc w:val="center"/>
            </w:pPr>
            <w:r>
              <w:t>0.86</w:t>
            </w:r>
          </w:p>
        </w:tc>
      </w:tr>
      <w:tr w:rsidR="004D1A15" w14:paraId="56370B90" w14:textId="77777777" w:rsidTr="00C5210C">
        <w:tc>
          <w:tcPr>
            <w:tcW w:w="0" w:type="auto"/>
            <w:vAlign w:val="center"/>
          </w:tcPr>
          <w:p w14:paraId="07C02C95" w14:textId="77777777" w:rsidR="004D1A15" w:rsidRPr="00EA50E0" w:rsidRDefault="004D1A15" w:rsidP="00C5210C">
            <w:pPr>
              <w:rPr>
                <w:bCs/>
              </w:rPr>
            </w:pPr>
            <w:r w:rsidRPr="00EA50E0">
              <w:rPr>
                <w:bCs/>
              </w:rPr>
              <w:t>MCL</w:t>
            </w:r>
          </w:p>
        </w:tc>
        <w:tc>
          <w:tcPr>
            <w:tcW w:w="0" w:type="auto"/>
            <w:vAlign w:val="center"/>
          </w:tcPr>
          <w:p w14:paraId="727B11B0" w14:textId="77777777" w:rsidR="004D1A15" w:rsidRDefault="004D1A15" w:rsidP="00C5210C">
            <w:pPr>
              <w:jc w:val="center"/>
            </w:pPr>
            <w:r>
              <w:t>43 (8.6)</w:t>
            </w:r>
          </w:p>
        </w:tc>
        <w:tc>
          <w:tcPr>
            <w:tcW w:w="0" w:type="auto"/>
            <w:vAlign w:val="center"/>
          </w:tcPr>
          <w:p w14:paraId="76628AAA" w14:textId="77777777" w:rsidR="004D1A15" w:rsidRDefault="004D1A15" w:rsidP="00C5210C">
            <w:pPr>
              <w:jc w:val="center"/>
            </w:pPr>
            <w:r>
              <w:t>56 (28.0)</w:t>
            </w:r>
          </w:p>
        </w:tc>
        <w:tc>
          <w:tcPr>
            <w:tcW w:w="0" w:type="auto"/>
            <w:vAlign w:val="center"/>
          </w:tcPr>
          <w:p w14:paraId="3D6E942B" w14:textId="77777777" w:rsidR="004D1A15" w:rsidRDefault="004D1A15" w:rsidP="00C5210C">
            <w:pPr>
              <w:jc w:val="center"/>
            </w:pPr>
          </w:p>
        </w:tc>
      </w:tr>
      <w:tr w:rsidR="004D1A15" w14:paraId="611E561C" w14:textId="77777777" w:rsidTr="00C5210C">
        <w:tc>
          <w:tcPr>
            <w:tcW w:w="0" w:type="auto"/>
            <w:vAlign w:val="center"/>
          </w:tcPr>
          <w:p w14:paraId="18C37A44" w14:textId="77777777" w:rsidR="004D1A15" w:rsidRPr="00EA50E0" w:rsidRDefault="004D1A15" w:rsidP="00C5210C">
            <w:pPr>
              <w:rPr>
                <w:bCs/>
              </w:rPr>
            </w:pPr>
            <w:r w:rsidRPr="00EA50E0">
              <w:rPr>
                <w:bCs/>
              </w:rPr>
              <w:t>MZL</w:t>
            </w:r>
          </w:p>
        </w:tc>
        <w:tc>
          <w:tcPr>
            <w:tcW w:w="0" w:type="auto"/>
            <w:vAlign w:val="center"/>
          </w:tcPr>
          <w:p w14:paraId="1E364C36" w14:textId="77777777" w:rsidR="004D1A15" w:rsidRDefault="004D1A15" w:rsidP="00C5210C">
            <w:pPr>
              <w:jc w:val="center"/>
            </w:pPr>
            <w:r>
              <w:t>13 (2.6)</w:t>
            </w:r>
          </w:p>
        </w:tc>
        <w:tc>
          <w:tcPr>
            <w:tcW w:w="0" w:type="auto"/>
            <w:vAlign w:val="center"/>
          </w:tcPr>
          <w:p w14:paraId="24166E5D" w14:textId="77777777" w:rsidR="004D1A15" w:rsidRDefault="004D1A15" w:rsidP="00C5210C">
            <w:pPr>
              <w:jc w:val="center"/>
            </w:pPr>
            <w:r>
              <w:t>35 (17.5)</w:t>
            </w:r>
          </w:p>
        </w:tc>
        <w:tc>
          <w:tcPr>
            <w:tcW w:w="0" w:type="auto"/>
            <w:vAlign w:val="center"/>
          </w:tcPr>
          <w:p w14:paraId="0B94A8D9" w14:textId="77777777" w:rsidR="004D1A15" w:rsidRDefault="004D1A15" w:rsidP="00C5210C">
            <w:pPr>
              <w:jc w:val="center"/>
            </w:pPr>
          </w:p>
        </w:tc>
      </w:tr>
      <w:tr w:rsidR="004D1A15" w14:paraId="0E878FEB" w14:textId="77777777" w:rsidTr="00C5210C">
        <w:tc>
          <w:tcPr>
            <w:tcW w:w="0" w:type="auto"/>
            <w:vAlign w:val="center"/>
          </w:tcPr>
          <w:p w14:paraId="63DA62BC" w14:textId="77777777" w:rsidR="004D1A15" w:rsidRPr="00EA50E0" w:rsidRDefault="004D1A15" w:rsidP="00C5210C">
            <w:pPr>
              <w:rPr>
                <w:bCs/>
              </w:rPr>
            </w:pPr>
          </w:p>
        </w:tc>
        <w:tc>
          <w:tcPr>
            <w:tcW w:w="0" w:type="auto"/>
            <w:vAlign w:val="center"/>
          </w:tcPr>
          <w:p w14:paraId="4C0ABC15" w14:textId="77777777" w:rsidR="004D1A15" w:rsidRDefault="004D1A15" w:rsidP="00C5210C">
            <w:pPr>
              <w:jc w:val="center"/>
            </w:pPr>
          </w:p>
        </w:tc>
        <w:tc>
          <w:tcPr>
            <w:tcW w:w="0" w:type="auto"/>
            <w:vAlign w:val="center"/>
          </w:tcPr>
          <w:p w14:paraId="52DE6026" w14:textId="77777777" w:rsidR="004D1A15" w:rsidRDefault="004D1A15" w:rsidP="00C5210C">
            <w:pPr>
              <w:jc w:val="center"/>
            </w:pPr>
          </w:p>
        </w:tc>
        <w:tc>
          <w:tcPr>
            <w:tcW w:w="0" w:type="auto"/>
            <w:vAlign w:val="center"/>
          </w:tcPr>
          <w:p w14:paraId="381B6893" w14:textId="77777777" w:rsidR="004D1A15" w:rsidRDefault="004D1A15" w:rsidP="00C5210C">
            <w:pPr>
              <w:jc w:val="center"/>
            </w:pPr>
          </w:p>
        </w:tc>
      </w:tr>
      <w:tr w:rsidR="004D1A15" w14:paraId="2214A13E" w14:textId="77777777" w:rsidTr="00C5210C">
        <w:tc>
          <w:tcPr>
            <w:tcW w:w="0" w:type="auto"/>
            <w:shd w:val="clear" w:color="auto" w:fill="D9D9D9" w:themeFill="background1" w:themeFillShade="D9"/>
            <w:tcMar>
              <w:left w:w="29" w:type="dxa"/>
              <w:right w:w="115" w:type="dxa"/>
            </w:tcMar>
            <w:vAlign w:val="center"/>
          </w:tcPr>
          <w:p w14:paraId="01A8ECE9" w14:textId="77777777" w:rsidR="004D1A15" w:rsidRDefault="004D1A15" w:rsidP="00C5210C">
            <w:pPr>
              <w:rPr>
                <w:b/>
              </w:rPr>
            </w:pPr>
            <w:r>
              <w:rPr>
                <w:b/>
              </w:rPr>
              <w:t>Demographics</w:t>
            </w:r>
          </w:p>
        </w:tc>
        <w:tc>
          <w:tcPr>
            <w:tcW w:w="0" w:type="auto"/>
            <w:shd w:val="clear" w:color="auto" w:fill="D9D9D9" w:themeFill="background1" w:themeFillShade="D9"/>
            <w:vAlign w:val="center"/>
          </w:tcPr>
          <w:p w14:paraId="48956582" w14:textId="77777777" w:rsidR="004D1A15" w:rsidRDefault="004D1A15" w:rsidP="00C5210C">
            <w:pPr>
              <w:jc w:val="center"/>
            </w:pPr>
          </w:p>
        </w:tc>
        <w:tc>
          <w:tcPr>
            <w:tcW w:w="0" w:type="auto"/>
            <w:shd w:val="clear" w:color="auto" w:fill="D9D9D9" w:themeFill="background1" w:themeFillShade="D9"/>
            <w:vAlign w:val="center"/>
          </w:tcPr>
          <w:p w14:paraId="26641547" w14:textId="77777777" w:rsidR="004D1A15" w:rsidRDefault="004D1A15" w:rsidP="00C5210C">
            <w:pPr>
              <w:jc w:val="center"/>
            </w:pPr>
          </w:p>
        </w:tc>
        <w:tc>
          <w:tcPr>
            <w:tcW w:w="0" w:type="auto"/>
            <w:shd w:val="clear" w:color="auto" w:fill="D9D9D9" w:themeFill="background1" w:themeFillShade="D9"/>
            <w:vAlign w:val="center"/>
          </w:tcPr>
          <w:p w14:paraId="68911D0E" w14:textId="77777777" w:rsidR="004D1A15" w:rsidRDefault="004D1A15" w:rsidP="00C5210C">
            <w:pPr>
              <w:jc w:val="center"/>
            </w:pPr>
          </w:p>
        </w:tc>
      </w:tr>
      <w:tr w:rsidR="004D1A15" w14:paraId="3458E2D3" w14:textId="77777777" w:rsidTr="00C5210C">
        <w:tc>
          <w:tcPr>
            <w:tcW w:w="0" w:type="auto"/>
            <w:tcMar>
              <w:left w:w="29" w:type="dxa"/>
              <w:right w:w="115" w:type="dxa"/>
            </w:tcMar>
            <w:vAlign w:val="center"/>
          </w:tcPr>
          <w:p w14:paraId="0C7A845E" w14:textId="77777777" w:rsidR="004D1A15" w:rsidRPr="00D120FC" w:rsidRDefault="004D1A15" w:rsidP="00C5210C">
            <w:pPr>
              <w:rPr>
                <w:bCs/>
              </w:rPr>
            </w:pPr>
            <w:r w:rsidRPr="00D120FC">
              <w:rPr>
                <w:bCs/>
              </w:rPr>
              <w:t xml:space="preserve">Cohort </w:t>
            </w:r>
            <w:r>
              <w:rPr>
                <w:bCs/>
              </w:rPr>
              <w:t>e</w:t>
            </w:r>
            <w:r w:rsidRPr="00D120FC">
              <w:rPr>
                <w:bCs/>
              </w:rPr>
              <w:t xml:space="preserve">ntry </w:t>
            </w:r>
            <w:r>
              <w:rPr>
                <w:bCs/>
              </w:rPr>
              <w:t>y</w:t>
            </w:r>
            <w:r w:rsidRPr="00D120FC">
              <w:rPr>
                <w:bCs/>
              </w:rPr>
              <w:t>ear</w:t>
            </w:r>
            <w:r w:rsidRPr="00443ABD">
              <w:rPr>
                <w:rFonts w:eastAsia="Calibri"/>
                <w:vertAlign w:val="superscript"/>
              </w:rPr>
              <w:t>†</w:t>
            </w:r>
          </w:p>
        </w:tc>
        <w:tc>
          <w:tcPr>
            <w:tcW w:w="0" w:type="auto"/>
            <w:vAlign w:val="center"/>
          </w:tcPr>
          <w:p w14:paraId="5334D081" w14:textId="77777777" w:rsidR="004D1A15" w:rsidRDefault="004D1A15" w:rsidP="00C5210C">
            <w:pPr>
              <w:jc w:val="center"/>
            </w:pPr>
          </w:p>
        </w:tc>
        <w:tc>
          <w:tcPr>
            <w:tcW w:w="0" w:type="auto"/>
            <w:vAlign w:val="center"/>
          </w:tcPr>
          <w:p w14:paraId="2C2FD435" w14:textId="77777777" w:rsidR="004D1A15" w:rsidRDefault="004D1A15" w:rsidP="00C5210C">
            <w:pPr>
              <w:jc w:val="center"/>
            </w:pPr>
          </w:p>
        </w:tc>
        <w:tc>
          <w:tcPr>
            <w:tcW w:w="0" w:type="auto"/>
            <w:vAlign w:val="center"/>
          </w:tcPr>
          <w:p w14:paraId="41ECCBF2" w14:textId="77777777" w:rsidR="004D1A15" w:rsidRDefault="004D1A15" w:rsidP="00C5210C">
            <w:pPr>
              <w:jc w:val="center"/>
            </w:pPr>
            <w:r>
              <w:t>0.52</w:t>
            </w:r>
          </w:p>
        </w:tc>
      </w:tr>
      <w:tr w:rsidR="004D1A15" w14:paraId="0A473B1B" w14:textId="77777777" w:rsidTr="00C5210C">
        <w:tc>
          <w:tcPr>
            <w:tcW w:w="0" w:type="auto"/>
            <w:vAlign w:val="center"/>
          </w:tcPr>
          <w:p w14:paraId="51027F4F" w14:textId="77777777" w:rsidR="004D1A15" w:rsidRPr="00F9395F" w:rsidRDefault="004D1A15" w:rsidP="00C5210C">
            <w:r w:rsidRPr="00F9395F">
              <w:t>2013</w:t>
            </w:r>
          </w:p>
        </w:tc>
        <w:tc>
          <w:tcPr>
            <w:tcW w:w="0" w:type="auto"/>
            <w:vAlign w:val="center"/>
          </w:tcPr>
          <w:p w14:paraId="67DADE8D" w14:textId="77777777" w:rsidR="004D1A15" w:rsidRDefault="004D1A15" w:rsidP="0017193B">
            <w:pPr>
              <w:jc w:val="center"/>
            </w:pPr>
            <w:r>
              <w:t>8 (1.6)</w:t>
            </w:r>
          </w:p>
        </w:tc>
        <w:tc>
          <w:tcPr>
            <w:tcW w:w="0" w:type="auto"/>
            <w:vAlign w:val="center"/>
          </w:tcPr>
          <w:p w14:paraId="5298B3CB" w14:textId="77777777" w:rsidR="004D1A15" w:rsidRDefault="004D1A15" w:rsidP="00C5210C">
            <w:pPr>
              <w:jc w:val="center"/>
            </w:pPr>
            <w:r>
              <w:t>6 (3.0)</w:t>
            </w:r>
          </w:p>
        </w:tc>
        <w:tc>
          <w:tcPr>
            <w:tcW w:w="0" w:type="auto"/>
            <w:vAlign w:val="center"/>
          </w:tcPr>
          <w:p w14:paraId="47365427" w14:textId="77777777" w:rsidR="004D1A15" w:rsidRDefault="004D1A15" w:rsidP="00C5210C">
            <w:pPr>
              <w:jc w:val="center"/>
            </w:pPr>
          </w:p>
        </w:tc>
      </w:tr>
      <w:tr w:rsidR="004D1A15" w14:paraId="1F78327F" w14:textId="77777777" w:rsidTr="00C5210C">
        <w:tc>
          <w:tcPr>
            <w:tcW w:w="0" w:type="auto"/>
            <w:vAlign w:val="center"/>
          </w:tcPr>
          <w:p w14:paraId="69B3339A" w14:textId="77777777" w:rsidR="004D1A15" w:rsidRPr="00F9395F" w:rsidRDefault="004D1A15" w:rsidP="00C5210C">
            <w:r>
              <w:t>2014</w:t>
            </w:r>
          </w:p>
        </w:tc>
        <w:tc>
          <w:tcPr>
            <w:tcW w:w="0" w:type="auto"/>
            <w:vAlign w:val="center"/>
          </w:tcPr>
          <w:p w14:paraId="1ACF8F03" w14:textId="77777777" w:rsidR="004D1A15" w:rsidRDefault="004D1A15" w:rsidP="00C5210C">
            <w:pPr>
              <w:jc w:val="center"/>
            </w:pPr>
            <w:r>
              <w:t>19 (3.8)</w:t>
            </w:r>
          </w:p>
        </w:tc>
        <w:tc>
          <w:tcPr>
            <w:tcW w:w="0" w:type="auto"/>
            <w:vAlign w:val="center"/>
          </w:tcPr>
          <w:p w14:paraId="27AE276E" w14:textId="77777777" w:rsidR="004D1A15" w:rsidRDefault="004D1A15" w:rsidP="00C5210C">
            <w:pPr>
              <w:jc w:val="center"/>
            </w:pPr>
            <w:r>
              <w:t>29 (14.5)</w:t>
            </w:r>
          </w:p>
        </w:tc>
        <w:tc>
          <w:tcPr>
            <w:tcW w:w="0" w:type="auto"/>
            <w:vAlign w:val="center"/>
          </w:tcPr>
          <w:p w14:paraId="5F2B696C" w14:textId="77777777" w:rsidR="004D1A15" w:rsidRDefault="004D1A15" w:rsidP="00C5210C">
            <w:pPr>
              <w:jc w:val="center"/>
            </w:pPr>
          </w:p>
        </w:tc>
      </w:tr>
      <w:tr w:rsidR="004D1A15" w14:paraId="14F2DC06" w14:textId="77777777" w:rsidTr="00C5210C">
        <w:tc>
          <w:tcPr>
            <w:tcW w:w="0" w:type="auto"/>
            <w:vAlign w:val="center"/>
          </w:tcPr>
          <w:p w14:paraId="6135F8F1" w14:textId="77777777" w:rsidR="004D1A15" w:rsidRPr="00F9395F" w:rsidRDefault="004D1A15" w:rsidP="00C5210C">
            <w:r>
              <w:t>2015</w:t>
            </w:r>
          </w:p>
        </w:tc>
        <w:tc>
          <w:tcPr>
            <w:tcW w:w="0" w:type="auto"/>
            <w:vAlign w:val="center"/>
          </w:tcPr>
          <w:p w14:paraId="6E9C2857" w14:textId="77777777" w:rsidR="004D1A15" w:rsidRDefault="004D1A15" w:rsidP="00C5210C">
            <w:pPr>
              <w:jc w:val="center"/>
            </w:pPr>
            <w:r>
              <w:t>51 (10.2)</w:t>
            </w:r>
          </w:p>
        </w:tc>
        <w:tc>
          <w:tcPr>
            <w:tcW w:w="0" w:type="auto"/>
            <w:vAlign w:val="center"/>
          </w:tcPr>
          <w:p w14:paraId="77C475EE" w14:textId="77777777" w:rsidR="004D1A15" w:rsidRDefault="004D1A15" w:rsidP="00C5210C">
            <w:pPr>
              <w:jc w:val="center"/>
            </w:pPr>
            <w:r>
              <w:t>26 (13.0)</w:t>
            </w:r>
          </w:p>
        </w:tc>
        <w:tc>
          <w:tcPr>
            <w:tcW w:w="0" w:type="auto"/>
            <w:vAlign w:val="center"/>
          </w:tcPr>
          <w:p w14:paraId="46ED340E" w14:textId="77777777" w:rsidR="004D1A15" w:rsidRDefault="004D1A15" w:rsidP="00C5210C">
            <w:pPr>
              <w:jc w:val="center"/>
            </w:pPr>
          </w:p>
        </w:tc>
      </w:tr>
      <w:tr w:rsidR="004D1A15" w14:paraId="1542C00E" w14:textId="77777777" w:rsidTr="00C5210C">
        <w:tc>
          <w:tcPr>
            <w:tcW w:w="0" w:type="auto"/>
            <w:vAlign w:val="center"/>
          </w:tcPr>
          <w:p w14:paraId="43EF8AFA" w14:textId="77777777" w:rsidR="004D1A15" w:rsidRPr="00F9395F" w:rsidRDefault="004D1A15" w:rsidP="00C5210C">
            <w:r>
              <w:t>2016</w:t>
            </w:r>
          </w:p>
        </w:tc>
        <w:tc>
          <w:tcPr>
            <w:tcW w:w="0" w:type="auto"/>
            <w:vAlign w:val="center"/>
          </w:tcPr>
          <w:p w14:paraId="57B36685" w14:textId="77777777" w:rsidR="004D1A15" w:rsidRDefault="004D1A15" w:rsidP="00C5210C">
            <w:pPr>
              <w:jc w:val="center"/>
            </w:pPr>
            <w:r>
              <w:t>75 (15.1)</w:t>
            </w:r>
          </w:p>
        </w:tc>
        <w:tc>
          <w:tcPr>
            <w:tcW w:w="0" w:type="auto"/>
            <w:vAlign w:val="center"/>
          </w:tcPr>
          <w:p w14:paraId="1870E405" w14:textId="77777777" w:rsidR="004D1A15" w:rsidRDefault="004D1A15" w:rsidP="00C5210C">
            <w:pPr>
              <w:jc w:val="center"/>
            </w:pPr>
            <w:r>
              <w:t>21 (10.5)</w:t>
            </w:r>
          </w:p>
        </w:tc>
        <w:tc>
          <w:tcPr>
            <w:tcW w:w="0" w:type="auto"/>
            <w:vAlign w:val="center"/>
          </w:tcPr>
          <w:p w14:paraId="3DE85647" w14:textId="77777777" w:rsidR="004D1A15" w:rsidRDefault="004D1A15" w:rsidP="00C5210C">
            <w:pPr>
              <w:jc w:val="center"/>
            </w:pPr>
          </w:p>
        </w:tc>
      </w:tr>
      <w:tr w:rsidR="004D1A15" w14:paraId="679C0D76" w14:textId="77777777" w:rsidTr="00C5210C">
        <w:tc>
          <w:tcPr>
            <w:tcW w:w="0" w:type="auto"/>
            <w:vAlign w:val="center"/>
          </w:tcPr>
          <w:p w14:paraId="3CCE9FE5" w14:textId="77777777" w:rsidR="004D1A15" w:rsidRPr="00F9395F" w:rsidRDefault="004D1A15" w:rsidP="00C5210C">
            <w:r>
              <w:t>2017</w:t>
            </w:r>
          </w:p>
        </w:tc>
        <w:tc>
          <w:tcPr>
            <w:tcW w:w="0" w:type="auto"/>
            <w:vAlign w:val="center"/>
          </w:tcPr>
          <w:p w14:paraId="5DD8E09E" w14:textId="77777777" w:rsidR="004D1A15" w:rsidRDefault="004D1A15" w:rsidP="00C5210C">
            <w:pPr>
              <w:jc w:val="center"/>
            </w:pPr>
            <w:r>
              <w:t>72 (14.5)</w:t>
            </w:r>
          </w:p>
        </w:tc>
        <w:tc>
          <w:tcPr>
            <w:tcW w:w="0" w:type="auto"/>
            <w:vAlign w:val="center"/>
          </w:tcPr>
          <w:p w14:paraId="642DF1BA" w14:textId="77777777" w:rsidR="004D1A15" w:rsidRDefault="004D1A15" w:rsidP="00C5210C">
            <w:pPr>
              <w:jc w:val="center"/>
            </w:pPr>
            <w:r>
              <w:t>41 (20.5)</w:t>
            </w:r>
          </w:p>
        </w:tc>
        <w:tc>
          <w:tcPr>
            <w:tcW w:w="0" w:type="auto"/>
            <w:vAlign w:val="center"/>
          </w:tcPr>
          <w:p w14:paraId="519F4EBA" w14:textId="77777777" w:rsidR="004D1A15" w:rsidRDefault="004D1A15" w:rsidP="00C5210C">
            <w:pPr>
              <w:jc w:val="center"/>
            </w:pPr>
          </w:p>
        </w:tc>
      </w:tr>
      <w:tr w:rsidR="004D1A15" w14:paraId="2C2289A5" w14:textId="77777777" w:rsidTr="00C5210C">
        <w:tc>
          <w:tcPr>
            <w:tcW w:w="0" w:type="auto"/>
            <w:vAlign w:val="center"/>
          </w:tcPr>
          <w:p w14:paraId="68BD442D" w14:textId="77777777" w:rsidR="004D1A15" w:rsidRPr="00F9395F" w:rsidRDefault="004D1A15" w:rsidP="00C5210C">
            <w:r>
              <w:t>2018</w:t>
            </w:r>
          </w:p>
        </w:tc>
        <w:tc>
          <w:tcPr>
            <w:tcW w:w="0" w:type="auto"/>
            <w:vAlign w:val="center"/>
          </w:tcPr>
          <w:p w14:paraId="3FED6A29" w14:textId="77777777" w:rsidR="004D1A15" w:rsidRDefault="004D1A15" w:rsidP="00C5210C">
            <w:pPr>
              <w:jc w:val="center"/>
            </w:pPr>
            <w:r>
              <w:t>105 (21.1)</w:t>
            </w:r>
          </w:p>
        </w:tc>
        <w:tc>
          <w:tcPr>
            <w:tcW w:w="0" w:type="auto"/>
            <w:vAlign w:val="center"/>
          </w:tcPr>
          <w:p w14:paraId="120E6B62" w14:textId="77777777" w:rsidR="004D1A15" w:rsidRDefault="004D1A15" w:rsidP="00C5210C">
            <w:pPr>
              <w:jc w:val="center"/>
            </w:pPr>
            <w:r>
              <w:t>38 (19.0)</w:t>
            </w:r>
          </w:p>
        </w:tc>
        <w:tc>
          <w:tcPr>
            <w:tcW w:w="0" w:type="auto"/>
            <w:vAlign w:val="center"/>
          </w:tcPr>
          <w:p w14:paraId="4E3A42D3" w14:textId="77777777" w:rsidR="004D1A15" w:rsidRDefault="004D1A15" w:rsidP="00C5210C">
            <w:pPr>
              <w:jc w:val="center"/>
            </w:pPr>
          </w:p>
        </w:tc>
      </w:tr>
      <w:tr w:rsidR="004D1A15" w14:paraId="38673DBE" w14:textId="77777777" w:rsidTr="00C5210C">
        <w:tc>
          <w:tcPr>
            <w:tcW w:w="0" w:type="auto"/>
            <w:vAlign w:val="center"/>
          </w:tcPr>
          <w:p w14:paraId="4407557C" w14:textId="77777777" w:rsidR="004D1A15" w:rsidRPr="00F9395F" w:rsidRDefault="004D1A15" w:rsidP="00C5210C">
            <w:r>
              <w:t>2019</w:t>
            </w:r>
          </w:p>
        </w:tc>
        <w:tc>
          <w:tcPr>
            <w:tcW w:w="0" w:type="auto"/>
            <w:vAlign w:val="center"/>
          </w:tcPr>
          <w:p w14:paraId="68674804" w14:textId="77777777" w:rsidR="004D1A15" w:rsidRDefault="004D1A15" w:rsidP="00C5210C">
            <w:pPr>
              <w:jc w:val="center"/>
            </w:pPr>
            <w:r>
              <w:t>138 (27.7)</w:t>
            </w:r>
          </w:p>
        </w:tc>
        <w:tc>
          <w:tcPr>
            <w:tcW w:w="0" w:type="auto"/>
            <w:vAlign w:val="center"/>
          </w:tcPr>
          <w:p w14:paraId="5D42B6B7" w14:textId="77777777" w:rsidR="004D1A15" w:rsidRDefault="004D1A15" w:rsidP="00C5210C">
            <w:pPr>
              <w:jc w:val="center"/>
            </w:pPr>
            <w:r>
              <w:t>37 (18.5)</w:t>
            </w:r>
          </w:p>
        </w:tc>
        <w:tc>
          <w:tcPr>
            <w:tcW w:w="0" w:type="auto"/>
            <w:vAlign w:val="center"/>
          </w:tcPr>
          <w:p w14:paraId="63686E95" w14:textId="77777777" w:rsidR="004D1A15" w:rsidRDefault="004D1A15" w:rsidP="00C5210C">
            <w:pPr>
              <w:jc w:val="center"/>
            </w:pPr>
          </w:p>
        </w:tc>
      </w:tr>
      <w:tr w:rsidR="004D1A15" w14:paraId="7582B34D" w14:textId="77777777" w:rsidTr="00C5210C">
        <w:tc>
          <w:tcPr>
            <w:tcW w:w="0" w:type="auto"/>
            <w:vAlign w:val="center"/>
          </w:tcPr>
          <w:p w14:paraId="6BB88646" w14:textId="77777777" w:rsidR="004D1A15" w:rsidRPr="00F9395F" w:rsidRDefault="004D1A15" w:rsidP="00C5210C">
            <w:r>
              <w:t>2020</w:t>
            </w:r>
          </w:p>
        </w:tc>
        <w:tc>
          <w:tcPr>
            <w:tcW w:w="0" w:type="auto"/>
            <w:vAlign w:val="center"/>
          </w:tcPr>
          <w:p w14:paraId="21042CFC" w14:textId="77777777" w:rsidR="004D1A15" w:rsidRDefault="004D1A15" w:rsidP="00C5210C">
            <w:pPr>
              <w:jc w:val="center"/>
            </w:pPr>
            <w:r>
              <w:t>30 (6.0)</w:t>
            </w:r>
          </w:p>
        </w:tc>
        <w:tc>
          <w:tcPr>
            <w:tcW w:w="0" w:type="auto"/>
            <w:vAlign w:val="center"/>
          </w:tcPr>
          <w:p w14:paraId="383E7545" w14:textId="77777777" w:rsidR="004D1A15" w:rsidRDefault="004D1A15" w:rsidP="00C5210C">
            <w:pPr>
              <w:jc w:val="center"/>
            </w:pPr>
            <w:r>
              <w:t>2 (1.0)</w:t>
            </w:r>
          </w:p>
        </w:tc>
        <w:tc>
          <w:tcPr>
            <w:tcW w:w="0" w:type="auto"/>
            <w:vAlign w:val="center"/>
          </w:tcPr>
          <w:p w14:paraId="4F25BAF9" w14:textId="77777777" w:rsidR="004D1A15" w:rsidRDefault="004D1A15" w:rsidP="00C5210C">
            <w:pPr>
              <w:jc w:val="center"/>
            </w:pPr>
          </w:p>
        </w:tc>
      </w:tr>
      <w:tr w:rsidR="004D1A15" w14:paraId="07FD5B13" w14:textId="77777777" w:rsidTr="00C5210C">
        <w:tc>
          <w:tcPr>
            <w:tcW w:w="0" w:type="auto"/>
            <w:vAlign w:val="center"/>
          </w:tcPr>
          <w:p w14:paraId="322590CD" w14:textId="77777777" w:rsidR="004D1A15" w:rsidRDefault="004D1A15" w:rsidP="00C5210C"/>
        </w:tc>
        <w:tc>
          <w:tcPr>
            <w:tcW w:w="0" w:type="auto"/>
            <w:vAlign w:val="center"/>
          </w:tcPr>
          <w:p w14:paraId="6630DDD0" w14:textId="77777777" w:rsidR="004D1A15" w:rsidRDefault="004D1A15" w:rsidP="00C5210C">
            <w:pPr>
              <w:jc w:val="center"/>
            </w:pPr>
          </w:p>
        </w:tc>
        <w:tc>
          <w:tcPr>
            <w:tcW w:w="0" w:type="auto"/>
            <w:vAlign w:val="center"/>
          </w:tcPr>
          <w:p w14:paraId="7BBA707E" w14:textId="77777777" w:rsidR="004D1A15" w:rsidRDefault="004D1A15" w:rsidP="00C5210C">
            <w:pPr>
              <w:jc w:val="center"/>
            </w:pPr>
          </w:p>
        </w:tc>
        <w:tc>
          <w:tcPr>
            <w:tcW w:w="0" w:type="auto"/>
            <w:vAlign w:val="center"/>
          </w:tcPr>
          <w:p w14:paraId="3A7A7C3F" w14:textId="77777777" w:rsidR="004D1A15" w:rsidRDefault="004D1A15" w:rsidP="00C5210C">
            <w:pPr>
              <w:jc w:val="center"/>
            </w:pPr>
          </w:p>
        </w:tc>
      </w:tr>
      <w:tr w:rsidR="004D1A15" w14:paraId="6232BF83" w14:textId="77777777" w:rsidTr="00C5210C">
        <w:tc>
          <w:tcPr>
            <w:tcW w:w="0" w:type="auto"/>
            <w:tcMar>
              <w:left w:w="29" w:type="dxa"/>
              <w:right w:w="115" w:type="dxa"/>
            </w:tcMar>
            <w:vAlign w:val="center"/>
          </w:tcPr>
          <w:p w14:paraId="1D9BA7BE" w14:textId="77777777" w:rsidR="004D1A15" w:rsidRPr="00D120FC" w:rsidRDefault="004D1A15" w:rsidP="00C5210C">
            <w:pPr>
              <w:rPr>
                <w:bCs/>
              </w:rPr>
            </w:pPr>
            <w:r w:rsidRPr="00D120FC">
              <w:rPr>
                <w:bCs/>
              </w:rPr>
              <w:t>Age</w:t>
            </w:r>
            <w:r>
              <w:rPr>
                <w:bCs/>
              </w:rPr>
              <w:t xml:space="preserve"> in years</w:t>
            </w:r>
            <w:r w:rsidRPr="00D120FC">
              <w:rPr>
                <w:bCs/>
              </w:rPr>
              <w:t>, median (IQR)</w:t>
            </w:r>
          </w:p>
        </w:tc>
        <w:tc>
          <w:tcPr>
            <w:tcW w:w="0" w:type="auto"/>
            <w:vAlign w:val="center"/>
          </w:tcPr>
          <w:p w14:paraId="777EF491" w14:textId="77777777" w:rsidR="004D1A15" w:rsidRDefault="004D1A15" w:rsidP="00C5210C">
            <w:pPr>
              <w:jc w:val="center"/>
            </w:pPr>
            <w:r>
              <w:t>76 (69 – 83)</w:t>
            </w:r>
          </w:p>
        </w:tc>
        <w:tc>
          <w:tcPr>
            <w:tcW w:w="0" w:type="auto"/>
            <w:vAlign w:val="center"/>
          </w:tcPr>
          <w:p w14:paraId="5C7968FE" w14:textId="77777777" w:rsidR="004D1A15" w:rsidRDefault="004D1A15" w:rsidP="00C5210C">
            <w:pPr>
              <w:jc w:val="center"/>
            </w:pPr>
            <w:r>
              <w:t>75 (69 – 81)</w:t>
            </w:r>
          </w:p>
        </w:tc>
        <w:tc>
          <w:tcPr>
            <w:tcW w:w="0" w:type="auto"/>
            <w:vAlign w:val="center"/>
          </w:tcPr>
          <w:p w14:paraId="38BDBE1A" w14:textId="77777777" w:rsidR="004D1A15" w:rsidRDefault="004D1A15" w:rsidP="00C5210C">
            <w:pPr>
              <w:jc w:val="center"/>
            </w:pPr>
            <w:r>
              <w:t>0.04</w:t>
            </w:r>
          </w:p>
        </w:tc>
      </w:tr>
      <w:tr w:rsidR="004D1A15" w14:paraId="691A15F0" w14:textId="77777777" w:rsidTr="00C5210C">
        <w:tc>
          <w:tcPr>
            <w:tcW w:w="0" w:type="auto"/>
            <w:tcMar>
              <w:left w:w="29" w:type="dxa"/>
              <w:right w:w="115" w:type="dxa"/>
            </w:tcMar>
            <w:vAlign w:val="center"/>
          </w:tcPr>
          <w:p w14:paraId="4FE9FD26" w14:textId="77777777" w:rsidR="004D1A15" w:rsidRPr="00D120FC" w:rsidRDefault="004D1A15" w:rsidP="00C5210C">
            <w:pPr>
              <w:rPr>
                <w:bCs/>
              </w:rPr>
            </w:pPr>
          </w:p>
        </w:tc>
        <w:tc>
          <w:tcPr>
            <w:tcW w:w="0" w:type="auto"/>
            <w:vAlign w:val="center"/>
          </w:tcPr>
          <w:p w14:paraId="5EA17E9C" w14:textId="77777777" w:rsidR="004D1A15" w:rsidRDefault="004D1A15" w:rsidP="00C5210C">
            <w:pPr>
              <w:jc w:val="center"/>
            </w:pPr>
          </w:p>
        </w:tc>
        <w:tc>
          <w:tcPr>
            <w:tcW w:w="0" w:type="auto"/>
            <w:vAlign w:val="center"/>
          </w:tcPr>
          <w:p w14:paraId="7482FE69" w14:textId="77777777" w:rsidR="004D1A15" w:rsidRDefault="004D1A15" w:rsidP="00C5210C">
            <w:pPr>
              <w:jc w:val="center"/>
            </w:pPr>
          </w:p>
        </w:tc>
        <w:tc>
          <w:tcPr>
            <w:tcW w:w="0" w:type="auto"/>
            <w:vAlign w:val="center"/>
          </w:tcPr>
          <w:p w14:paraId="6066F6E2" w14:textId="77777777" w:rsidR="004D1A15" w:rsidRDefault="004D1A15" w:rsidP="00C5210C">
            <w:pPr>
              <w:jc w:val="center"/>
            </w:pPr>
          </w:p>
        </w:tc>
      </w:tr>
      <w:tr w:rsidR="004D1A15" w14:paraId="6D6D411E" w14:textId="77777777" w:rsidTr="00C5210C">
        <w:tc>
          <w:tcPr>
            <w:tcW w:w="0" w:type="auto"/>
            <w:tcMar>
              <w:left w:w="29" w:type="dxa"/>
              <w:right w:w="115" w:type="dxa"/>
            </w:tcMar>
            <w:vAlign w:val="center"/>
          </w:tcPr>
          <w:p w14:paraId="28C89039" w14:textId="77777777" w:rsidR="004D1A15" w:rsidRPr="00D120FC" w:rsidRDefault="004D1A15" w:rsidP="00C5210C">
            <w:pPr>
              <w:rPr>
                <w:bCs/>
              </w:rPr>
            </w:pPr>
            <w:r w:rsidRPr="00D120FC">
              <w:rPr>
                <w:bCs/>
              </w:rPr>
              <w:t>Sex</w:t>
            </w:r>
          </w:p>
        </w:tc>
        <w:tc>
          <w:tcPr>
            <w:tcW w:w="0" w:type="auto"/>
            <w:vAlign w:val="center"/>
          </w:tcPr>
          <w:p w14:paraId="3151B419" w14:textId="77777777" w:rsidR="004D1A15" w:rsidRDefault="004D1A15" w:rsidP="00C5210C">
            <w:pPr>
              <w:jc w:val="center"/>
            </w:pPr>
          </w:p>
        </w:tc>
        <w:tc>
          <w:tcPr>
            <w:tcW w:w="0" w:type="auto"/>
            <w:vAlign w:val="center"/>
          </w:tcPr>
          <w:p w14:paraId="2676F14F" w14:textId="77777777" w:rsidR="004D1A15" w:rsidRDefault="004D1A15" w:rsidP="00C5210C">
            <w:pPr>
              <w:jc w:val="center"/>
            </w:pPr>
          </w:p>
        </w:tc>
        <w:tc>
          <w:tcPr>
            <w:tcW w:w="0" w:type="auto"/>
            <w:vAlign w:val="center"/>
          </w:tcPr>
          <w:p w14:paraId="3C142F74" w14:textId="77777777" w:rsidR="004D1A15" w:rsidRDefault="004D1A15" w:rsidP="00C5210C">
            <w:pPr>
              <w:jc w:val="center"/>
            </w:pPr>
            <w:r>
              <w:t>0.04</w:t>
            </w:r>
          </w:p>
        </w:tc>
      </w:tr>
      <w:tr w:rsidR="004D1A15" w14:paraId="0C8E5DE4" w14:textId="77777777" w:rsidTr="00C5210C">
        <w:tc>
          <w:tcPr>
            <w:tcW w:w="0" w:type="auto"/>
            <w:vAlign w:val="center"/>
          </w:tcPr>
          <w:p w14:paraId="1367FCC9" w14:textId="77777777" w:rsidR="004D1A15" w:rsidRDefault="004D1A15" w:rsidP="00C5210C">
            <w:r>
              <w:t>Female</w:t>
            </w:r>
          </w:p>
        </w:tc>
        <w:tc>
          <w:tcPr>
            <w:tcW w:w="0" w:type="auto"/>
            <w:vAlign w:val="center"/>
          </w:tcPr>
          <w:p w14:paraId="17595941" w14:textId="77777777" w:rsidR="004D1A15" w:rsidRDefault="004D1A15" w:rsidP="00C5210C">
            <w:pPr>
              <w:jc w:val="center"/>
            </w:pPr>
            <w:r>
              <w:t>162 (32.5)</w:t>
            </w:r>
          </w:p>
        </w:tc>
        <w:tc>
          <w:tcPr>
            <w:tcW w:w="0" w:type="auto"/>
            <w:vAlign w:val="center"/>
          </w:tcPr>
          <w:p w14:paraId="59C1C8DC" w14:textId="77777777" w:rsidR="004D1A15" w:rsidRDefault="004D1A15" w:rsidP="00C5210C">
            <w:pPr>
              <w:jc w:val="center"/>
            </w:pPr>
            <w:r>
              <w:t>62 (31.0)</w:t>
            </w:r>
          </w:p>
        </w:tc>
        <w:tc>
          <w:tcPr>
            <w:tcW w:w="0" w:type="auto"/>
            <w:vAlign w:val="center"/>
          </w:tcPr>
          <w:p w14:paraId="7A438D3D" w14:textId="77777777" w:rsidR="004D1A15" w:rsidRDefault="004D1A15" w:rsidP="00C5210C">
            <w:pPr>
              <w:jc w:val="center"/>
            </w:pPr>
          </w:p>
        </w:tc>
      </w:tr>
      <w:tr w:rsidR="004D1A15" w14:paraId="23FC3330" w14:textId="77777777" w:rsidTr="00C5210C">
        <w:tc>
          <w:tcPr>
            <w:tcW w:w="0" w:type="auto"/>
            <w:vAlign w:val="center"/>
          </w:tcPr>
          <w:p w14:paraId="4CB4A9B3" w14:textId="77777777" w:rsidR="004D1A15" w:rsidRDefault="004D1A15" w:rsidP="00C5210C">
            <w:r>
              <w:t>Male</w:t>
            </w:r>
          </w:p>
        </w:tc>
        <w:tc>
          <w:tcPr>
            <w:tcW w:w="0" w:type="auto"/>
            <w:vAlign w:val="center"/>
          </w:tcPr>
          <w:p w14:paraId="49DF28DE" w14:textId="77777777" w:rsidR="004D1A15" w:rsidRDefault="004D1A15" w:rsidP="00C5210C">
            <w:pPr>
              <w:jc w:val="center"/>
            </w:pPr>
            <w:r>
              <w:t>336 (67.5)</w:t>
            </w:r>
          </w:p>
        </w:tc>
        <w:tc>
          <w:tcPr>
            <w:tcW w:w="0" w:type="auto"/>
            <w:vAlign w:val="center"/>
          </w:tcPr>
          <w:p w14:paraId="112FBB9F" w14:textId="77777777" w:rsidR="004D1A15" w:rsidRDefault="004D1A15" w:rsidP="00C5210C">
            <w:pPr>
              <w:jc w:val="center"/>
            </w:pPr>
            <w:r>
              <w:t>138 (69.0)</w:t>
            </w:r>
          </w:p>
        </w:tc>
        <w:tc>
          <w:tcPr>
            <w:tcW w:w="0" w:type="auto"/>
            <w:vAlign w:val="center"/>
          </w:tcPr>
          <w:p w14:paraId="6F3D769C" w14:textId="77777777" w:rsidR="004D1A15" w:rsidRDefault="004D1A15" w:rsidP="00C5210C">
            <w:pPr>
              <w:jc w:val="center"/>
            </w:pPr>
          </w:p>
        </w:tc>
      </w:tr>
      <w:tr w:rsidR="004D1A15" w14:paraId="709EBC57" w14:textId="77777777" w:rsidTr="00C5210C">
        <w:tc>
          <w:tcPr>
            <w:tcW w:w="0" w:type="auto"/>
            <w:vAlign w:val="center"/>
          </w:tcPr>
          <w:p w14:paraId="1D447D4D" w14:textId="77777777" w:rsidR="004D1A15" w:rsidRDefault="004D1A15" w:rsidP="00C5210C"/>
        </w:tc>
        <w:tc>
          <w:tcPr>
            <w:tcW w:w="0" w:type="auto"/>
            <w:vAlign w:val="center"/>
          </w:tcPr>
          <w:p w14:paraId="6787A3AD" w14:textId="77777777" w:rsidR="004D1A15" w:rsidRDefault="004D1A15" w:rsidP="00C5210C">
            <w:pPr>
              <w:jc w:val="center"/>
            </w:pPr>
          </w:p>
        </w:tc>
        <w:tc>
          <w:tcPr>
            <w:tcW w:w="0" w:type="auto"/>
            <w:vAlign w:val="center"/>
          </w:tcPr>
          <w:p w14:paraId="599F003C" w14:textId="77777777" w:rsidR="004D1A15" w:rsidRDefault="004D1A15" w:rsidP="00C5210C">
            <w:pPr>
              <w:jc w:val="center"/>
            </w:pPr>
          </w:p>
        </w:tc>
        <w:tc>
          <w:tcPr>
            <w:tcW w:w="0" w:type="auto"/>
            <w:vAlign w:val="center"/>
          </w:tcPr>
          <w:p w14:paraId="43D8D636" w14:textId="77777777" w:rsidR="004D1A15" w:rsidRDefault="004D1A15" w:rsidP="00C5210C">
            <w:pPr>
              <w:jc w:val="center"/>
            </w:pPr>
          </w:p>
        </w:tc>
      </w:tr>
      <w:tr w:rsidR="004D1A15" w14:paraId="4AF1E4A2" w14:textId="77777777" w:rsidTr="00C5210C">
        <w:tc>
          <w:tcPr>
            <w:tcW w:w="0" w:type="auto"/>
            <w:tcMar>
              <w:left w:w="29" w:type="dxa"/>
              <w:right w:w="115" w:type="dxa"/>
            </w:tcMar>
            <w:vAlign w:val="center"/>
          </w:tcPr>
          <w:p w14:paraId="14AC56EF" w14:textId="77777777" w:rsidR="004D1A15" w:rsidRPr="00D120FC" w:rsidRDefault="004D1A15" w:rsidP="00C5210C">
            <w:pPr>
              <w:rPr>
                <w:bCs/>
              </w:rPr>
            </w:pPr>
            <w:r>
              <w:rPr>
                <w:bCs/>
              </w:rPr>
              <w:t>Geographic r</w:t>
            </w:r>
            <w:r w:rsidRPr="00D120FC">
              <w:rPr>
                <w:bCs/>
              </w:rPr>
              <w:t>egion</w:t>
            </w:r>
            <w:r>
              <w:rPr>
                <w:bCs/>
              </w:rPr>
              <w:t xml:space="preserve"> of residence</w:t>
            </w:r>
          </w:p>
        </w:tc>
        <w:tc>
          <w:tcPr>
            <w:tcW w:w="0" w:type="auto"/>
            <w:vAlign w:val="center"/>
          </w:tcPr>
          <w:p w14:paraId="328FD615" w14:textId="77777777" w:rsidR="004D1A15" w:rsidRDefault="004D1A15" w:rsidP="00C5210C">
            <w:pPr>
              <w:jc w:val="center"/>
            </w:pPr>
          </w:p>
        </w:tc>
        <w:tc>
          <w:tcPr>
            <w:tcW w:w="0" w:type="auto"/>
            <w:vAlign w:val="center"/>
          </w:tcPr>
          <w:p w14:paraId="5314B380" w14:textId="77777777" w:rsidR="004D1A15" w:rsidRDefault="004D1A15" w:rsidP="00C5210C">
            <w:pPr>
              <w:jc w:val="center"/>
            </w:pPr>
          </w:p>
        </w:tc>
        <w:tc>
          <w:tcPr>
            <w:tcW w:w="0" w:type="auto"/>
            <w:vAlign w:val="center"/>
          </w:tcPr>
          <w:p w14:paraId="5C372777" w14:textId="77777777" w:rsidR="004D1A15" w:rsidRPr="00687CB8" w:rsidRDefault="004D1A15" w:rsidP="00C5210C">
            <w:pPr>
              <w:jc w:val="center"/>
            </w:pPr>
            <w:r>
              <w:t>0.08</w:t>
            </w:r>
          </w:p>
        </w:tc>
      </w:tr>
      <w:tr w:rsidR="004D1A15" w14:paraId="05F6E97B" w14:textId="77777777" w:rsidTr="00C5210C">
        <w:tc>
          <w:tcPr>
            <w:tcW w:w="0" w:type="auto"/>
            <w:vAlign w:val="center"/>
          </w:tcPr>
          <w:p w14:paraId="3CDD03FA" w14:textId="77777777" w:rsidR="004D1A15" w:rsidRDefault="004D1A15" w:rsidP="00C5210C">
            <w:r>
              <w:t>East North Central</w:t>
            </w:r>
          </w:p>
        </w:tc>
        <w:tc>
          <w:tcPr>
            <w:tcW w:w="0" w:type="auto"/>
            <w:vAlign w:val="center"/>
          </w:tcPr>
          <w:p w14:paraId="05EE6198" w14:textId="77777777" w:rsidR="004D1A15" w:rsidRDefault="004D1A15" w:rsidP="00C5210C">
            <w:pPr>
              <w:jc w:val="center"/>
            </w:pPr>
            <w:r>
              <w:t>95 (19.1)</w:t>
            </w:r>
          </w:p>
        </w:tc>
        <w:tc>
          <w:tcPr>
            <w:tcW w:w="0" w:type="auto"/>
            <w:vAlign w:val="center"/>
          </w:tcPr>
          <w:p w14:paraId="2522BA8B" w14:textId="77777777" w:rsidR="004D1A15" w:rsidRDefault="004D1A15" w:rsidP="00C5210C">
            <w:pPr>
              <w:jc w:val="center"/>
            </w:pPr>
            <w:r>
              <w:t>38 (19.0)</w:t>
            </w:r>
          </w:p>
        </w:tc>
        <w:tc>
          <w:tcPr>
            <w:tcW w:w="0" w:type="auto"/>
            <w:vAlign w:val="center"/>
          </w:tcPr>
          <w:p w14:paraId="405B346C" w14:textId="77777777" w:rsidR="004D1A15" w:rsidRDefault="004D1A15" w:rsidP="00C5210C">
            <w:pPr>
              <w:jc w:val="center"/>
            </w:pPr>
          </w:p>
        </w:tc>
      </w:tr>
      <w:tr w:rsidR="004D1A15" w14:paraId="0A1341FB" w14:textId="77777777" w:rsidTr="00C5210C">
        <w:tc>
          <w:tcPr>
            <w:tcW w:w="0" w:type="auto"/>
            <w:vAlign w:val="center"/>
          </w:tcPr>
          <w:p w14:paraId="6C67C9C8" w14:textId="77777777" w:rsidR="004D1A15" w:rsidRDefault="004D1A15" w:rsidP="00C5210C">
            <w:r>
              <w:t>East South Central</w:t>
            </w:r>
          </w:p>
        </w:tc>
        <w:tc>
          <w:tcPr>
            <w:tcW w:w="0" w:type="auto"/>
            <w:vAlign w:val="center"/>
          </w:tcPr>
          <w:p w14:paraId="64B4DD0A" w14:textId="77777777" w:rsidR="004D1A15" w:rsidRDefault="004D1A15" w:rsidP="00C5210C">
            <w:pPr>
              <w:jc w:val="center"/>
            </w:pPr>
            <w:r>
              <w:t>11 (2.2)</w:t>
            </w:r>
          </w:p>
        </w:tc>
        <w:tc>
          <w:tcPr>
            <w:tcW w:w="0" w:type="auto"/>
            <w:vAlign w:val="center"/>
          </w:tcPr>
          <w:p w14:paraId="0990AB51" w14:textId="77777777" w:rsidR="004D1A15" w:rsidRDefault="004D1A15" w:rsidP="00C5210C">
            <w:pPr>
              <w:jc w:val="center"/>
            </w:pPr>
            <w:r>
              <w:t>5 (2.5)</w:t>
            </w:r>
          </w:p>
        </w:tc>
        <w:tc>
          <w:tcPr>
            <w:tcW w:w="0" w:type="auto"/>
            <w:vAlign w:val="center"/>
          </w:tcPr>
          <w:p w14:paraId="0E08FE5F" w14:textId="77777777" w:rsidR="004D1A15" w:rsidRDefault="004D1A15" w:rsidP="00C5210C">
            <w:pPr>
              <w:jc w:val="center"/>
            </w:pPr>
          </w:p>
        </w:tc>
      </w:tr>
      <w:tr w:rsidR="004D1A15" w14:paraId="7BAA8D54" w14:textId="77777777" w:rsidTr="00C5210C">
        <w:tc>
          <w:tcPr>
            <w:tcW w:w="0" w:type="auto"/>
            <w:vAlign w:val="center"/>
          </w:tcPr>
          <w:p w14:paraId="1FD6E7E4" w14:textId="77777777" w:rsidR="004D1A15" w:rsidRDefault="004D1A15" w:rsidP="00C5210C">
            <w:r>
              <w:t>Middle Atlantic</w:t>
            </w:r>
          </w:p>
        </w:tc>
        <w:tc>
          <w:tcPr>
            <w:tcW w:w="0" w:type="auto"/>
            <w:vAlign w:val="center"/>
          </w:tcPr>
          <w:p w14:paraId="128AE807" w14:textId="77777777" w:rsidR="004D1A15" w:rsidRDefault="004D1A15" w:rsidP="00C5210C">
            <w:pPr>
              <w:jc w:val="center"/>
            </w:pPr>
            <w:r>
              <w:t>33 (6.6)</w:t>
            </w:r>
          </w:p>
        </w:tc>
        <w:tc>
          <w:tcPr>
            <w:tcW w:w="0" w:type="auto"/>
            <w:vAlign w:val="center"/>
          </w:tcPr>
          <w:p w14:paraId="75F411FB" w14:textId="77777777" w:rsidR="004D1A15" w:rsidRDefault="004D1A15" w:rsidP="00C5210C">
            <w:pPr>
              <w:jc w:val="center"/>
            </w:pPr>
            <w:r>
              <w:t>13 (6.5)</w:t>
            </w:r>
          </w:p>
        </w:tc>
        <w:tc>
          <w:tcPr>
            <w:tcW w:w="0" w:type="auto"/>
            <w:vAlign w:val="center"/>
          </w:tcPr>
          <w:p w14:paraId="2F62C84A" w14:textId="77777777" w:rsidR="004D1A15" w:rsidRDefault="004D1A15" w:rsidP="00C5210C">
            <w:pPr>
              <w:jc w:val="center"/>
            </w:pPr>
          </w:p>
        </w:tc>
      </w:tr>
      <w:tr w:rsidR="004D1A15" w14:paraId="7317DAA4" w14:textId="77777777" w:rsidTr="00C5210C">
        <w:tc>
          <w:tcPr>
            <w:tcW w:w="0" w:type="auto"/>
            <w:vAlign w:val="center"/>
          </w:tcPr>
          <w:p w14:paraId="58FCD689" w14:textId="77777777" w:rsidR="004D1A15" w:rsidRDefault="004D1A15" w:rsidP="00C5210C">
            <w:r>
              <w:t>Mountain</w:t>
            </w:r>
          </w:p>
        </w:tc>
        <w:tc>
          <w:tcPr>
            <w:tcW w:w="0" w:type="auto"/>
            <w:vAlign w:val="center"/>
          </w:tcPr>
          <w:p w14:paraId="76BF2BE5" w14:textId="77777777" w:rsidR="004D1A15" w:rsidRDefault="004D1A15" w:rsidP="00C5210C">
            <w:pPr>
              <w:jc w:val="center"/>
            </w:pPr>
            <w:r>
              <w:t>75 (15.1)</w:t>
            </w:r>
          </w:p>
        </w:tc>
        <w:tc>
          <w:tcPr>
            <w:tcW w:w="0" w:type="auto"/>
            <w:vAlign w:val="center"/>
          </w:tcPr>
          <w:p w14:paraId="1F03E023" w14:textId="77777777" w:rsidR="004D1A15" w:rsidRDefault="004D1A15" w:rsidP="00C5210C">
            <w:pPr>
              <w:jc w:val="center"/>
            </w:pPr>
            <w:r>
              <w:t>26 (13.0)</w:t>
            </w:r>
          </w:p>
        </w:tc>
        <w:tc>
          <w:tcPr>
            <w:tcW w:w="0" w:type="auto"/>
            <w:vAlign w:val="center"/>
          </w:tcPr>
          <w:p w14:paraId="72BA6093" w14:textId="77777777" w:rsidR="004D1A15" w:rsidRDefault="004D1A15" w:rsidP="00C5210C">
            <w:pPr>
              <w:jc w:val="center"/>
            </w:pPr>
          </w:p>
        </w:tc>
      </w:tr>
      <w:tr w:rsidR="004D1A15" w14:paraId="50A66584" w14:textId="77777777" w:rsidTr="00C5210C">
        <w:tc>
          <w:tcPr>
            <w:tcW w:w="0" w:type="auto"/>
            <w:vAlign w:val="center"/>
          </w:tcPr>
          <w:p w14:paraId="752BAD80" w14:textId="77777777" w:rsidR="004D1A15" w:rsidRDefault="004D1A15" w:rsidP="00C5210C">
            <w:r>
              <w:t>New England</w:t>
            </w:r>
          </w:p>
        </w:tc>
        <w:tc>
          <w:tcPr>
            <w:tcW w:w="0" w:type="auto"/>
            <w:vAlign w:val="center"/>
          </w:tcPr>
          <w:p w14:paraId="27AC054E" w14:textId="77777777" w:rsidR="004D1A15" w:rsidRDefault="004D1A15" w:rsidP="00C5210C">
            <w:pPr>
              <w:jc w:val="center"/>
            </w:pPr>
            <w:r>
              <w:t>16 (3.2)</w:t>
            </w:r>
          </w:p>
        </w:tc>
        <w:tc>
          <w:tcPr>
            <w:tcW w:w="0" w:type="auto"/>
            <w:vAlign w:val="center"/>
          </w:tcPr>
          <w:p w14:paraId="0D545A47" w14:textId="77777777" w:rsidR="004D1A15" w:rsidRDefault="004D1A15" w:rsidP="00C5210C">
            <w:pPr>
              <w:jc w:val="center"/>
            </w:pPr>
            <w:r>
              <w:t>6 (3.0)</w:t>
            </w:r>
          </w:p>
        </w:tc>
        <w:tc>
          <w:tcPr>
            <w:tcW w:w="0" w:type="auto"/>
            <w:vAlign w:val="center"/>
          </w:tcPr>
          <w:p w14:paraId="78182091" w14:textId="77777777" w:rsidR="004D1A15" w:rsidRDefault="004D1A15" w:rsidP="00C5210C">
            <w:pPr>
              <w:jc w:val="center"/>
            </w:pPr>
          </w:p>
        </w:tc>
      </w:tr>
      <w:tr w:rsidR="004D1A15" w14:paraId="47634764" w14:textId="77777777" w:rsidTr="00C5210C">
        <w:tc>
          <w:tcPr>
            <w:tcW w:w="0" w:type="auto"/>
            <w:vAlign w:val="center"/>
          </w:tcPr>
          <w:p w14:paraId="1A916920" w14:textId="77777777" w:rsidR="004D1A15" w:rsidRDefault="004D1A15" w:rsidP="00C5210C">
            <w:r>
              <w:t>Pacific</w:t>
            </w:r>
          </w:p>
        </w:tc>
        <w:tc>
          <w:tcPr>
            <w:tcW w:w="0" w:type="auto"/>
            <w:vAlign w:val="center"/>
          </w:tcPr>
          <w:p w14:paraId="577AA0E1" w14:textId="77777777" w:rsidR="004D1A15" w:rsidRDefault="004D1A15" w:rsidP="00C5210C">
            <w:pPr>
              <w:jc w:val="center"/>
            </w:pPr>
            <w:r>
              <w:t>55 (11.0)</w:t>
            </w:r>
          </w:p>
        </w:tc>
        <w:tc>
          <w:tcPr>
            <w:tcW w:w="0" w:type="auto"/>
            <w:vAlign w:val="center"/>
          </w:tcPr>
          <w:p w14:paraId="167AB0AE" w14:textId="77777777" w:rsidR="004D1A15" w:rsidRDefault="004D1A15" w:rsidP="00C5210C">
            <w:pPr>
              <w:jc w:val="center"/>
            </w:pPr>
            <w:r>
              <w:t>24 (12.0)</w:t>
            </w:r>
          </w:p>
        </w:tc>
        <w:tc>
          <w:tcPr>
            <w:tcW w:w="0" w:type="auto"/>
            <w:vAlign w:val="center"/>
          </w:tcPr>
          <w:p w14:paraId="7BD8CDFC" w14:textId="77777777" w:rsidR="004D1A15" w:rsidRDefault="004D1A15" w:rsidP="00C5210C">
            <w:pPr>
              <w:jc w:val="center"/>
            </w:pPr>
          </w:p>
        </w:tc>
      </w:tr>
      <w:tr w:rsidR="004D1A15" w14:paraId="0EB226D7" w14:textId="77777777" w:rsidTr="00C5210C">
        <w:tc>
          <w:tcPr>
            <w:tcW w:w="0" w:type="auto"/>
            <w:vAlign w:val="center"/>
          </w:tcPr>
          <w:p w14:paraId="46B69122" w14:textId="77777777" w:rsidR="004D1A15" w:rsidRDefault="004D1A15" w:rsidP="00C5210C">
            <w:r>
              <w:t>South Atlantic</w:t>
            </w:r>
          </w:p>
        </w:tc>
        <w:tc>
          <w:tcPr>
            <w:tcW w:w="0" w:type="auto"/>
            <w:vAlign w:val="center"/>
          </w:tcPr>
          <w:p w14:paraId="64EA9BF7" w14:textId="77777777" w:rsidR="004D1A15" w:rsidRDefault="004D1A15" w:rsidP="00C5210C">
            <w:pPr>
              <w:jc w:val="center"/>
            </w:pPr>
            <w:r>
              <w:t>121 (24.3)</w:t>
            </w:r>
          </w:p>
        </w:tc>
        <w:tc>
          <w:tcPr>
            <w:tcW w:w="0" w:type="auto"/>
            <w:vAlign w:val="center"/>
          </w:tcPr>
          <w:p w14:paraId="176E5209" w14:textId="77777777" w:rsidR="004D1A15" w:rsidRDefault="004D1A15" w:rsidP="00C5210C">
            <w:pPr>
              <w:jc w:val="center"/>
            </w:pPr>
            <w:r>
              <w:t>53 (26.5)</w:t>
            </w:r>
          </w:p>
        </w:tc>
        <w:tc>
          <w:tcPr>
            <w:tcW w:w="0" w:type="auto"/>
            <w:vAlign w:val="center"/>
          </w:tcPr>
          <w:p w14:paraId="7E4DEE0B" w14:textId="77777777" w:rsidR="004D1A15" w:rsidRDefault="004D1A15" w:rsidP="00C5210C">
            <w:pPr>
              <w:jc w:val="center"/>
            </w:pPr>
          </w:p>
        </w:tc>
      </w:tr>
      <w:tr w:rsidR="004D1A15" w14:paraId="11F9784E" w14:textId="77777777" w:rsidTr="00C5210C">
        <w:tc>
          <w:tcPr>
            <w:tcW w:w="0" w:type="auto"/>
            <w:vAlign w:val="center"/>
          </w:tcPr>
          <w:p w14:paraId="6388CFE8" w14:textId="77777777" w:rsidR="004D1A15" w:rsidRDefault="004D1A15" w:rsidP="00C5210C">
            <w:r>
              <w:t>West North Central</w:t>
            </w:r>
          </w:p>
        </w:tc>
        <w:tc>
          <w:tcPr>
            <w:tcW w:w="0" w:type="auto"/>
            <w:vAlign w:val="center"/>
          </w:tcPr>
          <w:p w14:paraId="129CF444" w14:textId="77777777" w:rsidR="004D1A15" w:rsidRDefault="004D1A15" w:rsidP="00C5210C">
            <w:pPr>
              <w:jc w:val="center"/>
            </w:pPr>
            <w:r>
              <w:t>30 (6.0)</w:t>
            </w:r>
          </w:p>
        </w:tc>
        <w:tc>
          <w:tcPr>
            <w:tcW w:w="0" w:type="auto"/>
            <w:vAlign w:val="center"/>
          </w:tcPr>
          <w:p w14:paraId="2A538748" w14:textId="77777777" w:rsidR="004D1A15" w:rsidRDefault="004D1A15" w:rsidP="00C5210C">
            <w:pPr>
              <w:jc w:val="center"/>
            </w:pPr>
            <w:r>
              <w:t>11 (5.5)</w:t>
            </w:r>
          </w:p>
        </w:tc>
        <w:tc>
          <w:tcPr>
            <w:tcW w:w="0" w:type="auto"/>
            <w:vAlign w:val="center"/>
          </w:tcPr>
          <w:p w14:paraId="61799FEF" w14:textId="77777777" w:rsidR="004D1A15" w:rsidRDefault="004D1A15" w:rsidP="00C5210C">
            <w:pPr>
              <w:jc w:val="center"/>
            </w:pPr>
          </w:p>
        </w:tc>
      </w:tr>
      <w:tr w:rsidR="004D1A15" w14:paraId="0A14701B" w14:textId="77777777" w:rsidTr="00C5210C">
        <w:tc>
          <w:tcPr>
            <w:tcW w:w="0" w:type="auto"/>
            <w:vAlign w:val="center"/>
          </w:tcPr>
          <w:p w14:paraId="2A891211" w14:textId="77777777" w:rsidR="004D1A15" w:rsidRDefault="004D1A15" w:rsidP="00C5210C">
            <w:r>
              <w:t>West South Central</w:t>
            </w:r>
          </w:p>
        </w:tc>
        <w:tc>
          <w:tcPr>
            <w:tcW w:w="0" w:type="auto"/>
            <w:vAlign w:val="center"/>
          </w:tcPr>
          <w:p w14:paraId="6786E5D3" w14:textId="77777777" w:rsidR="004D1A15" w:rsidRDefault="004D1A15" w:rsidP="00C5210C">
            <w:pPr>
              <w:jc w:val="center"/>
            </w:pPr>
            <w:r>
              <w:t>61 (12.3)</w:t>
            </w:r>
          </w:p>
        </w:tc>
        <w:tc>
          <w:tcPr>
            <w:tcW w:w="0" w:type="auto"/>
            <w:vAlign w:val="center"/>
          </w:tcPr>
          <w:p w14:paraId="3D2BACB7" w14:textId="77777777" w:rsidR="004D1A15" w:rsidRDefault="004D1A15" w:rsidP="00C5210C">
            <w:pPr>
              <w:jc w:val="center"/>
            </w:pPr>
            <w:r>
              <w:t>23 (11.5)</w:t>
            </w:r>
          </w:p>
        </w:tc>
        <w:tc>
          <w:tcPr>
            <w:tcW w:w="0" w:type="auto"/>
            <w:vAlign w:val="center"/>
          </w:tcPr>
          <w:p w14:paraId="4F8DB2E2" w14:textId="77777777" w:rsidR="004D1A15" w:rsidRDefault="004D1A15" w:rsidP="00C5210C">
            <w:pPr>
              <w:jc w:val="center"/>
            </w:pPr>
          </w:p>
        </w:tc>
      </w:tr>
      <w:tr w:rsidR="004D1A15" w14:paraId="6077E24E" w14:textId="77777777" w:rsidTr="00C5210C">
        <w:tc>
          <w:tcPr>
            <w:tcW w:w="0" w:type="auto"/>
            <w:vAlign w:val="center"/>
          </w:tcPr>
          <w:p w14:paraId="4D1D73C8" w14:textId="77777777" w:rsidR="004D1A15" w:rsidRDefault="004D1A15" w:rsidP="00C5210C">
            <w:r>
              <w:t>Unknown</w:t>
            </w:r>
          </w:p>
        </w:tc>
        <w:tc>
          <w:tcPr>
            <w:tcW w:w="0" w:type="auto"/>
            <w:vAlign w:val="center"/>
          </w:tcPr>
          <w:p w14:paraId="7DEF8D6E" w14:textId="77777777" w:rsidR="004D1A15" w:rsidRDefault="004D1A15" w:rsidP="00C5210C">
            <w:pPr>
              <w:jc w:val="center"/>
            </w:pPr>
            <w:r>
              <w:t>1 (0.20)</w:t>
            </w:r>
          </w:p>
        </w:tc>
        <w:tc>
          <w:tcPr>
            <w:tcW w:w="0" w:type="auto"/>
            <w:vAlign w:val="center"/>
          </w:tcPr>
          <w:p w14:paraId="6A11A3A1" w14:textId="77777777" w:rsidR="004D1A15" w:rsidRDefault="004D1A15" w:rsidP="00C5210C">
            <w:pPr>
              <w:jc w:val="center"/>
            </w:pPr>
            <w:r>
              <w:t>1 (0.5)</w:t>
            </w:r>
          </w:p>
        </w:tc>
        <w:tc>
          <w:tcPr>
            <w:tcW w:w="0" w:type="auto"/>
            <w:vAlign w:val="center"/>
          </w:tcPr>
          <w:p w14:paraId="41BF3C44" w14:textId="77777777" w:rsidR="004D1A15" w:rsidRDefault="004D1A15" w:rsidP="00C5210C">
            <w:pPr>
              <w:jc w:val="center"/>
            </w:pPr>
          </w:p>
        </w:tc>
      </w:tr>
      <w:tr w:rsidR="004D1A15" w14:paraId="0E9C63A8" w14:textId="77777777" w:rsidTr="00C5210C">
        <w:tc>
          <w:tcPr>
            <w:tcW w:w="0" w:type="auto"/>
            <w:vAlign w:val="center"/>
          </w:tcPr>
          <w:p w14:paraId="7231AFDC" w14:textId="77777777" w:rsidR="004D1A15" w:rsidRDefault="004D1A15" w:rsidP="00C5210C"/>
        </w:tc>
        <w:tc>
          <w:tcPr>
            <w:tcW w:w="0" w:type="auto"/>
            <w:vAlign w:val="center"/>
          </w:tcPr>
          <w:p w14:paraId="77348FD7" w14:textId="77777777" w:rsidR="004D1A15" w:rsidRDefault="004D1A15" w:rsidP="00C5210C">
            <w:pPr>
              <w:jc w:val="center"/>
            </w:pPr>
          </w:p>
        </w:tc>
        <w:tc>
          <w:tcPr>
            <w:tcW w:w="0" w:type="auto"/>
            <w:vAlign w:val="center"/>
          </w:tcPr>
          <w:p w14:paraId="367F344D" w14:textId="77777777" w:rsidR="004D1A15" w:rsidRDefault="004D1A15" w:rsidP="00C5210C">
            <w:pPr>
              <w:jc w:val="center"/>
            </w:pPr>
          </w:p>
        </w:tc>
        <w:tc>
          <w:tcPr>
            <w:tcW w:w="0" w:type="auto"/>
            <w:vAlign w:val="center"/>
          </w:tcPr>
          <w:p w14:paraId="490637ED" w14:textId="77777777" w:rsidR="004D1A15" w:rsidRDefault="004D1A15" w:rsidP="00C5210C">
            <w:pPr>
              <w:jc w:val="center"/>
            </w:pPr>
          </w:p>
        </w:tc>
      </w:tr>
      <w:tr w:rsidR="004D1A15" w14:paraId="09A9EAD1" w14:textId="77777777" w:rsidTr="00C5210C">
        <w:tc>
          <w:tcPr>
            <w:tcW w:w="0" w:type="auto"/>
            <w:tcMar>
              <w:left w:w="29" w:type="dxa"/>
              <w:right w:w="115" w:type="dxa"/>
            </w:tcMar>
            <w:vAlign w:val="center"/>
          </w:tcPr>
          <w:p w14:paraId="20A7CE5E" w14:textId="77777777" w:rsidR="004D1A15" w:rsidRPr="009B05F6" w:rsidRDefault="004D1A15" w:rsidP="00C5210C">
            <w:pPr>
              <w:rPr>
                <w:bCs/>
              </w:rPr>
            </w:pPr>
            <w:r w:rsidRPr="009B05F6">
              <w:rPr>
                <w:bCs/>
              </w:rPr>
              <w:t>Race</w:t>
            </w:r>
          </w:p>
        </w:tc>
        <w:tc>
          <w:tcPr>
            <w:tcW w:w="0" w:type="auto"/>
            <w:vAlign w:val="center"/>
          </w:tcPr>
          <w:p w14:paraId="60A4B7AD" w14:textId="77777777" w:rsidR="004D1A15" w:rsidRDefault="004D1A15" w:rsidP="00C5210C">
            <w:pPr>
              <w:jc w:val="center"/>
            </w:pPr>
          </w:p>
        </w:tc>
        <w:tc>
          <w:tcPr>
            <w:tcW w:w="0" w:type="auto"/>
            <w:vAlign w:val="center"/>
          </w:tcPr>
          <w:p w14:paraId="2A274549" w14:textId="77777777" w:rsidR="004D1A15" w:rsidRDefault="004D1A15" w:rsidP="00C5210C">
            <w:pPr>
              <w:jc w:val="center"/>
            </w:pPr>
          </w:p>
        </w:tc>
        <w:tc>
          <w:tcPr>
            <w:tcW w:w="0" w:type="auto"/>
            <w:vAlign w:val="center"/>
          </w:tcPr>
          <w:p w14:paraId="3F99C867" w14:textId="77777777" w:rsidR="004D1A15" w:rsidRDefault="004D1A15" w:rsidP="00C5210C">
            <w:pPr>
              <w:jc w:val="center"/>
            </w:pPr>
            <w:r>
              <w:t>0.07</w:t>
            </w:r>
          </w:p>
        </w:tc>
      </w:tr>
      <w:tr w:rsidR="004D1A15" w14:paraId="075E4D28" w14:textId="77777777" w:rsidTr="00C5210C">
        <w:tc>
          <w:tcPr>
            <w:tcW w:w="0" w:type="auto"/>
            <w:vAlign w:val="center"/>
          </w:tcPr>
          <w:p w14:paraId="56A20DC5" w14:textId="77777777" w:rsidR="004D1A15" w:rsidRDefault="004D1A15" w:rsidP="00C5210C">
            <w:r>
              <w:t>Asian</w:t>
            </w:r>
          </w:p>
        </w:tc>
        <w:tc>
          <w:tcPr>
            <w:tcW w:w="0" w:type="auto"/>
            <w:vAlign w:val="center"/>
          </w:tcPr>
          <w:p w14:paraId="21F72119" w14:textId="77777777" w:rsidR="004D1A15" w:rsidRDefault="004D1A15" w:rsidP="00C5210C">
            <w:pPr>
              <w:jc w:val="center"/>
            </w:pPr>
            <w:r>
              <w:t>7 (1.4)</w:t>
            </w:r>
          </w:p>
        </w:tc>
        <w:tc>
          <w:tcPr>
            <w:tcW w:w="0" w:type="auto"/>
            <w:vAlign w:val="center"/>
          </w:tcPr>
          <w:p w14:paraId="20BD9074" w14:textId="77777777" w:rsidR="004D1A15" w:rsidRDefault="004D1A15" w:rsidP="00C5210C">
            <w:pPr>
              <w:jc w:val="center"/>
            </w:pPr>
            <w:r>
              <w:t>3 (1.5)</w:t>
            </w:r>
          </w:p>
        </w:tc>
        <w:tc>
          <w:tcPr>
            <w:tcW w:w="0" w:type="auto"/>
            <w:vAlign w:val="center"/>
          </w:tcPr>
          <w:p w14:paraId="235B79D9" w14:textId="77777777" w:rsidR="004D1A15" w:rsidRDefault="004D1A15" w:rsidP="00C5210C">
            <w:pPr>
              <w:jc w:val="center"/>
            </w:pPr>
          </w:p>
        </w:tc>
      </w:tr>
      <w:tr w:rsidR="004D1A15" w14:paraId="6548FE60" w14:textId="77777777" w:rsidTr="00C5210C">
        <w:tc>
          <w:tcPr>
            <w:tcW w:w="0" w:type="auto"/>
            <w:vAlign w:val="center"/>
          </w:tcPr>
          <w:p w14:paraId="47C2AA68" w14:textId="77777777" w:rsidR="004D1A15" w:rsidRDefault="004D1A15" w:rsidP="00C5210C">
            <w:r>
              <w:t>Black</w:t>
            </w:r>
          </w:p>
        </w:tc>
        <w:tc>
          <w:tcPr>
            <w:tcW w:w="0" w:type="auto"/>
            <w:vAlign w:val="center"/>
          </w:tcPr>
          <w:p w14:paraId="12103E70" w14:textId="77777777" w:rsidR="004D1A15" w:rsidRDefault="004D1A15" w:rsidP="00C5210C">
            <w:pPr>
              <w:jc w:val="center"/>
            </w:pPr>
            <w:r>
              <w:t>36 (7.2)</w:t>
            </w:r>
          </w:p>
        </w:tc>
        <w:tc>
          <w:tcPr>
            <w:tcW w:w="0" w:type="auto"/>
            <w:vAlign w:val="center"/>
          </w:tcPr>
          <w:p w14:paraId="1437FC52" w14:textId="77777777" w:rsidR="004D1A15" w:rsidRDefault="004D1A15" w:rsidP="00C5210C">
            <w:pPr>
              <w:jc w:val="center"/>
            </w:pPr>
            <w:r>
              <w:t>15 (7.5)</w:t>
            </w:r>
          </w:p>
        </w:tc>
        <w:tc>
          <w:tcPr>
            <w:tcW w:w="0" w:type="auto"/>
            <w:vAlign w:val="center"/>
          </w:tcPr>
          <w:p w14:paraId="42D7A104" w14:textId="77777777" w:rsidR="004D1A15" w:rsidRDefault="004D1A15" w:rsidP="00C5210C">
            <w:pPr>
              <w:jc w:val="center"/>
            </w:pPr>
          </w:p>
        </w:tc>
      </w:tr>
      <w:tr w:rsidR="004D1A15" w14:paraId="3B6CA0DA" w14:textId="77777777" w:rsidTr="00C5210C">
        <w:tc>
          <w:tcPr>
            <w:tcW w:w="0" w:type="auto"/>
            <w:vAlign w:val="center"/>
          </w:tcPr>
          <w:p w14:paraId="3C53A69B" w14:textId="77777777" w:rsidR="004D1A15" w:rsidRDefault="004D1A15" w:rsidP="00C5210C">
            <w:r>
              <w:t>Hispanic</w:t>
            </w:r>
          </w:p>
        </w:tc>
        <w:tc>
          <w:tcPr>
            <w:tcW w:w="0" w:type="auto"/>
            <w:vAlign w:val="center"/>
          </w:tcPr>
          <w:p w14:paraId="702B5A34" w14:textId="77777777" w:rsidR="004D1A15" w:rsidRDefault="004D1A15" w:rsidP="00C5210C">
            <w:pPr>
              <w:jc w:val="center"/>
            </w:pPr>
            <w:r>
              <w:t>33 (6.6)</w:t>
            </w:r>
          </w:p>
        </w:tc>
        <w:tc>
          <w:tcPr>
            <w:tcW w:w="0" w:type="auto"/>
            <w:vAlign w:val="center"/>
          </w:tcPr>
          <w:p w14:paraId="4A306B2F" w14:textId="77777777" w:rsidR="004D1A15" w:rsidRDefault="004D1A15" w:rsidP="00C5210C">
            <w:pPr>
              <w:jc w:val="center"/>
            </w:pPr>
            <w:r>
              <w:t>13 (6.5)</w:t>
            </w:r>
          </w:p>
        </w:tc>
        <w:tc>
          <w:tcPr>
            <w:tcW w:w="0" w:type="auto"/>
            <w:vAlign w:val="center"/>
          </w:tcPr>
          <w:p w14:paraId="3E8CD24D" w14:textId="77777777" w:rsidR="004D1A15" w:rsidRDefault="004D1A15" w:rsidP="00C5210C">
            <w:pPr>
              <w:jc w:val="center"/>
            </w:pPr>
          </w:p>
        </w:tc>
      </w:tr>
      <w:tr w:rsidR="004D1A15" w14:paraId="36E547A0" w14:textId="77777777" w:rsidTr="00C5210C">
        <w:tc>
          <w:tcPr>
            <w:tcW w:w="0" w:type="auto"/>
            <w:vAlign w:val="center"/>
          </w:tcPr>
          <w:p w14:paraId="51638C9B" w14:textId="77777777" w:rsidR="004D1A15" w:rsidRDefault="004D1A15" w:rsidP="00C5210C">
            <w:r>
              <w:t>White</w:t>
            </w:r>
          </w:p>
        </w:tc>
        <w:tc>
          <w:tcPr>
            <w:tcW w:w="0" w:type="auto"/>
            <w:vAlign w:val="center"/>
          </w:tcPr>
          <w:p w14:paraId="73160619" w14:textId="77777777" w:rsidR="004D1A15" w:rsidRDefault="004D1A15" w:rsidP="00C5210C">
            <w:pPr>
              <w:jc w:val="center"/>
            </w:pPr>
            <w:r>
              <w:t>369 (74.1)</w:t>
            </w:r>
          </w:p>
        </w:tc>
        <w:tc>
          <w:tcPr>
            <w:tcW w:w="0" w:type="auto"/>
            <w:vAlign w:val="center"/>
          </w:tcPr>
          <w:p w14:paraId="2EF4ED96" w14:textId="77777777" w:rsidR="004D1A15" w:rsidRDefault="004D1A15" w:rsidP="00C5210C">
            <w:pPr>
              <w:jc w:val="center"/>
            </w:pPr>
            <w:r>
              <w:t>150 (75.0)</w:t>
            </w:r>
          </w:p>
        </w:tc>
        <w:tc>
          <w:tcPr>
            <w:tcW w:w="0" w:type="auto"/>
            <w:vAlign w:val="center"/>
          </w:tcPr>
          <w:p w14:paraId="054B5AC1" w14:textId="77777777" w:rsidR="004D1A15" w:rsidRDefault="004D1A15" w:rsidP="00C5210C">
            <w:pPr>
              <w:jc w:val="center"/>
            </w:pPr>
          </w:p>
        </w:tc>
      </w:tr>
      <w:tr w:rsidR="004D1A15" w14:paraId="46149F3E" w14:textId="77777777" w:rsidTr="00C5210C">
        <w:tc>
          <w:tcPr>
            <w:tcW w:w="0" w:type="auto"/>
            <w:vAlign w:val="center"/>
          </w:tcPr>
          <w:p w14:paraId="14F990BB" w14:textId="77777777" w:rsidR="004D1A15" w:rsidRDefault="004D1A15" w:rsidP="00C5210C">
            <w:r>
              <w:t>Unknown</w:t>
            </w:r>
          </w:p>
        </w:tc>
        <w:tc>
          <w:tcPr>
            <w:tcW w:w="0" w:type="auto"/>
            <w:vAlign w:val="center"/>
          </w:tcPr>
          <w:p w14:paraId="453213F9" w14:textId="77777777" w:rsidR="004D1A15" w:rsidRDefault="004D1A15" w:rsidP="00C5210C">
            <w:pPr>
              <w:jc w:val="center"/>
            </w:pPr>
            <w:r>
              <w:t>53 (10.7)</w:t>
            </w:r>
          </w:p>
        </w:tc>
        <w:tc>
          <w:tcPr>
            <w:tcW w:w="0" w:type="auto"/>
            <w:vAlign w:val="center"/>
          </w:tcPr>
          <w:p w14:paraId="2D352095" w14:textId="77777777" w:rsidR="004D1A15" w:rsidRDefault="004D1A15" w:rsidP="00C5210C">
            <w:pPr>
              <w:jc w:val="center"/>
            </w:pPr>
            <w:r>
              <w:t>19 (9.5)</w:t>
            </w:r>
          </w:p>
        </w:tc>
        <w:tc>
          <w:tcPr>
            <w:tcW w:w="0" w:type="auto"/>
            <w:vAlign w:val="center"/>
          </w:tcPr>
          <w:p w14:paraId="6A2FC7E6" w14:textId="77777777" w:rsidR="004D1A15" w:rsidRDefault="004D1A15" w:rsidP="00C5210C">
            <w:pPr>
              <w:jc w:val="center"/>
            </w:pPr>
          </w:p>
        </w:tc>
      </w:tr>
      <w:tr w:rsidR="004D1A15" w14:paraId="121ED908" w14:textId="77777777" w:rsidTr="00C5210C">
        <w:tc>
          <w:tcPr>
            <w:tcW w:w="0" w:type="auto"/>
            <w:vAlign w:val="center"/>
          </w:tcPr>
          <w:p w14:paraId="202DDB73" w14:textId="77777777" w:rsidR="004D1A15" w:rsidRDefault="004D1A15" w:rsidP="00C5210C"/>
        </w:tc>
        <w:tc>
          <w:tcPr>
            <w:tcW w:w="0" w:type="auto"/>
            <w:vAlign w:val="center"/>
          </w:tcPr>
          <w:p w14:paraId="1A48A106" w14:textId="77777777" w:rsidR="004D1A15" w:rsidRDefault="004D1A15" w:rsidP="00C5210C">
            <w:pPr>
              <w:jc w:val="center"/>
            </w:pPr>
          </w:p>
        </w:tc>
        <w:tc>
          <w:tcPr>
            <w:tcW w:w="0" w:type="auto"/>
            <w:vAlign w:val="center"/>
          </w:tcPr>
          <w:p w14:paraId="6F561946" w14:textId="77777777" w:rsidR="004D1A15" w:rsidRDefault="004D1A15" w:rsidP="00C5210C">
            <w:pPr>
              <w:jc w:val="center"/>
            </w:pPr>
          </w:p>
        </w:tc>
        <w:tc>
          <w:tcPr>
            <w:tcW w:w="0" w:type="auto"/>
            <w:vAlign w:val="center"/>
          </w:tcPr>
          <w:p w14:paraId="5514982D" w14:textId="77777777" w:rsidR="004D1A15" w:rsidRDefault="004D1A15" w:rsidP="00C5210C">
            <w:pPr>
              <w:jc w:val="center"/>
            </w:pPr>
          </w:p>
        </w:tc>
      </w:tr>
      <w:tr w:rsidR="004D1A15" w14:paraId="5488C867" w14:textId="77777777" w:rsidTr="00C5210C">
        <w:tc>
          <w:tcPr>
            <w:tcW w:w="0" w:type="auto"/>
            <w:tcMar>
              <w:left w:w="29" w:type="dxa"/>
              <w:right w:w="115" w:type="dxa"/>
            </w:tcMar>
            <w:vAlign w:val="center"/>
          </w:tcPr>
          <w:p w14:paraId="4478C3D9" w14:textId="77777777" w:rsidR="004D1A15" w:rsidRPr="009B05F6" w:rsidRDefault="004D1A15" w:rsidP="00C5210C">
            <w:pPr>
              <w:rPr>
                <w:bCs/>
              </w:rPr>
            </w:pPr>
            <w:r w:rsidRPr="009B05F6">
              <w:rPr>
                <w:bCs/>
              </w:rPr>
              <w:lastRenderedPageBreak/>
              <w:t xml:space="preserve">Education </w:t>
            </w:r>
            <w:r>
              <w:rPr>
                <w:bCs/>
              </w:rPr>
              <w:t>l</w:t>
            </w:r>
            <w:r w:rsidRPr="009B05F6">
              <w:rPr>
                <w:bCs/>
              </w:rPr>
              <w:t>evel</w:t>
            </w:r>
            <w:r w:rsidRPr="00443ABD">
              <w:rPr>
                <w:rFonts w:eastAsia="Calibri"/>
                <w:vertAlign w:val="superscript"/>
              </w:rPr>
              <w:t>‡</w:t>
            </w:r>
          </w:p>
        </w:tc>
        <w:tc>
          <w:tcPr>
            <w:tcW w:w="0" w:type="auto"/>
            <w:vAlign w:val="center"/>
          </w:tcPr>
          <w:p w14:paraId="67FE41A8" w14:textId="77777777" w:rsidR="004D1A15" w:rsidRDefault="004D1A15" w:rsidP="00C5210C">
            <w:pPr>
              <w:jc w:val="center"/>
            </w:pPr>
          </w:p>
        </w:tc>
        <w:tc>
          <w:tcPr>
            <w:tcW w:w="0" w:type="auto"/>
            <w:vAlign w:val="center"/>
          </w:tcPr>
          <w:p w14:paraId="2029C477" w14:textId="77777777" w:rsidR="004D1A15" w:rsidRDefault="004D1A15" w:rsidP="00C5210C">
            <w:pPr>
              <w:jc w:val="center"/>
            </w:pPr>
          </w:p>
        </w:tc>
        <w:tc>
          <w:tcPr>
            <w:tcW w:w="0" w:type="auto"/>
            <w:vAlign w:val="center"/>
          </w:tcPr>
          <w:p w14:paraId="7D62DB6C" w14:textId="77777777" w:rsidR="004D1A15" w:rsidRDefault="004D1A15" w:rsidP="00C5210C">
            <w:pPr>
              <w:jc w:val="center"/>
            </w:pPr>
            <w:r>
              <w:t>0.04</w:t>
            </w:r>
          </w:p>
        </w:tc>
      </w:tr>
      <w:tr w:rsidR="004D1A15" w14:paraId="090F4541" w14:textId="77777777" w:rsidTr="00C5210C">
        <w:tc>
          <w:tcPr>
            <w:tcW w:w="0" w:type="auto"/>
            <w:vAlign w:val="center"/>
          </w:tcPr>
          <w:p w14:paraId="1E7CEF29" w14:textId="77777777" w:rsidR="004D1A15" w:rsidRDefault="004D1A15" w:rsidP="00C5210C">
            <w:r>
              <w:t>&lt;12</w:t>
            </w:r>
            <w:r w:rsidRPr="00A61721">
              <w:rPr>
                <w:vertAlign w:val="superscript"/>
              </w:rPr>
              <w:t>th</w:t>
            </w:r>
            <w:r>
              <w:t xml:space="preserve"> Grade</w:t>
            </w:r>
          </w:p>
        </w:tc>
        <w:tc>
          <w:tcPr>
            <w:tcW w:w="0" w:type="auto"/>
            <w:vAlign w:val="center"/>
          </w:tcPr>
          <w:p w14:paraId="39EFC645" w14:textId="77777777" w:rsidR="004D1A15" w:rsidRDefault="004D1A15" w:rsidP="00C5210C">
            <w:pPr>
              <w:jc w:val="center"/>
            </w:pPr>
            <w:r>
              <w:t>2 (0.4)</w:t>
            </w:r>
          </w:p>
        </w:tc>
        <w:tc>
          <w:tcPr>
            <w:tcW w:w="0" w:type="auto"/>
            <w:vAlign w:val="center"/>
          </w:tcPr>
          <w:p w14:paraId="3E961EC2" w14:textId="77777777" w:rsidR="004D1A15" w:rsidRDefault="004D1A15" w:rsidP="00C5210C">
            <w:pPr>
              <w:jc w:val="center"/>
            </w:pPr>
            <w:r>
              <w:t>0 (0.0)</w:t>
            </w:r>
          </w:p>
        </w:tc>
        <w:tc>
          <w:tcPr>
            <w:tcW w:w="0" w:type="auto"/>
            <w:vAlign w:val="center"/>
          </w:tcPr>
          <w:p w14:paraId="2026BC37" w14:textId="77777777" w:rsidR="004D1A15" w:rsidRDefault="004D1A15" w:rsidP="00C5210C">
            <w:pPr>
              <w:jc w:val="center"/>
            </w:pPr>
          </w:p>
        </w:tc>
      </w:tr>
      <w:tr w:rsidR="004D1A15" w14:paraId="55AAF497" w14:textId="77777777" w:rsidTr="00C5210C">
        <w:tc>
          <w:tcPr>
            <w:tcW w:w="0" w:type="auto"/>
            <w:vAlign w:val="center"/>
          </w:tcPr>
          <w:p w14:paraId="29E075BA" w14:textId="77777777" w:rsidR="004D1A15" w:rsidRDefault="004D1A15" w:rsidP="00C5210C">
            <w:r>
              <w:t>High school diploma</w:t>
            </w:r>
          </w:p>
        </w:tc>
        <w:tc>
          <w:tcPr>
            <w:tcW w:w="0" w:type="auto"/>
            <w:vAlign w:val="center"/>
          </w:tcPr>
          <w:p w14:paraId="2311335E" w14:textId="77777777" w:rsidR="004D1A15" w:rsidRDefault="004D1A15" w:rsidP="00C5210C">
            <w:pPr>
              <w:jc w:val="center"/>
            </w:pPr>
            <w:r>
              <w:t>108 (21.7)</w:t>
            </w:r>
          </w:p>
        </w:tc>
        <w:tc>
          <w:tcPr>
            <w:tcW w:w="0" w:type="auto"/>
            <w:vAlign w:val="center"/>
          </w:tcPr>
          <w:p w14:paraId="65EC6BF9" w14:textId="77777777" w:rsidR="004D1A15" w:rsidRDefault="004D1A15" w:rsidP="00C5210C">
            <w:pPr>
              <w:jc w:val="center"/>
            </w:pPr>
            <w:r>
              <w:t>44 (22.0)</w:t>
            </w:r>
          </w:p>
        </w:tc>
        <w:tc>
          <w:tcPr>
            <w:tcW w:w="0" w:type="auto"/>
            <w:vAlign w:val="center"/>
          </w:tcPr>
          <w:p w14:paraId="39F70C98" w14:textId="77777777" w:rsidR="004D1A15" w:rsidRDefault="004D1A15" w:rsidP="00C5210C">
            <w:pPr>
              <w:jc w:val="center"/>
            </w:pPr>
          </w:p>
        </w:tc>
      </w:tr>
      <w:tr w:rsidR="004D1A15" w14:paraId="188DB79E" w14:textId="77777777" w:rsidTr="00C5210C">
        <w:tc>
          <w:tcPr>
            <w:tcW w:w="0" w:type="auto"/>
            <w:vAlign w:val="center"/>
          </w:tcPr>
          <w:p w14:paraId="1A7628BD" w14:textId="77777777" w:rsidR="004D1A15" w:rsidRDefault="004D1A15" w:rsidP="00C5210C">
            <w:r>
              <w:t>&lt;Bachelor degree</w:t>
            </w:r>
          </w:p>
        </w:tc>
        <w:tc>
          <w:tcPr>
            <w:tcW w:w="0" w:type="auto"/>
            <w:vAlign w:val="center"/>
          </w:tcPr>
          <w:p w14:paraId="42059302" w14:textId="77777777" w:rsidR="004D1A15" w:rsidRDefault="004D1A15" w:rsidP="00C5210C">
            <w:pPr>
              <w:jc w:val="center"/>
            </w:pPr>
            <w:r>
              <w:t>263 (52.8)</w:t>
            </w:r>
          </w:p>
        </w:tc>
        <w:tc>
          <w:tcPr>
            <w:tcW w:w="0" w:type="auto"/>
            <w:vAlign w:val="center"/>
          </w:tcPr>
          <w:p w14:paraId="6AE57DFA" w14:textId="77777777" w:rsidR="004D1A15" w:rsidRDefault="004D1A15" w:rsidP="00C5210C">
            <w:pPr>
              <w:jc w:val="center"/>
            </w:pPr>
            <w:r>
              <w:t>105 (52.5)</w:t>
            </w:r>
          </w:p>
        </w:tc>
        <w:tc>
          <w:tcPr>
            <w:tcW w:w="0" w:type="auto"/>
            <w:vAlign w:val="center"/>
          </w:tcPr>
          <w:p w14:paraId="011EE040" w14:textId="77777777" w:rsidR="004D1A15" w:rsidRDefault="004D1A15" w:rsidP="00C5210C">
            <w:pPr>
              <w:jc w:val="center"/>
            </w:pPr>
          </w:p>
        </w:tc>
      </w:tr>
      <w:tr w:rsidR="004D1A15" w14:paraId="4545364C" w14:textId="77777777" w:rsidTr="00C5210C">
        <w:tc>
          <w:tcPr>
            <w:tcW w:w="0" w:type="auto"/>
            <w:vAlign w:val="center"/>
          </w:tcPr>
          <w:p w14:paraId="0FC9DD01" w14:textId="77777777" w:rsidR="004D1A15" w:rsidRDefault="004D1A15" w:rsidP="00C5210C">
            <w:r>
              <w:t>Bachelor degree+</w:t>
            </w:r>
          </w:p>
        </w:tc>
        <w:tc>
          <w:tcPr>
            <w:tcW w:w="0" w:type="auto"/>
            <w:vAlign w:val="center"/>
          </w:tcPr>
          <w:p w14:paraId="4E301B9C" w14:textId="77777777" w:rsidR="004D1A15" w:rsidRDefault="004D1A15" w:rsidP="00C5210C">
            <w:pPr>
              <w:jc w:val="center"/>
            </w:pPr>
            <w:r>
              <w:t>81 (16.3)</w:t>
            </w:r>
          </w:p>
        </w:tc>
        <w:tc>
          <w:tcPr>
            <w:tcW w:w="0" w:type="auto"/>
            <w:vAlign w:val="center"/>
          </w:tcPr>
          <w:p w14:paraId="26A00042" w14:textId="77777777" w:rsidR="004D1A15" w:rsidRDefault="004D1A15" w:rsidP="00C5210C">
            <w:pPr>
              <w:jc w:val="center"/>
            </w:pPr>
            <w:r>
              <w:t>34 (17.0)</w:t>
            </w:r>
          </w:p>
        </w:tc>
        <w:tc>
          <w:tcPr>
            <w:tcW w:w="0" w:type="auto"/>
            <w:vAlign w:val="center"/>
          </w:tcPr>
          <w:p w14:paraId="6336B832" w14:textId="77777777" w:rsidR="004D1A15" w:rsidRDefault="004D1A15" w:rsidP="00C5210C">
            <w:pPr>
              <w:jc w:val="center"/>
            </w:pPr>
          </w:p>
        </w:tc>
      </w:tr>
      <w:tr w:rsidR="004D1A15" w14:paraId="70E61625" w14:textId="77777777" w:rsidTr="00C5210C">
        <w:tc>
          <w:tcPr>
            <w:tcW w:w="0" w:type="auto"/>
            <w:vAlign w:val="center"/>
          </w:tcPr>
          <w:p w14:paraId="0B40DD2D" w14:textId="77777777" w:rsidR="004D1A15" w:rsidRDefault="004D1A15" w:rsidP="00C5210C">
            <w:r>
              <w:t>Unknown</w:t>
            </w:r>
          </w:p>
        </w:tc>
        <w:tc>
          <w:tcPr>
            <w:tcW w:w="0" w:type="auto"/>
            <w:vAlign w:val="center"/>
          </w:tcPr>
          <w:p w14:paraId="5271B979" w14:textId="77777777" w:rsidR="004D1A15" w:rsidRDefault="004D1A15" w:rsidP="00C5210C">
            <w:pPr>
              <w:jc w:val="center"/>
            </w:pPr>
            <w:r>
              <w:t>44 (8.8)</w:t>
            </w:r>
          </w:p>
        </w:tc>
        <w:tc>
          <w:tcPr>
            <w:tcW w:w="0" w:type="auto"/>
            <w:vAlign w:val="center"/>
          </w:tcPr>
          <w:p w14:paraId="6FE544A6" w14:textId="77777777" w:rsidR="004D1A15" w:rsidRDefault="004D1A15" w:rsidP="00C5210C">
            <w:pPr>
              <w:jc w:val="center"/>
            </w:pPr>
            <w:r>
              <w:t>17 (8.5)</w:t>
            </w:r>
          </w:p>
        </w:tc>
        <w:tc>
          <w:tcPr>
            <w:tcW w:w="0" w:type="auto"/>
            <w:vAlign w:val="center"/>
          </w:tcPr>
          <w:p w14:paraId="49879182" w14:textId="77777777" w:rsidR="004D1A15" w:rsidRDefault="004D1A15" w:rsidP="00C5210C">
            <w:pPr>
              <w:jc w:val="center"/>
            </w:pPr>
          </w:p>
        </w:tc>
      </w:tr>
      <w:tr w:rsidR="004D1A15" w14:paraId="56050613" w14:textId="77777777" w:rsidTr="00C5210C">
        <w:tc>
          <w:tcPr>
            <w:tcW w:w="0" w:type="auto"/>
            <w:vAlign w:val="center"/>
          </w:tcPr>
          <w:p w14:paraId="45EC7530" w14:textId="77777777" w:rsidR="004D1A15" w:rsidRDefault="004D1A15" w:rsidP="00C5210C"/>
        </w:tc>
        <w:tc>
          <w:tcPr>
            <w:tcW w:w="0" w:type="auto"/>
            <w:vAlign w:val="center"/>
          </w:tcPr>
          <w:p w14:paraId="1B589412" w14:textId="77777777" w:rsidR="004D1A15" w:rsidRDefault="004D1A15" w:rsidP="00C5210C">
            <w:pPr>
              <w:jc w:val="center"/>
            </w:pPr>
          </w:p>
        </w:tc>
        <w:tc>
          <w:tcPr>
            <w:tcW w:w="0" w:type="auto"/>
            <w:vAlign w:val="center"/>
          </w:tcPr>
          <w:p w14:paraId="30354404" w14:textId="77777777" w:rsidR="004D1A15" w:rsidRDefault="004D1A15" w:rsidP="00C5210C">
            <w:pPr>
              <w:jc w:val="center"/>
            </w:pPr>
          </w:p>
        </w:tc>
        <w:tc>
          <w:tcPr>
            <w:tcW w:w="0" w:type="auto"/>
            <w:vAlign w:val="center"/>
          </w:tcPr>
          <w:p w14:paraId="067F2041" w14:textId="77777777" w:rsidR="004D1A15" w:rsidRDefault="004D1A15" w:rsidP="00C5210C">
            <w:pPr>
              <w:jc w:val="center"/>
            </w:pPr>
          </w:p>
        </w:tc>
      </w:tr>
      <w:tr w:rsidR="004D1A15" w14:paraId="1A861FED" w14:textId="77777777" w:rsidTr="00C5210C">
        <w:tc>
          <w:tcPr>
            <w:tcW w:w="0" w:type="auto"/>
            <w:tcMar>
              <w:left w:w="29" w:type="dxa"/>
              <w:right w:w="115" w:type="dxa"/>
            </w:tcMar>
            <w:vAlign w:val="center"/>
          </w:tcPr>
          <w:p w14:paraId="19C6E40A" w14:textId="77777777" w:rsidR="004D1A15" w:rsidRPr="009B05F6" w:rsidRDefault="004D1A15" w:rsidP="00C5210C">
            <w:pPr>
              <w:rPr>
                <w:bCs/>
              </w:rPr>
            </w:pPr>
            <w:r w:rsidRPr="009B05F6">
              <w:rPr>
                <w:bCs/>
              </w:rPr>
              <w:t>H</w:t>
            </w:r>
            <w:r>
              <w:rPr>
                <w:bCs/>
              </w:rPr>
              <w:t>ousing</w:t>
            </w:r>
            <w:r w:rsidRPr="00443ABD">
              <w:rPr>
                <w:rFonts w:eastAsia="Calibri"/>
                <w:vertAlign w:val="superscript"/>
              </w:rPr>
              <w:t>‡</w:t>
            </w:r>
          </w:p>
        </w:tc>
        <w:tc>
          <w:tcPr>
            <w:tcW w:w="0" w:type="auto"/>
            <w:vAlign w:val="center"/>
          </w:tcPr>
          <w:p w14:paraId="7E272500" w14:textId="77777777" w:rsidR="004D1A15" w:rsidRDefault="004D1A15" w:rsidP="00C5210C">
            <w:pPr>
              <w:jc w:val="center"/>
            </w:pPr>
          </w:p>
        </w:tc>
        <w:tc>
          <w:tcPr>
            <w:tcW w:w="0" w:type="auto"/>
            <w:vAlign w:val="center"/>
          </w:tcPr>
          <w:p w14:paraId="3EC37B3E" w14:textId="77777777" w:rsidR="004D1A15" w:rsidRDefault="004D1A15" w:rsidP="00C5210C">
            <w:pPr>
              <w:jc w:val="center"/>
            </w:pPr>
          </w:p>
        </w:tc>
        <w:tc>
          <w:tcPr>
            <w:tcW w:w="0" w:type="auto"/>
            <w:vAlign w:val="center"/>
          </w:tcPr>
          <w:p w14:paraId="6C5BD84E" w14:textId="77777777" w:rsidR="004D1A15" w:rsidRDefault="004D1A15" w:rsidP="00C5210C">
            <w:pPr>
              <w:jc w:val="center"/>
            </w:pPr>
            <w:r>
              <w:t>0.05</w:t>
            </w:r>
          </w:p>
        </w:tc>
      </w:tr>
      <w:tr w:rsidR="004D1A15" w14:paraId="0330C687" w14:textId="77777777" w:rsidTr="00C5210C">
        <w:tc>
          <w:tcPr>
            <w:tcW w:w="0" w:type="auto"/>
            <w:vAlign w:val="center"/>
          </w:tcPr>
          <w:p w14:paraId="268376AE" w14:textId="77777777" w:rsidR="004D1A15" w:rsidRDefault="004D1A15" w:rsidP="00C5210C">
            <w:r>
              <w:t>Probable homeowner</w:t>
            </w:r>
          </w:p>
        </w:tc>
        <w:tc>
          <w:tcPr>
            <w:tcW w:w="0" w:type="auto"/>
            <w:vAlign w:val="center"/>
          </w:tcPr>
          <w:p w14:paraId="1C6CB1CD" w14:textId="77777777" w:rsidR="004D1A15" w:rsidRDefault="004D1A15" w:rsidP="00C5210C">
            <w:pPr>
              <w:jc w:val="center"/>
            </w:pPr>
            <w:r>
              <w:t>370 (74.3)</w:t>
            </w:r>
          </w:p>
        </w:tc>
        <w:tc>
          <w:tcPr>
            <w:tcW w:w="0" w:type="auto"/>
            <w:vAlign w:val="center"/>
          </w:tcPr>
          <w:p w14:paraId="10EDCEFB" w14:textId="77777777" w:rsidR="004D1A15" w:rsidRDefault="004D1A15" w:rsidP="00C5210C">
            <w:pPr>
              <w:jc w:val="center"/>
            </w:pPr>
            <w:r>
              <w:t>145 (72.5)</w:t>
            </w:r>
          </w:p>
        </w:tc>
        <w:tc>
          <w:tcPr>
            <w:tcW w:w="0" w:type="auto"/>
            <w:vAlign w:val="center"/>
          </w:tcPr>
          <w:p w14:paraId="0E2A2DEE" w14:textId="77777777" w:rsidR="004D1A15" w:rsidRDefault="004D1A15" w:rsidP="00C5210C">
            <w:pPr>
              <w:jc w:val="center"/>
            </w:pPr>
          </w:p>
        </w:tc>
      </w:tr>
      <w:tr w:rsidR="004D1A15" w14:paraId="67D77568" w14:textId="77777777" w:rsidTr="00C5210C">
        <w:tc>
          <w:tcPr>
            <w:tcW w:w="0" w:type="auto"/>
            <w:vAlign w:val="center"/>
          </w:tcPr>
          <w:p w14:paraId="013CCBF7" w14:textId="77777777" w:rsidR="004D1A15" w:rsidRDefault="004D1A15" w:rsidP="00C5210C">
            <w:r>
              <w:t>Probable renter</w:t>
            </w:r>
          </w:p>
        </w:tc>
        <w:tc>
          <w:tcPr>
            <w:tcW w:w="0" w:type="auto"/>
            <w:vAlign w:val="center"/>
          </w:tcPr>
          <w:p w14:paraId="14696893" w14:textId="77777777" w:rsidR="004D1A15" w:rsidRDefault="004D1A15" w:rsidP="00C5210C">
            <w:pPr>
              <w:jc w:val="center"/>
            </w:pPr>
            <w:r>
              <w:t>18 (3.6)</w:t>
            </w:r>
          </w:p>
        </w:tc>
        <w:tc>
          <w:tcPr>
            <w:tcW w:w="0" w:type="auto"/>
            <w:vAlign w:val="center"/>
          </w:tcPr>
          <w:p w14:paraId="2ADD8F76" w14:textId="77777777" w:rsidR="004D1A15" w:rsidRDefault="004D1A15" w:rsidP="00C5210C">
            <w:pPr>
              <w:jc w:val="center"/>
            </w:pPr>
            <w:r>
              <w:t>7 (3.5)</w:t>
            </w:r>
          </w:p>
        </w:tc>
        <w:tc>
          <w:tcPr>
            <w:tcW w:w="0" w:type="auto"/>
            <w:vAlign w:val="center"/>
          </w:tcPr>
          <w:p w14:paraId="10D57433" w14:textId="77777777" w:rsidR="004D1A15" w:rsidRDefault="004D1A15" w:rsidP="00C5210C">
            <w:pPr>
              <w:jc w:val="center"/>
            </w:pPr>
          </w:p>
        </w:tc>
      </w:tr>
      <w:tr w:rsidR="004D1A15" w14:paraId="65717E29" w14:textId="77777777" w:rsidTr="00C5210C">
        <w:tc>
          <w:tcPr>
            <w:tcW w:w="0" w:type="auto"/>
            <w:vAlign w:val="center"/>
          </w:tcPr>
          <w:p w14:paraId="4FC00F6A" w14:textId="77777777" w:rsidR="004D1A15" w:rsidRDefault="004D1A15" w:rsidP="00C5210C">
            <w:r>
              <w:t>Unknown</w:t>
            </w:r>
          </w:p>
        </w:tc>
        <w:tc>
          <w:tcPr>
            <w:tcW w:w="0" w:type="auto"/>
            <w:vAlign w:val="center"/>
          </w:tcPr>
          <w:p w14:paraId="161C4049" w14:textId="77777777" w:rsidR="004D1A15" w:rsidRDefault="004D1A15" w:rsidP="00C5210C">
            <w:pPr>
              <w:jc w:val="center"/>
            </w:pPr>
            <w:r>
              <w:t>110 (22.1)</w:t>
            </w:r>
          </w:p>
        </w:tc>
        <w:tc>
          <w:tcPr>
            <w:tcW w:w="0" w:type="auto"/>
            <w:vAlign w:val="center"/>
          </w:tcPr>
          <w:p w14:paraId="54DADDC6" w14:textId="77777777" w:rsidR="004D1A15" w:rsidRDefault="004D1A15" w:rsidP="00C5210C">
            <w:pPr>
              <w:jc w:val="center"/>
            </w:pPr>
            <w:r>
              <w:t>48 (24.0)</w:t>
            </w:r>
          </w:p>
        </w:tc>
        <w:tc>
          <w:tcPr>
            <w:tcW w:w="0" w:type="auto"/>
            <w:vAlign w:val="center"/>
          </w:tcPr>
          <w:p w14:paraId="6B7AEA0A" w14:textId="77777777" w:rsidR="004D1A15" w:rsidRDefault="004D1A15" w:rsidP="00C5210C">
            <w:pPr>
              <w:jc w:val="center"/>
            </w:pPr>
          </w:p>
        </w:tc>
      </w:tr>
      <w:tr w:rsidR="004D1A15" w14:paraId="69ED3071" w14:textId="77777777" w:rsidTr="00C5210C">
        <w:tc>
          <w:tcPr>
            <w:tcW w:w="0" w:type="auto"/>
            <w:vAlign w:val="center"/>
          </w:tcPr>
          <w:p w14:paraId="4E01E6E6" w14:textId="77777777" w:rsidR="004D1A15" w:rsidRDefault="004D1A15" w:rsidP="00C5210C"/>
        </w:tc>
        <w:tc>
          <w:tcPr>
            <w:tcW w:w="0" w:type="auto"/>
            <w:vAlign w:val="center"/>
          </w:tcPr>
          <w:p w14:paraId="3A03F6FF" w14:textId="77777777" w:rsidR="004D1A15" w:rsidRDefault="004D1A15" w:rsidP="00C5210C">
            <w:pPr>
              <w:jc w:val="center"/>
            </w:pPr>
          </w:p>
        </w:tc>
        <w:tc>
          <w:tcPr>
            <w:tcW w:w="0" w:type="auto"/>
            <w:vAlign w:val="center"/>
          </w:tcPr>
          <w:p w14:paraId="45276EA0" w14:textId="77777777" w:rsidR="004D1A15" w:rsidRDefault="004D1A15" w:rsidP="00C5210C">
            <w:pPr>
              <w:jc w:val="center"/>
            </w:pPr>
          </w:p>
        </w:tc>
        <w:tc>
          <w:tcPr>
            <w:tcW w:w="0" w:type="auto"/>
            <w:vAlign w:val="center"/>
          </w:tcPr>
          <w:p w14:paraId="14CBCFBD" w14:textId="77777777" w:rsidR="004D1A15" w:rsidRDefault="004D1A15" w:rsidP="00C5210C">
            <w:pPr>
              <w:jc w:val="center"/>
            </w:pPr>
          </w:p>
        </w:tc>
      </w:tr>
      <w:tr w:rsidR="004D1A15" w14:paraId="0E633D57" w14:textId="77777777" w:rsidTr="00C5210C">
        <w:tc>
          <w:tcPr>
            <w:tcW w:w="0" w:type="auto"/>
            <w:tcMar>
              <w:left w:w="29" w:type="dxa"/>
              <w:right w:w="115" w:type="dxa"/>
            </w:tcMar>
            <w:vAlign w:val="center"/>
          </w:tcPr>
          <w:p w14:paraId="4B685463" w14:textId="77777777" w:rsidR="004D1A15" w:rsidRPr="009B05F6" w:rsidRDefault="004D1A15" w:rsidP="00C5210C">
            <w:pPr>
              <w:rPr>
                <w:bCs/>
              </w:rPr>
            </w:pPr>
            <w:r w:rsidRPr="009B05F6">
              <w:rPr>
                <w:bCs/>
              </w:rPr>
              <w:t xml:space="preserve">Household </w:t>
            </w:r>
            <w:r>
              <w:rPr>
                <w:bCs/>
              </w:rPr>
              <w:t>i</w:t>
            </w:r>
            <w:r w:rsidRPr="009B05F6">
              <w:rPr>
                <w:bCs/>
              </w:rPr>
              <w:t>ncome</w:t>
            </w:r>
            <w:r w:rsidRPr="00443ABD">
              <w:rPr>
                <w:rFonts w:eastAsia="Calibri"/>
                <w:vertAlign w:val="superscript"/>
              </w:rPr>
              <w:t>‡</w:t>
            </w:r>
          </w:p>
        </w:tc>
        <w:tc>
          <w:tcPr>
            <w:tcW w:w="0" w:type="auto"/>
            <w:vAlign w:val="center"/>
          </w:tcPr>
          <w:p w14:paraId="7C7A4509" w14:textId="77777777" w:rsidR="004D1A15" w:rsidRDefault="004D1A15" w:rsidP="00C5210C">
            <w:pPr>
              <w:jc w:val="center"/>
            </w:pPr>
          </w:p>
        </w:tc>
        <w:tc>
          <w:tcPr>
            <w:tcW w:w="0" w:type="auto"/>
            <w:vAlign w:val="center"/>
          </w:tcPr>
          <w:p w14:paraId="79B759C2" w14:textId="77777777" w:rsidR="004D1A15" w:rsidRDefault="004D1A15" w:rsidP="00C5210C">
            <w:pPr>
              <w:jc w:val="center"/>
            </w:pPr>
          </w:p>
        </w:tc>
        <w:tc>
          <w:tcPr>
            <w:tcW w:w="0" w:type="auto"/>
            <w:vAlign w:val="center"/>
          </w:tcPr>
          <w:p w14:paraId="09FB7279" w14:textId="77777777" w:rsidR="004D1A15" w:rsidRDefault="004D1A15" w:rsidP="00C5210C">
            <w:pPr>
              <w:jc w:val="center"/>
            </w:pPr>
            <w:r>
              <w:t>0.17</w:t>
            </w:r>
          </w:p>
        </w:tc>
      </w:tr>
      <w:tr w:rsidR="004D1A15" w14:paraId="7315E162" w14:textId="77777777" w:rsidTr="00C5210C">
        <w:tc>
          <w:tcPr>
            <w:tcW w:w="0" w:type="auto"/>
            <w:vAlign w:val="center"/>
          </w:tcPr>
          <w:p w14:paraId="1034DA9F" w14:textId="77777777" w:rsidR="004D1A15" w:rsidRDefault="004D1A15" w:rsidP="00C5210C">
            <w:r>
              <w:t>&lt;$40K</w:t>
            </w:r>
          </w:p>
        </w:tc>
        <w:tc>
          <w:tcPr>
            <w:tcW w:w="0" w:type="auto"/>
            <w:vAlign w:val="center"/>
          </w:tcPr>
          <w:p w14:paraId="56B3B916" w14:textId="77777777" w:rsidR="004D1A15" w:rsidRDefault="004D1A15" w:rsidP="00C5210C">
            <w:pPr>
              <w:jc w:val="center"/>
            </w:pPr>
            <w:r>
              <w:t>115 (23.1)</w:t>
            </w:r>
          </w:p>
        </w:tc>
        <w:tc>
          <w:tcPr>
            <w:tcW w:w="0" w:type="auto"/>
            <w:vAlign w:val="center"/>
          </w:tcPr>
          <w:p w14:paraId="47D06B17" w14:textId="77777777" w:rsidR="004D1A15" w:rsidRDefault="004D1A15" w:rsidP="00C5210C">
            <w:pPr>
              <w:jc w:val="center"/>
            </w:pPr>
            <w:r>
              <w:t>48 (24.0)</w:t>
            </w:r>
          </w:p>
        </w:tc>
        <w:tc>
          <w:tcPr>
            <w:tcW w:w="0" w:type="auto"/>
            <w:vAlign w:val="center"/>
          </w:tcPr>
          <w:p w14:paraId="21A932FD" w14:textId="77777777" w:rsidR="004D1A15" w:rsidRDefault="004D1A15" w:rsidP="00C5210C">
            <w:pPr>
              <w:jc w:val="center"/>
            </w:pPr>
          </w:p>
        </w:tc>
      </w:tr>
      <w:tr w:rsidR="004D1A15" w14:paraId="35254065" w14:textId="77777777" w:rsidTr="00C5210C">
        <w:tc>
          <w:tcPr>
            <w:tcW w:w="0" w:type="auto"/>
            <w:vAlign w:val="center"/>
          </w:tcPr>
          <w:p w14:paraId="297465C3" w14:textId="77777777" w:rsidR="004D1A15" w:rsidRDefault="004D1A15" w:rsidP="00C5210C">
            <w:r>
              <w:t>$40K-$49K</w:t>
            </w:r>
          </w:p>
        </w:tc>
        <w:tc>
          <w:tcPr>
            <w:tcW w:w="0" w:type="auto"/>
            <w:vAlign w:val="center"/>
          </w:tcPr>
          <w:p w14:paraId="7170B8BD" w14:textId="77777777" w:rsidR="004D1A15" w:rsidRDefault="004D1A15" w:rsidP="00C5210C">
            <w:pPr>
              <w:jc w:val="center"/>
            </w:pPr>
            <w:r>
              <w:t>33 (6.6)</w:t>
            </w:r>
          </w:p>
        </w:tc>
        <w:tc>
          <w:tcPr>
            <w:tcW w:w="0" w:type="auto"/>
            <w:vAlign w:val="center"/>
          </w:tcPr>
          <w:p w14:paraId="0C6C0EC5" w14:textId="77777777" w:rsidR="004D1A15" w:rsidRDefault="004D1A15" w:rsidP="00C5210C">
            <w:pPr>
              <w:jc w:val="center"/>
            </w:pPr>
            <w:r>
              <w:t>10 (5.0)</w:t>
            </w:r>
          </w:p>
        </w:tc>
        <w:tc>
          <w:tcPr>
            <w:tcW w:w="0" w:type="auto"/>
            <w:vAlign w:val="center"/>
          </w:tcPr>
          <w:p w14:paraId="287F4275" w14:textId="77777777" w:rsidR="004D1A15" w:rsidRDefault="004D1A15" w:rsidP="00C5210C">
            <w:pPr>
              <w:jc w:val="center"/>
            </w:pPr>
          </w:p>
        </w:tc>
      </w:tr>
      <w:tr w:rsidR="004D1A15" w14:paraId="1F939686" w14:textId="77777777" w:rsidTr="00C5210C">
        <w:tc>
          <w:tcPr>
            <w:tcW w:w="0" w:type="auto"/>
            <w:vAlign w:val="center"/>
          </w:tcPr>
          <w:p w14:paraId="71243DE0" w14:textId="77777777" w:rsidR="004D1A15" w:rsidRDefault="004D1A15" w:rsidP="00C5210C">
            <w:r>
              <w:t>$50K-$59K</w:t>
            </w:r>
          </w:p>
        </w:tc>
        <w:tc>
          <w:tcPr>
            <w:tcW w:w="0" w:type="auto"/>
            <w:vAlign w:val="center"/>
          </w:tcPr>
          <w:p w14:paraId="1666BCC1" w14:textId="77777777" w:rsidR="004D1A15" w:rsidRDefault="004D1A15" w:rsidP="00C5210C">
            <w:pPr>
              <w:jc w:val="center"/>
            </w:pPr>
            <w:r>
              <w:t>41 (8.2)</w:t>
            </w:r>
          </w:p>
        </w:tc>
        <w:tc>
          <w:tcPr>
            <w:tcW w:w="0" w:type="auto"/>
            <w:vAlign w:val="center"/>
          </w:tcPr>
          <w:p w14:paraId="7E63EDAF" w14:textId="77777777" w:rsidR="004D1A15" w:rsidRDefault="004D1A15" w:rsidP="00C5210C">
            <w:pPr>
              <w:jc w:val="center"/>
            </w:pPr>
            <w:r>
              <w:t>17 (8.5)</w:t>
            </w:r>
          </w:p>
        </w:tc>
        <w:tc>
          <w:tcPr>
            <w:tcW w:w="0" w:type="auto"/>
            <w:vAlign w:val="center"/>
          </w:tcPr>
          <w:p w14:paraId="5AA24DE8" w14:textId="77777777" w:rsidR="004D1A15" w:rsidRDefault="004D1A15" w:rsidP="00C5210C">
            <w:pPr>
              <w:jc w:val="center"/>
            </w:pPr>
          </w:p>
        </w:tc>
      </w:tr>
      <w:tr w:rsidR="004D1A15" w14:paraId="3D2001BB" w14:textId="77777777" w:rsidTr="00C5210C">
        <w:tc>
          <w:tcPr>
            <w:tcW w:w="0" w:type="auto"/>
            <w:vAlign w:val="center"/>
          </w:tcPr>
          <w:p w14:paraId="7C0252F7" w14:textId="77777777" w:rsidR="004D1A15" w:rsidRDefault="004D1A15" w:rsidP="00C5210C">
            <w:r>
              <w:t>$60K-$74K</w:t>
            </w:r>
          </w:p>
        </w:tc>
        <w:tc>
          <w:tcPr>
            <w:tcW w:w="0" w:type="auto"/>
            <w:vAlign w:val="center"/>
          </w:tcPr>
          <w:p w14:paraId="0035C818" w14:textId="77777777" w:rsidR="004D1A15" w:rsidRDefault="004D1A15" w:rsidP="00C5210C">
            <w:pPr>
              <w:jc w:val="center"/>
            </w:pPr>
            <w:r>
              <w:t>41 (8.2)</w:t>
            </w:r>
          </w:p>
        </w:tc>
        <w:tc>
          <w:tcPr>
            <w:tcW w:w="0" w:type="auto"/>
            <w:vAlign w:val="center"/>
          </w:tcPr>
          <w:p w14:paraId="2A49E5A9" w14:textId="77777777" w:rsidR="004D1A15" w:rsidRDefault="004D1A15" w:rsidP="00C5210C">
            <w:pPr>
              <w:jc w:val="center"/>
            </w:pPr>
            <w:r>
              <w:t>24 (12.0)</w:t>
            </w:r>
          </w:p>
        </w:tc>
        <w:tc>
          <w:tcPr>
            <w:tcW w:w="0" w:type="auto"/>
            <w:vAlign w:val="center"/>
          </w:tcPr>
          <w:p w14:paraId="6FFC4CED" w14:textId="77777777" w:rsidR="004D1A15" w:rsidRDefault="004D1A15" w:rsidP="00C5210C">
            <w:pPr>
              <w:jc w:val="center"/>
            </w:pPr>
          </w:p>
        </w:tc>
      </w:tr>
      <w:tr w:rsidR="004D1A15" w14:paraId="30CE9DD5" w14:textId="77777777" w:rsidTr="00C5210C">
        <w:tc>
          <w:tcPr>
            <w:tcW w:w="0" w:type="auto"/>
            <w:vAlign w:val="center"/>
          </w:tcPr>
          <w:p w14:paraId="0FEF307D" w14:textId="77777777" w:rsidR="004D1A15" w:rsidRDefault="004D1A15" w:rsidP="00C5210C">
            <w:r>
              <w:t>$75K-$99K</w:t>
            </w:r>
          </w:p>
        </w:tc>
        <w:tc>
          <w:tcPr>
            <w:tcW w:w="0" w:type="auto"/>
            <w:vAlign w:val="center"/>
          </w:tcPr>
          <w:p w14:paraId="6623DECF" w14:textId="77777777" w:rsidR="004D1A15" w:rsidRDefault="004D1A15" w:rsidP="00C5210C">
            <w:pPr>
              <w:jc w:val="center"/>
            </w:pPr>
            <w:r>
              <w:t>90 (18.1)</w:t>
            </w:r>
          </w:p>
        </w:tc>
        <w:tc>
          <w:tcPr>
            <w:tcW w:w="0" w:type="auto"/>
            <w:vAlign w:val="center"/>
          </w:tcPr>
          <w:p w14:paraId="09279C45" w14:textId="77777777" w:rsidR="004D1A15" w:rsidRDefault="004D1A15" w:rsidP="00C5210C">
            <w:pPr>
              <w:jc w:val="center"/>
            </w:pPr>
            <w:r>
              <w:t>32 (16.0)</w:t>
            </w:r>
          </w:p>
        </w:tc>
        <w:tc>
          <w:tcPr>
            <w:tcW w:w="0" w:type="auto"/>
            <w:vAlign w:val="center"/>
          </w:tcPr>
          <w:p w14:paraId="4FA2BA37" w14:textId="77777777" w:rsidR="004D1A15" w:rsidRDefault="004D1A15" w:rsidP="00C5210C">
            <w:pPr>
              <w:jc w:val="center"/>
            </w:pPr>
          </w:p>
        </w:tc>
      </w:tr>
      <w:tr w:rsidR="004D1A15" w14:paraId="51F0CFA6" w14:textId="77777777" w:rsidTr="00C5210C">
        <w:tc>
          <w:tcPr>
            <w:tcW w:w="0" w:type="auto"/>
            <w:vAlign w:val="center"/>
          </w:tcPr>
          <w:p w14:paraId="0189C3A8" w14:textId="77777777" w:rsidR="004D1A15" w:rsidRDefault="004D1A15" w:rsidP="00C5210C">
            <w:r>
              <w:t>$100K+</w:t>
            </w:r>
          </w:p>
        </w:tc>
        <w:tc>
          <w:tcPr>
            <w:tcW w:w="0" w:type="auto"/>
            <w:vAlign w:val="center"/>
          </w:tcPr>
          <w:p w14:paraId="1D23BE41" w14:textId="77777777" w:rsidR="004D1A15" w:rsidRDefault="004D1A15" w:rsidP="00C5210C">
            <w:pPr>
              <w:jc w:val="center"/>
            </w:pPr>
            <w:r>
              <w:t>103 (20.7)</w:t>
            </w:r>
          </w:p>
        </w:tc>
        <w:tc>
          <w:tcPr>
            <w:tcW w:w="0" w:type="auto"/>
            <w:vAlign w:val="center"/>
          </w:tcPr>
          <w:p w14:paraId="7F467C42" w14:textId="77777777" w:rsidR="004D1A15" w:rsidRDefault="004D1A15" w:rsidP="00C5210C">
            <w:pPr>
              <w:jc w:val="center"/>
            </w:pPr>
            <w:r>
              <w:t>42 (21.0)</w:t>
            </w:r>
          </w:p>
        </w:tc>
        <w:tc>
          <w:tcPr>
            <w:tcW w:w="0" w:type="auto"/>
            <w:vAlign w:val="center"/>
          </w:tcPr>
          <w:p w14:paraId="4E19E19B" w14:textId="77777777" w:rsidR="004D1A15" w:rsidRDefault="004D1A15" w:rsidP="00C5210C">
            <w:pPr>
              <w:jc w:val="center"/>
            </w:pPr>
          </w:p>
        </w:tc>
      </w:tr>
      <w:tr w:rsidR="004D1A15" w14:paraId="38BC4322" w14:textId="77777777" w:rsidTr="00C5210C">
        <w:tc>
          <w:tcPr>
            <w:tcW w:w="0" w:type="auto"/>
            <w:vAlign w:val="center"/>
          </w:tcPr>
          <w:p w14:paraId="1E5AF311" w14:textId="77777777" w:rsidR="004D1A15" w:rsidRDefault="004D1A15" w:rsidP="00C5210C">
            <w:r>
              <w:t>Unknown</w:t>
            </w:r>
          </w:p>
        </w:tc>
        <w:tc>
          <w:tcPr>
            <w:tcW w:w="0" w:type="auto"/>
            <w:vAlign w:val="center"/>
          </w:tcPr>
          <w:p w14:paraId="222B8BE6" w14:textId="77777777" w:rsidR="004D1A15" w:rsidRDefault="004D1A15" w:rsidP="00C5210C">
            <w:pPr>
              <w:jc w:val="center"/>
            </w:pPr>
            <w:r>
              <w:t>75 (15.1)</w:t>
            </w:r>
          </w:p>
        </w:tc>
        <w:tc>
          <w:tcPr>
            <w:tcW w:w="0" w:type="auto"/>
            <w:vAlign w:val="center"/>
          </w:tcPr>
          <w:p w14:paraId="7BA2BD49" w14:textId="77777777" w:rsidR="004D1A15" w:rsidRDefault="004D1A15" w:rsidP="00C5210C">
            <w:pPr>
              <w:jc w:val="center"/>
            </w:pPr>
            <w:r>
              <w:t>27 (13.5)</w:t>
            </w:r>
          </w:p>
        </w:tc>
        <w:tc>
          <w:tcPr>
            <w:tcW w:w="0" w:type="auto"/>
            <w:vAlign w:val="center"/>
          </w:tcPr>
          <w:p w14:paraId="2D448558" w14:textId="77777777" w:rsidR="004D1A15" w:rsidRDefault="004D1A15" w:rsidP="00C5210C">
            <w:pPr>
              <w:jc w:val="center"/>
            </w:pPr>
          </w:p>
        </w:tc>
      </w:tr>
      <w:tr w:rsidR="004D1A15" w14:paraId="1FE37435" w14:textId="77777777" w:rsidTr="00C5210C">
        <w:tc>
          <w:tcPr>
            <w:tcW w:w="0" w:type="auto"/>
            <w:vAlign w:val="center"/>
          </w:tcPr>
          <w:p w14:paraId="296831BD" w14:textId="77777777" w:rsidR="004D1A15" w:rsidRDefault="004D1A15" w:rsidP="00C5210C"/>
        </w:tc>
        <w:tc>
          <w:tcPr>
            <w:tcW w:w="0" w:type="auto"/>
            <w:vAlign w:val="center"/>
          </w:tcPr>
          <w:p w14:paraId="1D48F6F4" w14:textId="77777777" w:rsidR="004D1A15" w:rsidRDefault="004D1A15" w:rsidP="00C5210C">
            <w:pPr>
              <w:jc w:val="center"/>
            </w:pPr>
          </w:p>
        </w:tc>
        <w:tc>
          <w:tcPr>
            <w:tcW w:w="0" w:type="auto"/>
            <w:vAlign w:val="center"/>
          </w:tcPr>
          <w:p w14:paraId="1336B992" w14:textId="77777777" w:rsidR="004D1A15" w:rsidRDefault="004D1A15" w:rsidP="00C5210C">
            <w:pPr>
              <w:jc w:val="center"/>
            </w:pPr>
          </w:p>
        </w:tc>
        <w:tc>
          <w:tcPr>
            <w:tcW w:w="0" w:type="auto"/>
            <w:vAlign w:val="center"/>
          </w:tcPr>
          <w:p w14:paraId="3579E218" w14:textId="77777777" w:rsidR="004D1A15" w:rsidRDefault="004D1A15" w:rsidP="00C5210C">
            <w:pPr>
              <w:jc w:val="center"/>
            </w:pPr>
          </w:p>
        </w:tc>
      </w:tr>
      <w:tr w:rsidR="004D1A15" w14:paraId="6C9D28CC" w14:textId="77777777" w:rsidTr="00C5210C">
        <w:tc>
          <w:tcPr>
            <w:tcW w:w="0" w:type="auto"/>
            <w:tcMar>
              <w:left w:w="29" w:type="dxa"/>
              <w:right w:w="115" w:type="dxa"/>
            </w:tcMar>
            <w:vAlign w:val="center"/>
          </w:tcPr>
          <w:p w14:paraId="73EDE5A6" w14:textId="77777777" w:rsidR="004D1A15" w:rsidRPr="009B05F6" w:rsidRDefault="004D1A15" w:rsidP="00C5210C">
            <w:pPr>
              <w:rPr>
                <w:bCs/>
              </w:rPr>
            </w:pPr>
            <w:r>
              <w:rPr>
                <w:bCs/>
              </w:rPr>
              <w:t>Total net worth of beneficiary</w:t>
            </w:r>
            <w:r w:rsidRPr="00443ABD">
              <w:rPr>
                <w:rFonts w:eastAsia="Calibri"/>
                <w:vertAlign w:val="superscript"/>
              </w:rPr>
              <w:t>‡</w:t>
            </w:r>
          </w:p>
        </w:tc>
        <w:tc>
          <w:tcPr>
            <w:tcW w:w="0" w:type="auto"/>
            <w:vAlign w:val="center"/>
          </w:tcPr>
          <w:p w14:paraId="08900DB0" w14:textId="77777777" w:rsidR="004D1A15" w:rsidRDefault="004D1A15" w:rsidP="00C5210C">
            <w:pPr>
              <w:jc w:val="center"/>
            </w:pPr>
          </w:p>
        </w:tc>
        <w:tc>
          <w:tcPr>
            <w:tcW w:w="0" w:type="auto"/>
            <w:vAlign w:val="center"/>
          </w:tcPr>
          <w:p w14:paraId="1969E07F" w14:textId="77777777" w:rsidR="004D1A15" w:rsidRDefault="004D1A15" w:rsidP="00C5210C">
            <w:pPr>
              <w:jc w:val="center"/>
            </w:pPr>
          </w:p>
        </w:tc>
        <w:tc>
          <w:tcPr>
            <w:tcW w:w="0" w:type="auto"/>
            <w:vAlign w:val="center"/>
          </w:tcPr>
          <w:p w14:paraId="0DD62D86" w14:textId="77777777" w:rsidR="004D1A15" w:rsidRDefault="004D1A15" w:rsidP="00C5210C">
            <w:pPr>
              <w:jc w:val="center"/>
            </w:pPr>
            <w:r>
              <w:t>0.09</w:t>
            </w:r>
          </w:p>
        </w:tc>
      </w:tr>
      <w:tr w:rsidR="004D1A15" w14:paraId="591BAF7E" w14:textId="77777777" w:rsidTr="00C5210C">
        <w:tc>
          <w:tcPr>
            <w:tcW w:w="0" w:type="auto"/>
            <w:vAlign w:val="center"/>
          </w:tcPr>
          <w:p w14:paraId="64330003" w14:textId="77777777" w:rsidR="004D1A15" w:rsidRDefault="004D1A15" w:rsidP="00C5210C">
            <w:r>
              <w:t>&lt;$25K</w:t>
            </w:r>
          </w:p>
        </w:tc>
        <w:tc>
          <w:tcPr>
            <w:tcW w:w="0" w:type="auto"/>
            <w:vAlign w:val="center"/>
          </w:tcPr>
          <w:p w14:paraId="13944E21" w14:textId="77777777" w:rsidR="004D1A15" w:rsidRDefault="004D1A15" w:rsidP="00C5210C">
            <w:pPr>
              <w:jc w:val="center"/>
            </w:pPr>
            <w:r>
              <w:t>74 (14.8)</w:t>
            </w:r>
          </w:p>
        </w:tc>
        <w:tc>
          <w:tcPr>
            <w:tcW w:w="0" w:type="auto"/>
            <w:vAlign w:val="center"/>
          </w:tcPr>
          <w:p w14:paraId="3B861610" w14:textId="77777777" w:rsidR="004D1A15" w:rsidRDefault="004D1A15" w:rsidP="00C5210C">
            <w:pPr>
              <w:jc w:val="center"/>
            </w:pPr>
            <w:r>
              <w:t>29 (14.5)</w:t>
            </w:r>
          </w:p>
        </w:tc>
        <w:tc>
          <w:tcPr>
            <w:tcW w:w="0" w:type="auto"/>
            <w:vAlign w:val="center"/>
          </w:tcPr>
          <w:p w14:paraId="220947FE" w14:textId="77777777" w:rsidR="004D1A15" w:rsidRDefault="004D1A15" w:rsidP="00C5210C">
            <w:pPr>
              <w:jc w:val="center"/>
            </w:pPr>
          </w:p>
        </w:tc>
      </w:tr>
      <w:tr w:rsidR="004D1A15" w14:paraId="75C452DE" w14:textId="77777777" w:rsidTr="00C5210C">
        <w:tc>
          <w:tcPr>
            <w:tcW w:w="0" w:type="auto"/>
            <w:vAlign w:val="center"/>
          </w:tcPr>
          <w:p w14:paraId="162854E9" w14:textId="77777777" w:rsidR="004D1A15" w:rsidRDefault="004D1A15" w:rsidP="00C5210C">
            <w:r>
              <w:t>$25K-$149K</w:t>
            </w:r>
          </w:p>
        </w:tc>
        <w:tc>
          <w:tcPr>
            <w:tcW w:w="0" w:type="auto"/>
            <w:vAlign w:val="center"/>
          </w:tcPr>
          <w:p w14:paraId="244E23D8" w14:textId="77777777" w:rsidR="004D1A15" w:rsidRDefault="004D1A15" w:rsidP="00C5210C">
            <w:pPr>
              <w:jc w:val="center"/>
            </w:pPr>
            <w:r>
              <w:t>82 (16.5)</w:t>
            </w:r>
          </w:p>
        </w:tc>
        <w:tc>
          <w:tcPr>
            <w:tcW w:w="0" w:type="auto"/>
            <w:vAlign w:val="center"/>
          </w:tcPr>
          <w:p w14:paraId="64C1EDF5" w14:textId="77777777" w:rsidR="004D1A15" w:rsidRDefault="004D1A15" w:rsidP="00C5210C">
            <w:pPr>
              <w:jc w:val="center"/>
            </w:pPr>
            <w:r>
              <w:t>37 (18.5)</w:t>
            </w:r>
          </w:p>
        </w:tc>
        <w:tc>
          <w:tcPr>
            <w:tcW w:w="0" w:type="auto"/>
            <w:vAlign w:val="center"/>
          </w:tcPr>
          <w:p w14:paraId="7ED2BDB2" w14:textId="77777777" w:rsidR="004D1A15" w:rsidRDefault="004D1A15" w:rsidP="00C5210C">
            <w:pPr>
              <w:jc w:val="center"/>
            </w:pPr>
          </w:p>
        </w:tc>
      </w:tr>
      <w:tr w:rsidR="004D1A15" w14:paraId="080AEE96" w14:textId="77777777" w:rsidTr="00C5210C">
        <w:tc>
          <w:tcPr>
            <w:tcW w:w="0" w:type="auto"/>
            <w:vAlign w:val="center"/>
          </w:tcPr>
          <w:p w14:paraId="07ABFC92" w14:textId="77777777" w:rsidR="004D1A15" w:rsidRDefault="004D1A15" w:rsidP="00C5210C">
            <w:r>
              <w:t>$150K-$249K</w:t>
            </w:r>
          </w:p>
        </w:tc>
        <w:tc>
          <w:tcPr>
            <w:tcW w:w="0" w:type="auto"/>
            <w:vAlign w:val="center"/>
          </w:tcPr>
          <w:p w14:paraId="6C05327F" w14:textId="77777777" w:rsidR="004D1A15" w:rsidRDefault="004D1A15" w:rsidP="00C5210C">
            <w:pPr>
              <w:jc w:val="center"/>
            </w:pPr>
            <w:r>
              <w:t>45 (9.0)</w:t>
            </w:r>
          </w:p>
        </w:tc>
        <w:tc>
          <w:tcPr>
            <w:tcW w:w="0" w:type="auto"/>
            <w:vAlign w:val="center"/>
          </w:tcPr>
          <w:p w14:paraId="1E6F1A97" w14:textId="77777777" w:rsidR="004D1A15" w:rsidRDefault="004D1A15" w:rsidP="00C5210C">
            <w:pPr>
              <w:jc w:val="center"/>
            </w:pPr>
            <w:r>
              <w:t>19 (9.5)</w:t>
            </w:r>
          </w:p>
        </w:tc>
        <w:tc>
          <w:tcPr>
            <w:tcW w:w="0" w:type="auto"/>
            <w:vAlign w:val="center"/>
          </w:tcPr>
          <w:p w14:paraId="275BCE6D" w14:textId="77777777" w:rsidR="004D1A15" w:rsidRDefault="004D1A15" w:rsidP="00C5210C">
            <w:pPr>
              <w:jc w:val="center"/>
            </w:pPr>
          </w:p>
        </w:tc>
      </w:tr>
      <w:tr w:rsidR="004D1A15" w14:paraId="47D8873A" w14:textId="77777777" w:rsidTr="00C5210C">
        <w:tc>
          <w:tcPr>
            <w:tcW w:w="0" w:type="auto"/>
            <w:vAlign w:val="center"/>
          </w:tcPr>
          <w:p w14:paraId="266FB2CE" w14:textId="77777777" w:rsidR="004D1A15" w:rsidRDefault="004D1A15" w:rsidP="00C5210C">
            <w:r>
              <w:t>$250K-$499K</w:t>
            </w:r>
          </w:p>
        </w:tc>
        <w:tc>
          <w:tcPr>
            <w:tcW w:w="0" w:type="auto"/>
            <w:vAlign w:val="center"/>
          </w:tcPr>
          <w:p w14:paraId="262B5929" w14:textId="77777777" w:rsidR="004D1A15" w:rsidRDefault="004D1A15" w:rsidP="00C5210C">
            <w:pPr>
              <w:jc w:val="center"/>
            </w:pPr>
            <w:r>
              <w:t>69 (13.9)</w:t>
            </w:r>
          </w:p>
        </w:tc>
        <w:tc>
          <w:tcPr>
            <w:tcW w:w="0" w:type="auto"/>
            <w:vAlign w:val="center"/>
          </w:tcPr>
          <w:p w14:paraId="680848F1" w14:textId="77777777" w:rsidR="004D1A15" w:rsidRDefault="004D1A15" w:rsidP="00C5210C">
            <w:pPr>
              <w:jc w:val="center"/>
            </w:pPr>
            <w:r>
              <w:t>26 (13.0)</w:t>
            </w:r>
          </w:p>
        </w:tc>
        <w:tc>
          <w:tcPr>
            <w:tcW w:w="0" w:type="auto"/>
            <w:vAlign w:val="center"/>
          </w:tcPr>
          <w:p w14:paraId="20E33798" w14:textId="77777777" w:rsidR="004D1A15" w:rsidRDefault="004D1A15" w:rsidP="00C5210C">
            <w:pPr>
              <w:jc w:val="center"/>
            </w:pPr>
          </w:p>
        </w:tc>
      </w:tr>
      <w:tr w:rsidR="004D1A15" w14:paraId="35A4CAE7" w14:textId="77777777" w:rsidTr="00C5210C">
        <w:tc>
          <w:tcPr>
            <w:tcW w:w="0" w:type="auto"/>
            <w:vAlign w:val="center"/>
          </w:tcPr>
          <w:p w14:paraId="58C8A113" w14:textId="77777777" w:rsidR="004D1A15" w:rsidRDefault="004D1A15" w:rsidP="00C5210C">
            <w:r>
              <w:t>$500K+</w:t>
            </w:r>
          </w:p>
        </w:tc>
        <w:tc>
          <w:tcPr>
            <w:tcW w:w="0" w:type="auto"/>
            <w:vAlign w:val="center"/>
          </w:tcPr>
          <w:p w14:paraId="23D82A0D" w14:textId="77777777" w:rsidR="004D1A15" w:rsidRDefault="004D1A15" w:rsidP="00C5210C">
            <w:pPr>
              <w:jc w:val="center"/>
            </w:pPr>
            <w:r>
              <w:t>153 (30.7)</w:t>
            </w:r>
          </w:p>
        </w:tc>
        <w:tc>
          <w:tcPr>
            <w:tcW w:w="0" w:type="auto"/>
            <w:vAlign w:val="center"/>
          </w:tcPr>
          <w:p w14:paraId="36D1E786" w14:textId="77777777" w:rsidR="004D1A15" w:rsidRDefault="004D1A15" w:rsidP="00C5210C">
            <w:pPr>
              <w:jc w:val="center"/>
            </w:pPr>
            <w:r>
              <w:t>62 (31.0)</w:t>
            </w:r>
          </w:p>
        </w:tc>
        <w:tc>
          <w:tcPr>
            <w:tcW w:w="0" w:type="auto"/>
            <w:vAlign w:val="center"/>
          </w:tcPr>
          <w:p w14:paraId="2DABDF5D" w14:textId="77777777" w:rsidR="004D1A15" w:rsidRDefault="004D1A15" w:rsidP="00C5210C">
            <w:pPr>
              <w:jc w:val="center"/>
            </w:pPr>
          </w:p>
        </w:tc>
      </w:tr>
      <w:tr w:rsidR="004D1A15" w14:paraId="40C2F95C" w14:textId="77777777" w:rsidTr="00C5210C">
        <w:tc>
          <w:tcPr>
            <w:tcW w:w="0" w:type="auto"/>
            <w:vAlign w:val="center"/>
          </w:tcPr>
          <w:p w14:paraId="0E08CAC6" w14:textId="77777777" w:rsidR="004D1A15" w:rsidRDefault="004D1A15" w:rsidP="00C5210C">
            <w:r>
              <w:t>Unknown</w:t>
            </w:r>
          </w:p>
        </w:tc>
        <w:tc>
          <w:tcPr>
            <w:tcW w:w="0" w:type="auto"/>
            <w:vAlign w:val="center"/>
          </w:tcPr>
          <w:p w14:paraId="0257D305" w14:textId="77777777" w:rsidR="004D1A15" w:rsidRDefault="004D1A15" w:rsidP="00C5210C">
            <w:pPr>
              <w:jc w:val="center"/>
            </w:pPr>
            <w:r>
              <w:t>75 (15.1)</w:t>
            </w:r>
          </w:p>
        </w:tc>
        <w:tc>
          <w:tcPr>
            <w:tcW w:w="0" w:type="auto"/>
            <w:vAlign w:val="center"/>
          </w:tcPr>
          <w:p w14:paraId="7E47060F" w14:textId="77777777" w:rsidR="004D1A15" w:rsidRDefault="004D1A15" w:rsidP="00C5210C">
            <w:pPr>
              <w:jc w:val="center"/>
            </w:pPr>
            <w:r>
              <w:t>27 (13.5)</w:t>
            </w:r>
          </w:p>
        </w:tc>
        <w:tc>
          <w:tcPr>
            <w:tcW w:w="0" w:type="auto"/>
            <w:vAlign w:val="center"/>
          </w:tcPr>
          <w:p w14:paraId="05C063D8" w14:textId="77777777" w:rsidR="004D1A15" w:rsidRDefault="004D1A15" w:rsidP="00C5210C">
            <w:pPr>
              <w:jc w:val="center"/>
            </w:pPr>
          </w:p>
        </w:tc>
      </w:tr>
      <w:tr w:rsidR="004D1A15" w14:paraId="3FE29882" w14:textId="77777777" w:rsidTr="00C5210C">
        <w:tc>
          <w:tcPr>
            <w:tcW w:w="0" w:type="auto"/>
            <w:vAlign w:val="center"/>
          </w:tcPr>
          <w:p w14:paraId="12E5187D" w14:textId="77777777" w:rsidR="004D1A15" w:rsidRDefault="004D1A15" w:rsidP="00C5210C"/>
        </w:tc>
        <w:tc>
          <w:tcPr>
            <w:tcW w:w="0" w:type="auto"/>
            <w:vAlign w:val="center"/>
          </w:tcPr>
          <w:p w14:paraId="79E9339F" w14:textId="77777777" w:rsidR="004D1A15" w:rsidRDefault="004D1A15" w:rsidP="00C5210C">
            <w:pPr>
              <w:jc w:val="center"/>
            </w:pPr>
          </w:p>
        </w:tc>
        <w:tc>
          <w:tcPr>
            <w:tcW w:w="0" w:type="auto"/>
            <w:vAlign w:val="center"/>
          </w:tcPr>
          <w:p w14:paraId="026E4E28" w14:textId="77777777" w:rsidR="004D1A15" w:rsidRDefault="004D1A15" w:rsidP="00C5210C">
            <w:pPr>
              <w:jc w:val="center"/>
            </w:pPr>
          </w:p>
        </w:tc>
        <w:tc>
          <w:tcPr>
            <w:tcW w:w="0" w:type="auto"/>
            <w:vAlign w:val="center"/>
          </w:tcPr>
          <w:p w14:paraId="5CB8FD84" w14:textId="77777777" w:rsidR="004D1A15" w:rsidRDefault="004D1A15" w:rsidP="00C5210C">
            <w:pPr>
              <w:jc w:val="center"/>
            </w:pPr>
          </w:p>
        </w:tc>
      </w:tr>
      <w:tr w:rsidR="004D1A15" w14:paraId="63400AFD" w14:textId="77777777" w:rsidTr="00C5210C">
        <w:tc>
          <w:tcPr>
            <w:tcW w:w="0" w:type="auto"/>
            <w:shd w:val="clear" w:color="auto" w:fill="D9D9D9" w:themeFill="background1" w:themeFillShade="D9"/>
            <w:tcMar>
              <w:left w:w="29" w:type="dxa"/>
              <w:right w:w="115" w:type="dxa"/>
            </w:tcMar>
            <w:vAlign w:val="center"/>
          </w:tcPr>
          <w:p w14:paraId="73017EC0" w14:textId="77777777" w:rsidR="004D1A15" w:rsidRPr="00BC7185" w:rsidRDefault="004D1A15" w:rsidP="00C5210C">
            <w:pPr>
              <w:rPr>
                <w:b/>
                <w:bCs/>
              </w:rPr>
            </w:pPr>
            <w:r>
              <w:rPr>
                <w:b/>
                <w:bCs/>
              </w:rPr>
              <w:t>Cancer</w:t>
            </w:r>
            <w:r w:rsidRPr="00BC7185">
              <w:rPr>
                <w:b/>
                <w:bCs/>
              </w:rPr>
              <w:t xml:space="preserve"> </w:t>
            </w:r>
            <w:r>
              <w:rPr>
                <w:b/>
                <w:bCs/>
              </w:rPr>
              <w:t>c</w:t>
            </w:r>
            <w:r w:rsidRPr="00BC7185">
              <w:rPr>
                <w:b/>
                <w:bCs/>
              </w:rPr>
              <w:t>omplications</w:t>
            </w:r>
            <w:r>
              <w:rPr>
                <w:b/>
                <w:bCs/>
              </w:rPr>
              <w:t>, present in baseline period</w:t>
            </w:r>
          </w:p>
        </w:tc>
        <w:tc>
          <w:tcPr>
            <w:tcW w:w="0" w:type="auto"/>
            <w:shd w:val="clear" w:color="auto" w:fill="D9D9D9" w:themeFill="background1" w:themeFillShade="D9"/>
            <w:vAlign w:val="center"/>
          </w:tcPr>
          <w:p w14:paraId="1B688F8D" w14:textId="77777777" w:rsidR="004D1A15" w:rsidRPr="00BC7185" w:rsidRDefault="004D1A15" w:rsidP="00C5210C">
            <w:pPr>
              <w:jc w:val="center"/>
              <w:rPr>
                <w:b/>
                <w:bCs/>
              </w:rPr>
            </w:pPr>
          </w:p>
        </w:tc>
        <w:tc>
          <w:tcPr>
            <w:tcW w:w="0" w:type="auto"/>
            <w:shd w:val="clear" w:color="auto" w:fill="D9D9D9" w:themeFill="background1" w:themeFillShade="D9"/>
            <w:vAlign w:val="center"/>
          </w:tcPr>
          <w:p w14:paraId="1557DB2F" w14:textId="77777777" w:rsidR="004D1A15" w:rsidRPr="00BC7185" w:rsidRDefault="004D1A15" w:rsidP="00C5210C">
            <w:pPr>
              <w:jc w:val="center"/>
              <w:rPr>
                <w:b/>
                <w:bCs/>
              </w:rPr>
            </w:pPr>
          </w:p>
        </w:tc>
        <w:tc>
          <w:tcPr>
            <w:tcW w:w="0" w:type="auto"/>
            <w:shd w:val="clear" w:color="auto" w:fill="D9D9D9" w:themeFill="background1" w:themeFillShade="D9"/>
            <w:vAlign w:val="center"/>
          </w:tcPr>
          <w:p w14:paraId="66804E13" w14:textId="77777777" w:rsidR="004D1A15" w:rsidRPr="00BC7185" w:rsidRDefault="004D1A15" w:rsidP="00C5210C">
            <w:pPr>
              <w:jc w:val="center"/>
              <w:rPr>
                <w:b/>
                <w:bCs/>
              </w:rPr>
            </w:pPr>
          </w:p>
        </w:tc>
      </w:tr>
      <w:tr w:rsidR="004D1A15" w14:paraId="712F6C18" w14:textId="77777777" w:rsidTr="00C5210C">
        <w:tc>
          <w:tcPr>
            <w:tcW w:w="0" w:type="auto"/>
            <w:tcMar>
              <w:left w:w="29" w:type="dxa"/>
              <w:right w:w="115" w:type="dxa"/>
            </w:tcMar>
            <w:vAlign w:val="center"/>
          </w:tcPr>
          <w:p w14:paraId="2AF26ED1" w14:textId="77777777" w:rsidR="004D1A15" w:rsidRPr="009B05F6" w:rsidRDefault="004D1A15" w:rsidP="00C5210C">
            <w:pPr>
              <w:rPr>
                <w:bCs/>
              </w:rPr>
            </w:pPr>
            <w:r w:rsidRPr="009B05F6">
              <w:rPr>
                <w:bCs/>
              </w:rPr>
              <w:t>Thrombocytopenia</w:t>
            </w:r>
          </w:p>
        </w:tc>
        <w:tc>
          <w:tcPr>
            <w:tcW w:w="0" w:type="auto"/>
            <w:vAlign w:val="center"/>
          </w:tcPr>
          <w:p w14:paraId="319218C6" w14:textId="77777777" w:rsidR="004D1A15" w:rsidRDefault="004D1A15" w:rsidP="00C5210C">
            <w:pPr>
              <w:jc w:val="center"/>
            </w:pPr>
            <w:r>
              <w:t>146 (29.3)</w:t>
            </w:r>
          </w:p>
        </w:tc>
        <w:tc>
          <w:tcPr>
            <w:tcW w:w="0" w:type="auto"/>
            <w:vAlign w:val="center"/>
          </w:tcPr>
          <w:p w14:paraId="4CCD3D65" w14:textId="77777777" w:rsidR="004D1A15" w:rsidRDefault="004D1A15" w:rsidP="00C5210C">
            <w:pPr>
              <w:jc w:val="center"/>
            </w:pPr>
            <w:r>
              <w:t>57 (28.5)</w:t>
            </w:r>
          </w:p>
        </w:tc>
        <w:tc>
          <w:tcPr>
            <w:tcW w:w="0" w:type="auto"/>
            <w:vAlign w:val="center"/>
          </w:tcPr>
          <w:p w14:paraId="78B920E2" w14:textId="77777777" w:rsidR="004D1A15" w:rsidRDefault="004D1A15" w:rsidP="00C5210C">
            <w:pPr>
              <w:jc w:val="center"/>
            </w:pPr>
            <w:r>
              <w:t>0.02</w:t>
            </w:r>
          </w:p>
        </w:tc>
      </w:tr>
      <w:tr w:rsidR="004D1A15" w14:paraId="7853F926" w14:textId="77777777" w:rsidTr="00C5210C">
        <w:tc>
          <w:tcPr>
            <w:tcW w:w="0" w:type="auto"/>
            <w:tcMar>
              <w:left w:w="29" w:type="dxa"/>
              <w:right w:w="115" w:type="dxa"/>
            </w:tcMar>
            <w:vAlign w:val="center"/>
          </w:tcPr>
          <w:p w14:paraId="4352C76F" w14:textId="77777777" w:rsidR="004D1A15" w:rsidRPr="009B05F6" w:rsidRDefault="004D1A15" w:rsidP="00C5210C">
            <w:pPr>
              <w:rPr>
                <w:bCs/>
              </w:rPr>
            </w:pPr>
            <w:r w:rsidRPr="009B05F6">
              <w:rPr>
                <w:bCs/>
              </w:rPr>
              <w:t>Lymphadenopathy</w:t>
            </w:r>
          </w:p>
        </w:tc>
        <w:tc>
          <w:tcPr>
            <w:tcW w:w="0" w:type="auto"/>
            <w:vAlign w:val="center"/>
          </w:tcPr>
          <w:p w14:paraId="59B9CAC2" w14:textId="77777777" w:rsidR="004D1A15" w:rsidRDefault="004D1A15" w:rsidP="00C5210C">
            <w:pPr>
              <w:jc w:val="center"/>
            </w:pPr>
            <w:r>
              <w:t>206 (41.4)</w:t>
            </w:r>
          </w:p>
        </w:tc>
        <w:tc>
          <w:tcPr>
            <w:tcW w:w="0" w:type="auto"/>
            <w:vAlign w:val="center"/>
          </w:tcPr>
          <w:p w14:paraId="47A461B9" w14:textId="77777777" w:rsidR="004D1A15" w:rsidRDefault="004D1A15" w:rsidP="00C5210C">
            <w:pPr>
              <w:jc w:val="center"/>
            </w:pPr>
            <w:r>
              <w:t>82 (41.0)</w:t>
            </w:r>
          </w:p>
        </w:tc>
        <w:tc>
          <w:tcPr>
            <w:tcW w:w="0" w:type="auto"/>
            <w:vAlign w:val="center"/>
          </w:tcPr>
          <w:p w14:paraId="0845C99B" w14:textId="77777777" w:rsidR="004D1A15" w:rsidRDefault="004D1A15" w:rsidP="00C5210C">
            <w:pPr>
              <w:jc w:val="center"/>
            </w:pPr>
            <w:r>
              <w:t>0.01</w:t>
            </w:r>
          </w:p>
        </w:tc>
      </w:tr>
      <w:tr w:rsidR="004D1A15" w14:paraId="04439C15" w14:textId="77777777" w:rsidTr="00C5210C">
        <w:tc>
          <w:tcPr>
            <w:tcW w:w="0" w:type="auto"/>
            <w:tcMar>
              <w:left w:w="29" w:type="dxa"/>
              <w:right w:w="115" w:type="dxa"/>
            </w:tcMar>
            <w:vAlign w:val="center"/>
          </w:tcPr>
          <w:p w14:paraId="488A2FB3" w14:textId="77777777" w:rsidR="004D1A15" w:rsidRPr="009B05F6" w:rsidRDefault="004D1A15" w:rsidP="00C5210C">
            <w:pPr>
              <w:rPr>
                <w:bCs/>
              </w:rPr>
            </w:pPr>
            <w:r w:rsidRPr="009B05F6">
              <w:rPr>
                <w:bCs/>
              </w:rPr>
              <w:t>Splenomegaly</w:t>
            </w:r>
          </w:p>
        </w:tc>
        <w:tc>
          <w:tcPr>
            <w:tcW w:w="0" w:type="auto"/>
            <w:vAlign w:val="center"/>
          </w:tcPr>
          <w:p w14:paraId="7854BA78" w14:textId="77777777" w:rsidR="004D1A15" w:rsidRDefault="004D1A15" w:rsidP="00C5210C">
            <w:pPr>
              <w:jc w:val="center"/>
            </w:pPr>
            <w:r>
              <w:t>88 (17.7)</w:t>
            </w:r>
          </w:p>
        </w:tc>
        <w:tc>
          <w:tcPr>
            <w:tcW w:w="0" w:type="auto"/>
            <w:vAlign w:val="center"/>
          </w:tcPr>
          <w:p w14:paraId="658282A1" w14:textId="77777777" w:rsidR="004D1A15" w:rsidRDefault="004D1A15" w:rsidP="00C5210C">
            <w:pPr>
              <w:jc w:val="center"/>
            </w:pPr>
            <w:r>
              <w:t>34 (17.0)</w:t>
            </w:r>
          </w:p>
        </w:tc>
        <w:tc>
          <w:tcPr>
            <w:tcW w:w="0" w:type="auto"/>
            <w:vAlign w:val="center"/>
          </w:tcPr>
          <w:p w14:paraId="5ADA5033" w14:textId="77777777" w:rsidR="004D1A15" w:rsidRDefault="004D1A15" w:rsidP="00C5210C">
            <w:pPr>
              <w:jc w:val="center"/>
            </w:pPr>
            <w:r>
              <w:t>0.01</w:t>
            </w:r>
          </w:p>
        </w:tc>
      </w:tr>
      <w:tr w:rsidR="004D1A15" w14:paraId="4F747DC7" w14:textId="77777777" w:rsidTr="00C5210C">
        <w:tc>
          <w:tcPr>
            <w:tcW w:w="0" w:type="auto"/>
            <w:tcMar>
              <w:left w:w="29" w:type="dxa"/>
              <w:right w:w="115" w:type="dxa"/>
            </w:tcMar>
            <w:vAlign w:val="center"/>
          </w:tcPr>
          <w:p w14:paraId="30C78628" w14:textId="77777777" w:rsidR="004D1A15" w:rsidRPr="00705776" w:rsidRDefault="004D1A15" w:rsidP="00C5210C">
            <w:pPr>
              <w:rPr>
                <w:b/>
              </w:rPr>
            </w:pPr>
          </w:p>
        </w:tc>
        <w:tc>
          <w:tcPr>
            <w:tcW w:w="0" w:type="auto"/>
            <w:vAlign w:val="center"/>
          </w:tcPr>
          <w:p w14:paraId="71726CAB" w14:textId="77777777" w:rsidR="004D1A15" w:rsidRDefault="004D1A15" w:rsidP="00C5210C">
            <w:pPr>
              <w:jc w:val="center"/>
            </w:pPr>
          </w:p>
        </w:tc>
        <w:tc>
          <w:tcPr>
            <w:tcW w:w="0" w:type="auto"/>
            <w:vAlign w:val="center"/>
          </w:tcPr>
          <w:p w14:paraId="4DBFC88B" w14:textId="77777777" w:rsidR="004D1A15" w:rsidRDefault="004D1A15" w:rsidP="00C5210C">
            <w:pPr>
              <w:jc w:val="center"/>
            </w:pPr>
          </w:p>
        </w:tc>
        <w:tc>
          <w:tcPr>
            <w:tcW w:w="0" w:type="auto"/>
            <w:vAlign w:val="center"/>
          </w:tcPr>
          <w:p w14:paraId="517D500A" w14:textId="77777777" w:rsidR="004D1A15" w:rsidRDefault="004D1A15" w:rsidP="00C5210C">
            <w:pPr>
              <w:jc w:val="center"/>
            </w:pPr>
          </w:p>
        </w:tc>
      </w:tr>
      <w:tr w:rsidR="004D1A15" w14:paraId="7718299D" w14:textId="77777777" w:rsidTr="00C5210C">
        <w:tc>
          <w:tcPr>
            <w:tcW w:w="0" w:type="auto"/>
            <w:shd w:val="clear" w:color="auto" w:fill="D9D9D9" w:themeFill="background1" w:themeFillShade="D9"/>
            <w:tcMar>
              <w:left w:w="29" w:type="dxa"/>
              <w:right w:w="115" w:type="dxa"/>
            </w:tcMar>
            <w:vAlign w:val="center"/>
          </w:tcPr>
          <w:p w14:paraId="430A1595" w14:textId="77777777" w:rsidR="004D1A15" w:rsidRPr="00705776" w:rsidRDefault="004D1A15" w:rsidP="00C5210C">
            <w:pPr>
              <w:rPr>
                <w:b/>
              </w:rPr>
            </w:pPr>
            <w:r>
              <w:rPr>
                <w:b/>
              </w:rPr>
              <w:t>Medical conditions, present in baseline period</w:t>
            </w:r>
          </w:p>
        </w:tc>
        <w:tc>
          <w:tcPr>
            <w:tcW w:w="0" w:type="auto"/>
            <w:shd w:val="clear" w:color="auto" w:fill="D9D9D9" w:themeFill="background1" w:themeFillShade="D9"/>
            <w:vAlign w:val="center"/>
          </w:tcPr>
          <w:p w14:paraId="74EACA3F" w14:textId="77777777" w:rsidR="004D1A15" w:rsidRDefault="004D1A15" w:rsidP="00C5210C">
            <w:pPr>
              <w:jc w:val="center"/>
            </w:pPr>
          </w:p>
        </w:tc>
        <w:tc>
          <w:tcPr>
            <w:tcW w:w="0" w:type="auto"/>
            <w:shd w:val="clear" w:color="auto" w:fill="D9D9D9" w:themeFill="background1" w:themeFillShade="D9"/>
            <w:vAlign w:val="center"/>
          </w:tcPr>
          <w:p w14:paraId="6E5DB9E9" w14:textId="77777777" w:rsidR="004D1A15" w:rsidRDefault="004D1A15" w:rsidP="00C5210C">
            <w:pPr>
              <w:jc w:val="center"/>
            </w:pPr>
          </w:p>
        </w:tc>
        <w:tc>
          <w:tcPr>
            <w:tcW w:w="0" w:type="auto"/>
            <w:shd w:val="clear" w:color="auto" w:fill="D9D9D9" w:themeFill="background1" w:themeFillShade="D9"/>
            <w:vAlign w:val="center"/>
          </w:tcPr>
          <w:p w14:paraId="1CB2168F" w14:textId="77777777" w:rsidR="004D1A15" w:rsidRDefault="004D1A15" w:rsidP="00C5210C">
            <w:pPr>
              <w:jc w:val="center"/>
            </w:pPr>
          </w:p>
        </w:tc>
      </w:tr>
      <w:tr w:rsidR="004D1A15" w14:paraId="4A0DAE7D" w14:textId="77777777" w:rsidTr="00C5210C">
        <w:tc>
          <w:tcPr>
            <w:tcW w:w="0" w:type="auto"/>
            <w:tcMar>
              <w:left w:w="29" w:type="dxa"/>
              <w:right w:w="115" w:type="dxa"/>
            </w:tcMar>
            <w:vAlign w:val="center"/>
          </w:tcPr>
          <w:p w14:paraId="750158AE" w14:textId="77777777" w:rsidR="004D1A15" w:rsidRPr="009B05F6" w:rsidRDefault="004D1A15" w:rsidP="00C5210C">
            <w:pPr>
              <w:rPr>
                <w:bCs/>
              </w:rPr>
            </w:pPr>
            <w:r w:rsidRPr="009B05F6">
              <w:rPr>
                <w:bCs/>
              </w:rPr>
              <w:t>Hypertension</w:t>
            </w:r>
          </w:p>
        </w:tc>
        <w:tc>
          <w:tcPr>
            <w:tcW w:w="0" w:type="auto"/>
            <w:vAlign w:val="center"/>
          </w:tcPr>
          <w:p w14:paraId="4FB3F3BC" w14:textId="77777777" w:rsidR="004D1A15" w:rsidRDefault="004D1A15" w:rsidP="00C5210C">
            <w:pPr>
              <w:jc w:val="center"/>
            </w:pPr>
            <w:r>
              <w:t>382 (76.7)</w:t>
            </w:r>
          </w:p>
        </w:tc>
        <w:tc>
          <w:tcPr>
            <w:tcW w:w="0" w:type="auto"/>
            <w:vAlign w:val="center"/>
          </w:tcPr>
          <w:p w14:paraId="459A5C1F" w14:textId="77777777" w:rsidR="004D1A15" w:rsidRDefault="004D1A15" w:rsidP="00C5210C">
            <w:pPr>
              <w:jc w:val="center"/>
            </w:pPr>
            <w:r>
              <w:t>154 (77.0)</w:t>
            </w:r>
          </w:p>
        </w:tc>
        <w:tc>
          <w:tcPr>
            <w:tcW w:w="0" w:type="auto"/>
            <w:vAlign w:val="center"/>
          </w:tcPr>
          <w:p w14:paraId="4DCCEF85" w14:textId="77777777" w:rsidR="004D1A15" w:rsidRDefault="004D1A15" w:rsidP="00C5210C">
            <w:pPr>
              <w:jc w:val="center"/>
            </w:pPr>
            <w:r>
              <w:t>&lt;0.01</w:t>
            </w:r>
          </w:p>
        </w:tc>
      </w:tr>
      <w:tr w:rsidR="004D1A15" w14:paraId="7E2566F8" w14:textId="77777777" w:rsidTr="00C5210C">
        <w:tc>
          <w:tcPr>
            <w:tcW w:w="0" w:type="auto"/>
            <w:tcMar>
              <w:left w:w="29" w:type="dxa"/>
              <w:right w:w="115" w:type="dxa"/>
            </w:tcMar>
            <w:vAlign w:val="center"/>
          </w:tcPr>
          <w:p w14:paraId="09EBBDD7" w14:textId="77777777" w:rsidR="004D1A15" w:rsidRPr="009B05F6" w:rsidRDefault="004D1A15" w:rsidP="00C5210C">
            <w:pPr>
              <w:rPr>
                <w:bCs/>
              </w:rPr>
            </w:pPr>
            <w:r w:rsidRPr="009B05F6">
              <w:rPr>
                <w:bCs/>
              </w:rPr>
              <w:t xml:space="preserve">Renal </w:t>
            </w:r>
            <w:r>
              <w:rPr>
                <w:bCs/>
              </w:rPr>
              <w:t>d</w:t>
            </w:r>
            <w:r w:rsidRPr="009B05F6">
              <w:rPr>
                <w:bCs/>
              </w:rPr>
              <w:t>ysfunction</w:t>
            </w:r>
          </w:p>
        </w:tc>
        <w:tc>
          <w:tcPr>
            <w:tcW w:w="0" w:type="auto"/>
            <w:vAlign w:val="center"/>
          </w:tcPr>
          <w:p w14:paraId="33DE9F12" w14:textId="77777777" w:rsidR="004D1A15" w:rsidRDefault="004D1A15" w:rsidP="00C5210C">
            <w:pPr>
              <w:jc w:val="center"/>
            </w:pPr>
            <w:r>
              <w:t>180 (36.1)</w:t>
            </w:r>
          </w:p>
        </w:tc>
        <w:tc>
          <w:tcPr>
            <w:tcW w:w="0" w:type="auto"/>
            <w:vAlign w:val="center"/>
          </w:tcPr>
          <w:p w14:paraId="7E8957B1" w14:textId="77777777" w:rsidR="004D1A15" w:rsidRDefault="004D1A15" w:rsidP="00C5210C">
            <w:pPr>
              <w:jc w:val="center"/>
            </w:pPr>
            <w:r>
              <w:t>69 (34.5)</w:t>
            </w:r>
          </w:p>
        </w:tc>
        <w:tc>
          <w:tcPr>
            <w:tcW w:w="0" w:type="auto"/>
            <w:vAlign w:val="center"/>
          </w:tcPr>
          <w:p w14:paraId="75F61F8D" w14:textId="77777777" w:rsidR="004D1A15" w:rsidRDefault="004D1A15" w:rsidP="00C5210C">
            <w:pPr>
              <w:jc w:val="center"/>
            </w:pPr>
            <w:r>
              <w:t>0.04</w:t>
            </w:r>
          </w:p>
        </w:tc>
      </w:tr>
      <w:tr w:rsidR="004D1A15" w14:paraId="20986E33" w14:textId="77777777" w:rsidTr="00C5210C">
        <w:tc>
          <w:tcPr>
            <w:tcW w:w="0" w:type="auto"/>
            <w:tcMar>
              <w:left w:w="29" w:type="dxa"/>
              <w:right w:w="115" w:type="dxa"/>
            </w:tcMar>
            <w:vAlign w:val="center"/>
          </w:tcPr>
          <w:p w14:paraId="7BEC36F2" w14:textId="77777777" w:rsidR="004D1A15" w:rsidRPr="009B05F6" w:rsidRDefault="004D1A15" w:rsidP="00C5210C">
            <w:pPr>
              <w:rPr>
                <w:bCs/>
              </w:rPr>
            </w:pPr>
            <w:r w:rsidRPr="009B05F6">
              <w:rPr>
                <w:bCs/>
              </w:rPr>
              <w:t xml:space="preserve">Liver </w:t>
            </w:r>
            <w:r>
              <w:rPr>
                <w:bCs/>
              </w:rPr>
              <w:t>d</w:t>
            </w:r>
            <w:r w:rsidRPr="009B05F6">
              <w:rPr>
                <w:bCs/>
              </w:rPr>
              <w:t>ysfunction</w:t>
            </w:r>
          </w:p>
        </w:tc>
        <w:tc>
          <w:tcPr>
            <w:tcW w:w="0" w:type="auto"/>
            <w:vAlign w:val="center"/>
          </w:tcPr>
          <w:p w14:paraId="3004CFAF" w14:textId="77777777" w:rsidR="004D1A15" w:rsidRDefault="004D1A15" w:rsidP="00C5210C">
            <w:pPr>
              <w:jc w:val="center"/>
            </w:pPr>
            <w:r>
              <w:t>87 (17.5)</w:t>
            </w:r>
          </w:p>
        </w:tc>
        <w:tc>
          <w:tcPr>
            <w:tcW w:w="0" w:type="auto"/>
            <w:vAlign w:val="center"/>
          </w:tcPr>
          <w:p w14:paraId="43A04A76" w14:textId="77777777" w:rsidR="004D1A15" w:rsidRDefault="004D1A15" w:rsidP="00C5210C">
            <w:pPr>
              <w:jc w:val="center"/>
            </w:pPr>
            <w:r>
              <w:t>37 (18.5)</w:t>
            </w:r>
          </w:p>
        </w:tc>
        <w:tc>
          <w:tcPr>
            <w:tcW w:w="0" w:type="auto"/>
            <w:vAlign w:val="center"/>
          </w:tcPr>
          <w:p w14:paraId="77555B31" w14:textId="77777777" w:rsidR="004D1A15" w:rsidRDefault="004D1A15" w:rsidP="00C5210C">
            <w:pPr>
              <w:jc w:val="center"/>
            </w:pPr>
            <w:r>
              <w:t>0.02</w:t>
            </w:r>
          </w:p>
        </w:tc>
      </w:tr>
      <w:tr w:rsidR="004D1A15" w14:paraId="66BFFB51" w14:textId="77777777" w:rsidTr="00C5210C">
        <w:tc>
          <w:tcPr>
            <w:tcW w:w="0" w:type="auto"/>
            <w:tcMar>
              <w:left w:w="29" w:type="dxa"/>
              <w:right w:w="115" w:type="dxa"/>
            </w:tcMar>
            <w:vAlign w:val="center"/>
          </w:tcPr>
          <w:p w14:paraId="12C856B3" w14:textId="77777777" w:rsidR="004D1A15" w:rsidRPr="009B05F6" w:rsidRDefault="004D1A15" w:rsidP="00C5210C">
            <w:pPr>
              <w:rPr>
                <w:bCs/>
              </w:rPr>
            </w:pPr>
            <w:r w:rsidRPr="009B05F6">
              <w:rPr>
                <w:bCs/>
              </w:rPr>
              <w:t>Stroke</w:t>
            </w:r>
          </w:p>
        </w:tc>
        <w:tc>
          <w:tcPr>
            <w:tcW w:w="0" w:type="auto"/>
            <w:vAlign w:val="center"/>
          </w:tcPr>
          <w:p w14:paraId="2AB2BF09" w14:textId="77777777" w:rsidR="004D1A15" w:rsidRDefault="004D1A15" w:rsidP="00C5210C">
            <w:pPr>
              <w:jc w:val="center"/>
            </w:pPr>
            <w:r>
              <w:t>50 (10.0)</w:t>
            </w:r>
          </w:p>
        </w:tc>
        <w:tc>
          <w:tcPr>
            <w:tcW w:w="0" w:type="auto"/>
            <w:vAlign w:val="center"/>
          </w:tcPr>
          <w:p w14:paraId="265783FA" w14:textId="77777777" w:rsidR="004D1A15" w:rsidRDefault="004D1A15" w:rsidP="00C5210C">
            <w:pPr>
              <w:jc w:val="center"/>
            </w:pPr>
            <w:r>
              <w:t>17 (8.5)</w:t>
            </w:r>
          </w:p>
        </w:tc>
        <w:tc>
          <w:tcPr>
            <w:tcW w:w="0" w:type="auto"/>
            <w:vAlign w:val="center"/>
          </w:tcPr>
          <w:p w14:paraId="066EE125" w14:textId="77777777" w:rsidR="004D1A15" w:rsidRDefault="004D1A15" w:rsidP="00C5210C">
            <w:pPr>
              <w:jc w:val="center"/>
            </w:pPr>
            <w:r>
              <w:t>0.06</w:t>
            </w:r>
          </w:p>
        </w:tc>
      </w:tr>
      <w:tr w:rsidR="004D1A15" w14:paraId="09E71435" w14:textId="77777777" w:rsidTr="00C5210C">
        <w:tc>
          <w:tcPr>
            <w:tcW w:w="0" w:type="auto"/>
            <w:tcMar>
              <w:left w:w="29" w:type="dxa"/>
              <w:right w:w="115" w:type="dxa"/>
            </w:tcMar>
            <w:vAlign w:val="center"/>
          </w:tcPr>
          <w:p w14:paraId="6E193913" w14:textId="77777777" w:rsidR="004D1A15" w:rsidRPr="009B05F6" w:rsidRDefault="004D1A15" w:rsidP="00C5210C">
            <w:pPr>
              <w:rPr>
                <w:bCs/>
              </w:rPr>
            </w:pPr>
            <w:r w:rsidRPr="009B05F6">
              <w:rPr>
                <w:bCs/>
              </w:rPr>
              <w:t xml:space="preserve">Peptic </w:t>
            </w:r>
            <w:r>
              <w:rPr>
                <w:bCs/>
              </w:rPr>
              <w:t>u</w:t>
            </w:r>
            <w:r w:rsidRPr="009B05F6">
              <w:rPr>
                <w:bCs/>
              </w:rPr>
              <w:t>lcer</w:t>
            </w:r>
          </w:p>
        </w:tc>
        <w:tc>
          <w:tcPr>
            <w:tcW w:w="0" w:type="auto"/>
            <w:vAlign w:val="center"/>
          </w:tcPr>
          <w:p w14:paraId="58AF8842" w14:textId="77777777" w:rsidR="004D1A15" w:rsidRDefault="004D1A15" w:rsidP="00C5210C">
            <w:pPr>
              <w:jc w:val="center"/>
            </w:pPr>
            <w:r>
              <w:t>10 (2.0)</w:t>
            </w:r>
          </w:p>
        </w:tc>
        <w:tc>
          <w:tcPr>
            <w:tcW w:w="0" w:type="auto"/>
            <w:vAlign w:val="center"/>
          </w:tcPr>
          <w:p w14:paraId="610B3DA4" w14:textId="77777777" w:rsidR="004D1A15" w:rsidRDefault="004D1A15" w:rsidP="00C5210C">
            <w:pPr>
              <w:jc w:val="center"/>
            </w:pPr>
            <w:r>
              <w:t>6 (3.0)</w:t>
            </w:r>
          </w:p>
        </w:tc>
        <w:tc>
          <w:tcPr>
            <w:tcW w:w="0" w:type="auto"/>
            <w:vAlign w:val="center"/>
          </w:tcPr>
          <w:p w14:paraId="0748AB7A" w14:textId="77777777" w:rsidR="004D1A15" w:rsidRDefault="004D1A15" w:rsidP="00C5210C">
            <w:pPr>
              <w:jc w:val="center"/>
            </w:pPr>
            <w:r>
              <w:t>0.06</w:t>
            </w:r>
          </w:p>
        </w:tc>
      </w:tr>
      <w:tr w:rsidR="004D1A15" w14:paraId="6136604F" w14:textId="77777777" w:rsidTr="00C5210C">
        <w:tc>
          <w:tcPr>
            <w:tcW w:w="0" w:type="auto"/>
            <w:tcMar>
              <w:left w:w="29" w:type="dxa"/>
              <w:right w:w="115" w:type="dxa"/>
            </w:tcMar>
            <w:vAlign w:val="center"/>
          </w:tcPr>
          <w:p w14:paraId="00FEE12B" w14:textId="77777777" w:rsidR="004D1A15" w:rsidRPr="009B05F6" w:rsidRDefault="004D1A15" w:rsidP="00C5210C">
            <w:pPr>
              <w:rPr>
                <w:bCs/>
              </w:rPr>
            </w:pPr>
            <w:r>
              <w:rPr>
                <w:bCs/>
              </w:rPr>
              <w:t>Bleeding</w:t>
            </w:r>
            <w:r w:rsidRPr="00443ABD">
              <w:rPr>
                <w:vertAlign w:val="superscript"/>
              </w:rPr>
              <w:t>§</w:t>
            </w:r>
          </w:p>
        </w:tc>
        <w:tc>
          <w:tcPr>
            <w:tcW w:w="0" w:type="auto"/>
            <w:vAlign w:val="center"/>
          </w:tcPr>
          <w:p w14:paraId="4D10CCAB" w14:textId="77777777" w:rsidR="004D1A15" w:rsidRDefault="004D1A15" w:rsidP="00C5210C">
            <w:pPr>
              <w:jc w:val="center"/>
            </w:pPr>
            <w:r>
              <w:t>38 (7.6)</w:t>
            </w:r>
          </w:p>
        </w:tc>
        <w:tc>
          <w:tcPr>
            <w:tcW w:w="0" w:type="auto"/>
            <w:vAlign w:val="center"/>
          </w:tcPr>
          <w:p w14:paraId="18888FBF" w14:textId="77777777" w:rsidR="004D1A15" w:rsidRDefault="004D1A15" w:rsidP="00C5210C">
            <w:pPr>
              <w:jc w:val="center"/>
            </w:pPr>
            <w:r>
              <w:t>11 (5.5)</w:t>
            </w:r>
          </w:p>
        </w:tc>
        <w:tc>
          <w:tcPr>
            <w:tcW w:w="0" w:type="auto"/>
            <w:vAlign w:val="center"/>
          </w:tcPr>
          <w:p w14:paraId="49FF463D" w14:textId="77777777" w:rsidR="004D1A15" w:rsidRDefault="004D1A15" w:rsidP="00C5210C">
            <w:pPr>
              <w:jc w:val="center"/>
            </w:pPr>
            <w:r>
              <w:t>0.07</w:t>
            </w:r>
          </w:p>
        </w:tc>
      </w:tr>
      <w:tr w:rsidR="004D1A15" w14:paraId="0C03957E" w14:textId="77777777" w:rsidTr="00C5210C">
        <w:tc>
          <w:tcPr>
            <w:tcW w:w="0" w:type="auto"/>
            <w:tcMar>
              <w:left w:w="29" w:type="dxa"/>
              <w:right w:w="115" w:type="dxa"/>
            </w:tcMar>
            <w:vAlign w:val="center"/>
          </w:tcPr>
          <w:p w14:paraId="7E19A1D8" w14:textId="77777777" w:rsidR="004D1A15" w:rsidRDefault="004D1A15" w:rsidP="00C5210C">
            <w:pPr>
              <w:rPr>
                <w:bCs/>
              </w:rPr>
            </w:pPr>
            <w:r>
              <w:rPr>
                <w:bCs/>
              </w:rPr>
              <w:t>Atrial fibrillation</w:t>
            </w:r>
          </w:p>
        </w:tc>
        <w:tc>
          <w:tcPr>
            <w:tcW w:w="0" w:type="auto"/>
            <w:vAlign w:val="center"/>
          </w:tcPr>
          <w:p w14:paraId="3862D1EE" w14:textId="77777777" w:rsidR="004D1A15" w:rsidRDefault="004D1A15" w:rsidP="00C5210C">
            <w:pPr>
              <w:jc w:val="center"/>
            </w:pPr>
            <w:r>
              <w:t>332 (66.7)</w:t>
            </w:r>
          </w:p>
        </w:tc>
        <w:tc>
          <w:tcPr>
            <w:tcW w:w="0" w:type="auto"/>
            <w:vAlign w:val="center"/>
          </w:tcPr>
          <w:p w14:paraId="421C780B" w14:textId="77777777" w:rsidR="004D1A15" w:rsidRDefault="004D1A15" w:rsidP="00C5210C">
            <w:pPr>
              <w:jc w:val="center"/>
            </w:pPr>
            <w:r>
              <w:t>137 (68.5)</w:t>
            </w:r>
          </w:p>
        </w:tc>
        <w:tc>
          <w:tcPr>
            <w:tcW w:w="0" w:type="auto"/>
            <w:vAlign w:val="center"/>
          </w:tcPr>
          <w:p w14:paraId="59361D01" w14:textId="77777777" w:rsidR="004D1A15" w:rsidRDefault="004D1A15" w:rsidP="00C5210C">
            <w:pPr>
              <w:jc w:val="center"/>
            </w:pPr>
            <w:r>
              <w:t>0.03</w:t>
            </w:r>
          </w:p>
        </w:tc>
      </w:tr>
      <w:tr w:rsidR="004D1A15" w14:paraId="6DF6D303" w14:textId="77777777" w:rsidTr="00C5210C">
        <w:tc>
          <w:tcPr>
            <w:tcW w:w="0" w:type="auto"/>
            <w:tcMar>
              <w:left w:w="29" w:type="dxa"/>
              <w:right w:w="115" w:type="dxa"/>
            </w:tcMar>
            <w:vAlign w:val="center"/>
          </w:tcPr>
          <w:p w14:paraId="008ACC5B" w14:textId="77777777" w:rsidR="004D1A15" w:rsidRDefault="004D1A15" w:rsidP="00C5210C">
            <w:pPr>
              <w:rPr>
                <w:bCs/>
              </w:rPr>
            </w:pPr>
            <w:r>
              <w:rPr>
                <w:bCs/>
              </w:rPr>
              <w:t>Deep vein thrombosis</w:t>
            </w:r>
          </w:p>
        </w:tc>
        <w:tc>
          <w:tcPr>
            <w:tcW w:w="0" w:type="auto"/>
            <w:vAlign w:val="center"/>
          </w:tcPr>
          <w:p w14:paraId="67CE80C5" w14:textId="77777777" w:rsidR="004D1A15" w:rsidRDefault="004D1A15" w:rsidP="00C5210C">
            <w:pPr>
              <w:jc w:val="center"/>
            </w:pPr>
            <w:r>
              <w:t>78 (15.7)</w:t>
            </w:r>
          </w:p>
        </w:tc>
        <w:tc>
          <w:tcPr>
            <w:tcW w:w="0" w:type="auto"/>
            <w:vAlign w:val="center"/>
          </w:tcPr>
          <w:p w14:paraId="782EEADE" w14:textId="77777777" w:rsidR="004D1A15" w:rsidRDefault="004D1A15" w:rsidP="00C5210C">
            <w:pPr>
              <w:jc w:val="center"/>
            </w:pPr>
            <w:r>
              <w:t>29 (14.5)</w:t>
            </w:r>
          </w:p>
        </w:tc>
        <w:tc>
          <w:tcPr>
            <w:tcW w:w="0" w:type="auto"/>
            <w:vAlign w:val="center"/>
          </w:tcPr>
          <w:p w14:paraId="3AF54222" w14:textId="77777777" w:rsidR="004D1A15" w:rsidRDefault="004D1A15" w:rsidP="00C5210C">
            <w:pPr>
              <w:jc w:val="center"/>
            </w:pPr>
            <w:r>
              <w:t>0.03</w:t>
            </w:r>
          </w:p>
        </w:tc>
      </w:tr>
      <w:tr w:rsidR="004D1A15" w14:paraId="7B176A35" w14:textId="77777777" w:rsidTr="00C5210C">
        <w:tc>
          <w:tcPr>
            <w:tcW w:w="0" w:type="auto"/>
            <w:tcMar>
              <w:left w:w="29" w:type="dxa"/>
              <w:right w:w="115" w:type="dxa"/>
            </w:tcMar>
            <w:vAlign w:val="center"/>
          </w:tcPr>
          <w:p w14:paraId="310A10ED" w14:textId="77777777" w:rsidR="004D1A15" w:rsidRDefault="004D1A15" w:rsidP="00C5210C">
            <w:pPr>
              <w:rPr>
                <w:bCs/>
              </w:rPr>
            </w:pPr>
            <w:r>
              <w:rPr>
                <w:bCs/>
              </w:rPr>
              <w:lastRenderedPageBreak/>
              <w:t>Pulmonary embolism</w:t>
            </w:r>
          </w:p>
        </w:tc>
        <w:tc>
          <w:tcPr>
            <w:tcW w:w="0" w:type="auto"/>
            <w:vAlign w:val="center"/>
          </w:tcPr>
          <w:p w14:paraId="6A38313B" w14:textId="77777777" w:rsidR="004D1A15" w:rsidRDefault="004D1A15" w:rsidP="00C5210C">
            <w:pPr>
              <w:jc w:val="center"/>
            </w:pPr>
            <w:r>
              <w:t>70 (14.1)</w:t>
            </w:r>
          </w:p>
        </w:tc>
        <w:tc>
          <w:tcPr>
            <w:tcW w:w="0" w:type="auto"/>
            <w:vAlign w:val="center"/>
          </w:tcPr>
          <w:p w14:paraId="08C59C2C" w14:textId="77777777" w:rsidR="004D1A15" w:rsidRDefault="004D1A15" w:rsidP="00C5210C">
            <w:pPr>
              <w:jc w:val="center"/>
            </w:pPr>
            <w:r>
              <w:t>28 (14.0)</w:t>
            </w:r>
          </w:p>
        </w:tc>
        <w:tc>
          <w:tcPr>
            <w:tcW w:w="0" w:type="auto"/>
            <w:vAlign w:val="center"/>
          </w:tcPr>
          <w:p w14:paraId="20050181" w14:textId="77777777" w:rsidR="004D1A15" w:rsidRDefault="004D1A15" w:rsidP="00C5210C">
            <w:pPr>
              <w:jc w:val="center"/>
            </w:pPr>
            <w:r>
              <w:t>&lt;0.01</w:t>
            </w:r>
          </w:p>
        </w:tc>
      </w:tr>
      <w:tr w:rsidR="004D1A15" w14:paraId="5DD5F7BE" w14:textId="77777777" w:rsidTr="00C5210C">
        <w:tc>
          <w:tcPr>
            <w:tcW w:w="0" w:type="auto"/>
            <w:vAlign w:val="center"/>
          </w:tcPr>
          <w:p w14:paraId="4C5263DF" w14:textId="77777777" w:rsidR="004D1A15" w:rsidRDefault="004D1A15" w:rsidP="00C5210C"/>
        </w:tc>
        <w:tc>
          <w:tcPr>
            <w:tcW w:w="0" w:type="auto"/>
            <w:vAlign w:val="center"/>
          </w:tcPr>
          <w:p w14:paraId="0FCE3C27" w14:textId="77777777" w:rsidR="004D1A15" w:rsidRDefault="004D1A15" w:rsidP="00C5210C">
            <w:pPr>
              <w:jc w:val="center"/>
            </w:pPr>
          </w:p>
        </w:tc>
        <w:tc>
          <w:tcPr>
            <w:tcW w:w="0" w:type="auto"/>
            <w:vAlign w:val="center"/>
          </w:tcPr>
          <w:p w14:paraId="75E66B59" w14:textId="77777777" w:rsidR="004D1A15" w:rsidRDefault="004D1A15" w:rsidP="00C5210C">
            <w:pPr>
              <w:jc w:val="center"/>
            </w:pPr>
          </w:p>
        </w:tc>
        <w:tc>
          <w:tcPr>
            <w:tcW w:w="0" w:type="auto"/>
            <w:vAlign w:val="center"/>
          </w:tcPr>
          <w:p w14:paraId="23B1249A" w14:textId="77777777" w:rsidR="004D1A15" w:rsidRDefault="004D1A15" w:rsidP="00C5210C">
            <w:pPr>
              <w:jc w:val="center"/>
            </w:pPr>
          </w:p>
        </w:tc>
      </w:tr>
      <w:tr w:rsidR="004D1A15" w14:paraId="2E289C84" w14:textId="77777777" w:rsidTr="00C5210C">
        <w:tc>
          <w:tcPr>
            <w:tcW w:w="0" w:type="auto"/>
            <w:shd w:val="clear" w:color="auto" w:fill="D9D9D9" w:themeFill="background1" w:themeFillShade="D9"/>
            <w:tcMar>
              <w:left w:w="29" w:type="dxa"/>
              <w:right w:w="115" w:type="dxa"/>
            </w:tcMar>
            <w:vAlign w:val="center"/>
          </w:tcPr>
          <w:p w14:paraId="748E1F05" w14:textId="77777777" w:rsidR="004D1A15" w:rsidRPr="00BC7185" w:rsidRDefault="004D1A15" w:rsidP="00C5210C">
            <w:pPr>
              <w:rPr>
                <w:b/>
                <w:bCs/>
              </w:rPr>
            </w:pPr>
            <w:r w:rsidRPr="00BC7185">
              <w:rPr>
                <w:b/>
                <w:bCs/>
              </w:rPr>
              <w:t xml:space="preserve">Medications </w:t>
            </w:r>
            <w:r>
              <w:rPr>
                <w:b/>
                <w:bCs/>
              </w:rPr>
              <w:t xml:space="preserve">dispensed </w:t>
            </w:r>
            <w:r w:rsidRPr="00BC7185">
              <w:rPr>
                <w:b/>
                <w:bCs/>
              </w:rPr>
              <w:t xml:space="preserve">in the </w:t>
            </w:r>
            <w:r>
              <w:rPr>
                <w:b/>
                <w:bCs/>
              </w:rPr>
              <w:t xml:space="preserve">90 </w:t>
            </w:r>
            <w:r w:rsidRPr="00BC7185">
              <w:rPr>
                <w:b/>
                <w:bCs/>
              </w:rPr>
              <w:t>days prior to index date</w:t>
            </w:r>
            <w:r w:rsidRPr="000714F3">
              <w:rPr>
                <w:vertAlign w:val="superscript"/>
              </w:rPr>
              <w:t>‖</w:t>
            </w:r>
          </w:p>
        </w:tc>
        <w:tc>
          <w:tcPr>
            <w:tcW w:w="0" w:type="auto"/>
            <w:shd w:val="clear" w:color="auto" w:fill="D9D9D9" w:themeFill="background1" w:themeFillShade="D9"/>
            <w:vAlign w:val="center"/>
          </w:tcPr>
          <w:p w14:paraId="0B48EB58" w14:textId="77777777" w:rsidR="004D1A15" w:rsidRDefault="004D1A15" w:rsidP="00C5210C">
            <w:pPr>
              <w:jc w:val="center"/>
            </w:pPr>
          </w:p>
        </w:tc>
        <w:tc>
          <w:tcPr>
            <w:tcW w:w="0" w:type="auto"/>
            <w:shd w:val="clear" w:color="auto" w:fill="D9D9D9" w:themeFill="background1" w:themeFillShade="D9"/>
            <w:vAlign w:val="center"/>
          </w:tcPr>
          <w:p w14:paraId="0779516F" w14:textId="77777777" w:rsidR="004D1A15" w:rsidRDefault="004D1A15" w:rsidP="00C5210C">
            <w:pPr>
              <w:jc w:val="center"/>
            </w:pPr>
          </w:p>
        </w:tc>
        <w:tc>
          <w:tcPr>
            <w:tcW w:w="0" w:type="auto"/>
            <w:shd w:val="clear" w:color="auto" w:fill="D9D9D9" w:themeFill="background1" w:themeFillShade="D9"/>
            <w:vAlign w:val="center"/>
          </w:tcPr>
          <w:p w14:paraId="5435C738" w14:textId="77777777" w:rsidR="004D1A15" w:rsidRDefault="004D1A15" w:rsidP="00C5210C">
            <w:pPr>
              <w:jc w:val="center"/>
            </w:pPr>
          </w:p>
        </w:tc>
      </w:tr>
      <w:tr w:rsidR="004D1A15" w14:paraId="01A2E762" w14:textId="77777777" w:rsidTr="00C5210C">
        <w:tc>
          <w:tcPr>
            <w:tcW w:w="0" w:type="auto"/>
            <w:tcMar>
              <w:left w:w="29" w:type="dxa"/>
              <w:right w:w="115" w:type="dxa"/>
            </w:tcMar>
            <w:vAlign w:val="center"/>
          </w:tcPr>
          <w:p w14:paraId="67094061" w14:textId="77777777" w:rsidR="004D1A15" w:rsidRPr="009B05F6" w:rsidRDefault="004D1A15" w:rsidP="00C5210C">
            <w:pPr>
              <w:rPr>
                <w:bCs/>
              </w:rPr>
            </w:pPr>
            <w:r w:rsidRPr="009B05F6">
              <w:rPr>
                <w:bCs/>
              </w:rPr>
              <w:t>Antiplatelets</w:t>
            </w:r>
          </w:p>
        </w:tc>
        <w:tc>
          <w:tcPr>
            <w:tcW w:w="0" w:type="auto"/>
            <w:vAlign w:val="center"/>
          </w:tcPr>
          <w:p w14:paraId="68F7AD91" w14:textId="77777777" w:rsidR="004D1A15" w:rsidRDefault="004D1A15" w:rsidP="00C5210C">
            <w:pPr>
              <w:jc w:val="center"/>
            </w:pPr>
            <w:r>
              <w:t>22 (4.4)</w:t>
            </w:r>
          </w:p>
        </w:tc>
        <w:tc>
          <w:tcPr>
            <w:tcW w:w="0" w:type="auto"/>
            <w:vAlign w:val="center"/>
          </w:tcPr>
          <w:p w14:paraId="00CA75D6" w14:textId="77777777" w:rsidR="004D1A15" w:rsidRDefault="004D1A15" w:rsidP="00C5210C">
            <w:pPr>
              <w:jc w:val="center"/>
            </w:pPr>
            <w:r>
              <w:t>9 (4.5)</w:t>
            </w:r>
          </w:p>
        </w:tc>
        <w:tc>
          <w:tcPr>
            <w:tcW w:w="0" w:type="auto"/>
            <w:vAlign w:val="center"/>
          </w:tcPr>
          <w:p w14:paraId="72174444" w14:textId="77777777" w:rsidR="004D1A15" w:rsidRDefault="004D1A15" w:rsidP="00C5210C">
            <w:pPr>
              <w:jc w:val="center"/>
            </w:pPr>
            <w:r>
              <w:t>&lt;0.01</w:t>
            </w:r>
          </w:p>
        </w:tc>
      </w:tr>
      <w:tr w:rsidR="004D1A15" w14:paraId="38F9B7DF" w14:textId="77777777" w:rsidTr="00C5210C">
        <w:tc>
          <w:tcPr>
            <w:tcW w:w="0" w:type="auto"/>
            <w:tcMar>
              <w:left w:w="29" w:type="dxa"/>
              <w:right w:w="115" w:type="dxa"/>
            </w:tcMar>
            <w:vAlign w:val="center"/>
          </w:tcPr>
          <w:p w14:paraId="61935139" w14:textId="77777777" w:rsidR="004D1A15" w:rsidRPr="009B05F6" w:rsidRDefault="004D1A15" w:rsidP="00C5210C">
            <w:pPr>
              <w:rPr>
                <w:bCs/>
              </w:rPr>
            </w:pPr>
            <w:r w:rsidRPr="009B05F6">
              <w:rPr>
                <w:bCs/>
              </w:rPr>
              <w:t>NSAID</w:t>
            </w:r>
            <w:r>
              <w:rPr>
                <w:bCs/>
              </w:rPr>
              <w:t>s</w:t>
            </w:r>
          </w:p>
        </w:tc>
        <w:tc>
          <w:tcPr>
            <w:tcW w:w="0" w:type="auto"/>
            <w:vAlign w:val="center"/>
          </w:tcPr>
          <w:p w14:paraId="6B9FE181" w14:textId="77777777" w:rsidR="004D1A15" w:rsidRDefault="004D1A15" w:rsidP="00C5210C">
            <w:pPr>
              <w:jc w:val="center"/>
            </w:pPr>
            <w:r>
              <w:t>29 (5.8)</w:t>
            </w:r>
          </w:p>
        </w:tc>
        <w:tc>
          <w:tcPr>
            <w:tcW w:w="0" w:type="auto"/>
            <w:vAlign w:val="center"/>
          </w:tcPr>
          <w:p w14:paraId="6F9B0972" w14:textId="77777777" w:rsidR="004D1A15" w:rsidRDefault="004D1A15" w:rsidP="00C5210C">
            <w:pPr>
              <w:jc w:val="center"/>
            </w:pPr>
            <w:r>
              <w:t>10 (5.0)</w:t>
            </w:r>
          </w:p>
        </w:tc>
        <w:tc>
          <w:tcPr>
            <w:tcW w:w="0" w:type="auto"/>
            <w:vAlign w:val="center"/>
          </w:tcPr>
          <w:p w14:paraId="29C656B9" w14:textId="77777777" w:rsidR="004D1A15" w:rsidRDefault="004D1A15" w:rsidP="00C5210C">
            <w:pPr>
              <w:jc w:val="center"/>
            </w:pPr>
            <w:r>
              <w:t>0.03</w:t>
            </w:r>
          </w:p>
        </w:tc>
      </w:tr>
      <w:tr w:rsidR="004D1A15" w14:paraId="2E177C8D" w14:textId="77777777" w:rsidTr="00C5210C">
        <w:tc>
          <w:tcPr>
            <w:tcW w:w="0" w:type="auto"/>
            <w:tcMar>
              <w:left w:w="29" w:type="dxa"/>
              <w:right w:w="115" w:type="dxa"/>
            </w:tcMar>
            <w:vAlign w:val="center"/>
          </w:tcPr>
          <w:p w14:paraId="5F0FB67C" w14:textId="77777777" w:rsidR="004D1A15" w:rsidRPr="009B05F6" w:rsidRDefault="004D1A15" w:rsidP="00C5210C">
            <w:pPr>
              <w:rPr>
                <w:bCs/>
              </w:rPr>
            </w:pPr>
            <w:r w:rsidRPr="009B05F6">
              <w:rPr>
                <w:bCs/>
              </w:rPr>
              <w:t>Heparin</w:t>
            </w:r>
          </w:p>
        </w:tc>
        <w:tc>
          <w:tcPr>
            <w:tcW w:w="0" w:type="auto"/>
            <w:vAlign w:val="center"/>
          </w:tcPr>
          <w:p w14:paraId="78D89008" w14:textId="77777777" w:rsidR="004D1A15" w:rsidRDefault="004D1A15" w:rsidP="00C5210C">
            <w:pPr>
              <w:jc w:val="center"/>
            </w:pPr>
            <w:r>
              <w:t>101 (20.2)</w:t>
            </w:r>
          </w:p>
        </w:tc>
        <w:tc>
          <w:tcPr>
            <w:tcW w:w="0" w:type="auto"/>
            <w:vAlign w:val="center"/>
          </w:tcPr>
          <w:p w14:paraId="271A6CB5" w14:textId="77777777" w:rsidR="004D1A15" w:rsidRDefault="004D1A15" w:rsidP="00C5210C">
            <w:pPr>
              <w:jc w:val="center"/>
            </w:pPr>
            <w:r>
              <w:t>40 (20.0)</w:t>
            </w:r>
          </w:p>
        </w:tc>
        <w:tc>
          <w:tcPr>
            <w:tcW w:w="0" w:type="auto"/>
            <w:vAlign w:val="center"/>
          </w:tcPr>
          <w:p w14:paraId="3BC92183" w14:textId="77777777" w:rsidR="004D1A15" w:rsidRDefault="004D1A15" w:rsidP="00C5210C">
            <w:pPr>
              <w:jc w:val="center"/>
            </w:pPr>
            <w:r>
              <w:t>0.01</w:t>
            </w:r>
          </w:p>
        </w:tc>
      </w:tr>
      <w:tr w:rsidR="004D1A15" w14:paraId="1C439AB3" w14:textId="77777777" w:rsidTr="00C5210C">
        <w:tc>
          <w:tcPr>
            <w:tcW w:w="0" w:type="auto"/>
            <w:tcMar>
              <w:left w:w="29" w:type="dxa"/>
              <w:right w:w="115" w:type="dxa"/>
            </w:tcMar>
            <w:vAlign w:val="center"/>
          </w:tcPr>
          <w:p w14:paraId="5611FE85" w14:textId="77777777" w:rsidR="004D1A15" w:rsidRPr="009B05F6" w:rsidRDefault="004D1A15" w:rsidP="00C5210C">
            <w:pPr>
              <w:rPr>
                <w:bCs/>
              </w:rPr>
            </w:pPr>
            <w:r>
              <w:rPr>
                <w:bCs/>
              </w:rPr>
              <w:t>Anticancer therapy – targeted</w:t>
            </w:r>
            <w:r w:rsidRPr="000714F3">
              <w:rPr>
                <w:vertAlign w:val="superscript"/>
              </w:rPr>
              <w:t>¶</w:t>
            </w:r>
          </w:p>
        </w:tc>
        <w:tc>
          <w:tcPr>
            <w:tcW w:w="0" w:type="auto"/>
            <w:vAlign w:val="center"/>
          </w:tcPr>
          <w:p w14:paraId="0B5E113B" w14:textId="77777777" w:rsidR="004D1A15" w:rsidRDefault="004D1A15" w:rsidP="00C5210C">
            <w:pPr>
              <w:jc w:val="center"/>
            </w:pPr>
            <w:r>
              <w:t>14 (2.8)</w:t>
            </w:r>
          </w:p>
        </w:tc>
        <w:tc>
          <w:tcPr>
            <w:tcW w:w="0" w:type="auto"/>
            <w:vAlign w:val="center"/>
          </w:tcPr>
          <w:p w14:paraId="32C7C0E7" w14:textId="77777777" w:rsidR="004D1A15" w:rsidRDefault="004D1A15" w:rsidP="00C5210C">
            <w:pPr>
              <w:jc w:val="center"/>
            </w:pPr>
            <w:r>
              <w:t>4 (2.0)</w:t>
            </w:r>
          </w:p>
        </w:tc>
        <w:tc>
          <w:tcPr>
            <w:tcW w:w="0" w:type="auto"/>
            <w:vAlign w:val="center"/>
          </w:tcPr>
          <w:p w14:paraId="344027CC" w14:textId="77777777" w:rsidR="004D1A15" w:rsidRDefault="004D1A15" w:rsidP="00C5210C">
            <w:pPr>
              <w:jc w:val="center"/>
            </w:pPr>
            <w:r>
              <w:t>0.04</w:t>
            </w:r>
          </w:p>
        </w:tc>
      </w:tr>
      <w:tr w:rsidR="004D1A15" w14:paraId="1AEC394B" w14:textId="77777777" w:rsidTr="00C5210C">
        <w:tc>
          <w:tcPr>
            <w:tcW w:w="0" w:type="auto"/>
            <w:tcMar>
              <w:left w:w="29" w:type="dxa"/>
              <w:right w:w="115" w:type="dxa"/>
            </w:tcMar>
            <w:vAlign w:val="center"/>
          </w:tcPr>
          <w:p w14:paraId="6892737B" w14:textId="77777777" w:rsidR="004D1A15" w:rsidRPr="009B05F6" w:rsidRDefault="004D1A15" w:rsidP="00C5210C">
            <w:pPr>
              <w:rPr>
                <w:bCs/>
              </w:rPr>
            </w:pPr>
            <w:r w:rsidRPr="009B05F6">
              <w:rPr>
                <w:bCs/>
              </w:rPr>
              <w:t>Anticancer therapy - chemotherapy</w:t>
            </w:r>
            <w:r w:rsidRPr="000714F3">
              <w:rPr>
                <w:vertAlign w:val="superscript"/>
              </w:rPr>
              <w:t>¶</w:t>
            </w:r>
          </w:p>
        </w:tc>
        <w:tc>
          <w:tcPr>
            <w:tcW w:w="0" w:type="auto"/>
            <w:vAlign w:val="center"/>
          </w:tcPr>
          <w:p w14:paraId="55652733" w14:textId="77777777" w:rsidR="004D1A15" w:rsidRDefault="004D1A15" w:rsidP="00C5210C">
            <w:pPr>
              <w:jc w:val="center"/>
            </w:pPr>
            <w:r>
              <w:t>25 (5.0)</w:t>
            </w:r>
          </w:p>
        </w:tc>
        <w:tc>
          <w:tcPr>
            <w:tcW w:w="0" w:type="auto"/>
            <w:vAlign w:val="center"/>
          </w:tcPr>
          <w:p w14:paraId="249DB07D" w14:textId="77777777" w:rsidR="004D1A15" w:rsidRDefault="004D1A15" w:rsidP="00C5210C">
            <w:pPr>
              <w:jc w:val="center"/>
            </w:pPr>
            <w:r>
              <w:t>7 (3.5)</w:t>
            </w:r>
          </w:p>
        </w:tc>
        <w:tc>
          <w:tcPr>
            <w:tcW w:w="0" w:type="auto"/>
            <w:vAlign w:val="center"/>
          </w:tcPr>
          <w:p w14:paraId="50886089" w14:textId="77777777" w:rsidR="004D1A15" w:rsidRDefault="004D1A15" w:rsidP="00C5210C">
            <w:pPr>
              <w:jc w:val="center"/>
            </w:pPr>
            <w:r>
              <w:t>0.07</w:t>
            </w:r>
          </w:p>
        </w:tc>
      </w:tr>
      <w:tr w:rsidR="004D1A15" w14:paraId="76811397" w14:textId="77777777" w:rsidTr="00C5210C">
        <w:tc>
          <w:tcPr>
            <w:tcW w:w="0" w:type="auto"/>
            <w:tcMar>
              <w:left w:w="29" w:type="dxa"/>
              <w:right w:w="115" w:type="dxa"/>
            </w:tcMar>
            <w:vAlign w:val="center"/>
          </w:tcPr>
          <w:p w14:paraId="735EBDB2" w14:textId="77777777" w:rsidR="004D1A15" w:rsidRPr="009B05F6" w:rsidRDefault="004D1A15" w:rsidP="00C5210C">
            <w:pPr>
              <w:rPr>
                <w:bCs/>
              </w:rPr>
            </w:pPr>
            <w:r w:rsidRPr="009B05F6">
              <w:rPr>
                <w:bCs/>
              </w:rPr>
              <w:t>CYP3A4 inhibitors</w:t>
            </w:r>
            <w:r w:rsidRPr="000714F3">
              <w:rPr>
                <w:rFonts w:eastAsia="Calibri"/>
                <w:vertAlign w:val="superscript"/>
              </w:rPr>
              <w:t>**</w:t>
            </w:r>
          </w:p>
        </w:tc>
        <w:tc>
          <w:tcPr>
            <w:tcW w:w="0" w:type="auto"/>
            <w:vAlign w:val="center"/>
          </w:tcPr>
          <w:p w14:paraId="14A0527F" w14:textId="77777777" w:rsidR="004D1A15" w:rsidRDefault="004D1A15" w:rsidP="00C5210C">
            <w:pPr>
              <w:jc w:val="center"/>
            </w:pPr>
            <w:r>
              <w:t>71 (14.2)</w:t>
            </w:r>
          </w:p>
        </w:tc>
        <w:tc>
          <w:tcPr>
            <w:tcW w:w="0" w:type="auto"/>
            <w:vAlign w:val="center"/>
          </w:tcPr>
          <w:p w14:paraId="65899D4A" w14:textId="77777777" w:rsidR="004D1A15" w:rsidRDefault="004D1A15" w:rsidP="00C5210C">
            <w:pPr>
              <w:jc w:val="center"/>
            </w:pPr>
            <w:r>
              <w:t>30 (15.0)</w:t>
            </w:r>
          </w:p>
        </w:tc>
        <w:tc>
          <w:tcPr>
            <w:tcW w:w="0" w:type="auto"/>
            <w:vAlign w:val="center"/>
          </w:tcPr>
          <w:p w14:paraId="6B6400D6" w14:textId="77777777" w:rsidR="004D1A15" w:rsidRDefault="004D1A15" w:rsidP="00C5210C">
            <w:pPr>
              <w:jc w:val="center"/>
            </w:pPr>
            <w:r>
              <w:t>0.02</w:t>
            </w:r>
          </w:p>
        </w:tc>
      </w:tr>
      <w:tr w:rsidR="004D1A15" w14:paraId="433A318F" w14:textId="77777777" w:rsidTr="00C5210C">
        <w:tc>
          <w:tcPr>
            <w:tcW w:w="0" w:type="auto"/>
            <w:tcMar>
              <w:left w:w="29" w:type="dxa"/>
              <w:right w:w="115" w:type="dxa"/>
            </w:tcMar>
            <w:vAlign w:val="center"/>
          </w:tcPr>
          <w:p w14:paraId="50D97FD1" w14:textId="77777777" w:rsidR="004D1A15" w:rsidRPr="009B05F6" w:rsidRDefault="004D1A15" w:rsidP="00C5210C">
            <w:pPr>
              <w:rPr>
                <w:bCs/>
              </w:rPr>
            </w:pPr>
            <w:r w:rsidRPr="009B05F6">
              <w:rPr>
                <w:bCs/>
              </w:rPr>
              <w:t>CYP3A4 inducers</w:t>
            </w:r>
            <w:r w:rsidRPr="000714F3">
              <w:rPr>
                <w:rFonts w:eastAsia="Calibri"/>
                <w:vertAlign w:val="superscript"/>
              </w:rPr>
              <w:t>**</w:t>
            </w:r>
          </w:p>
        </w:tc>
        <w:tc>
          <w:tcPr>
            <w:tcW w:w="0" w:type="auto"/>
            <w:vAlign w:val="center"/>
          </w:tcPr>
          <w:p w14:paraId="4309476C" w14:textId="77777777" w:rsidR="004D1A15" w:rsidRDefault="004D1A15" w:rsidP="00C5210C">
            <w:pPr>
              <w:jc w:val="center"/>
            </w:pPr>
            <w:r>
              <w:t>10 (2.0)</w:t>
            </w:r>
          </w:p>
        </w:tc>
        <w:tc>
          <w:tcPr>
            <w:tcW w:w="0" w:type="auto"/>
            <w:vAlign w:val="center"/>
          </w:tcPr>
          <w:p w14:paraId="5605D38C" w14:textId="77777777" w:rsidR="004D1A15" w:rsidRDefault="004D1A15" w:rsidP="00C5210C">
            <w:pPr>
              <w:jc w:val="center"/>
            </w:pPr>
            <w:r>
              <w:t>4 (2.0)</w:t>
            </w:r>
          </w:p>
        </w:tc>
        <w:tc>
          <w:tcPr>
            <w:tcW w:w="0" w:type="auto"/>
            <w:vAlign w:val="center"/>
          </w:tcPr>
          <w:p w14:paraId="38918F7B" w14:textId="77777777" w:rsidR="004D1A15" w:rsidRDefault="004D1A15" w:rsidP="00C5210C">
            <w:pPr>
              <w:jc w:val="center"/>
            </w:pPr>
            <w:r>
              <w:t>0.01</w:t>
            </w:r>
          </w:p>
        </w:tc>
      </w:tr>
      <w:tr w:rsidR="004D1A15" w14:paraId="3BEEB581" w14:textId="77777777" w:rsidTr="00C5210C">
        <w:tc>
          <w:tcPr>
            <w:tcW w:w="0" w:type="auto"/>
            <w:tcMar>
              <w:left w:w="29" w:type="dxa"/>
              <w:right w:w="115" w:type="dxa"/>
            </w:tcMar>
            <w:vAlign w:val="center"/>
          </w:tcPr>
          <w:p w14:paraId="2A8C068E" w14:textId="77777777" w:rsidR="004D1A15" w:rsidRPr="009B05F6" w:rsidRDefault="004D1A15" w:rsidP="00C5210C">
            <w:pPr>
              <w:rPr>
                <w:bCs/>
              </w:rPr>
            </w:pPr>
            <w:r w:rsidRPr="009B05F6">
              <w:rPr>
                <w:bCs/>
              </w:rPr>
              <w:t>CYP2D6 inhibitors</w:t>
            </w:r>
            <w:r w:rsidRPr="000714F3">
              <w:rPr>
                <w:rFonts w:eastAsia="Calibri"/>
                <w:vertAlign w:val="superscript"/>
              </w:rPr>
              <w:t>**</w:t>
            </w:r>
          </w:p>
        </w:tc>
        <w:tc>
          <w:tcPr>
            <w:tcW w:w="0" w:type="auto"/>
            <w:vAlign w:val="center"/>
          </w:tcPr>
          <w:p w14:paraId="58E433A0" w14:textId="77777777" w:rsidR="004D1A15" w:rsidRDefault="004D1A15" w:rsidP="00C5210C">
            <w:pPr>
              <w:jc w:val="center"/>
            </w:pPr>
            <w:r>
              <w:t>50 (10.0)</w:t>
            </w:r>
          </w:p>
        </w:tc>
        <w:tc>
          <w:tcPr>
            <w:tcW w:w="0" w:type="auto"/>
            <w:vAlign w:val="center"/>
          </w:tcPr>
          <w:p w14:paraId="459D6A40" w14:textId="77777777" w:rsidR="004D1A15" w:rsidRDefault="004D1A15" w:rsidP="00C5210C">
            <w:pPr>
              <w:jc w:val="center"/>
            </w:pPr>
            <w:r>
              <w:t>20 (10.0)</w:t>
            </w:r>
          </w:p>
        </w:tc>
        <w:tc>
          <w:tcPr>
            <w:tcW w:w="0" w:type="auto"/>
            <w:vAlign w:val="center"/>
          </w:tcPr>
          <w:p w14:paraId="4301ED05" w14:textId="77777777" w:rsidR="004D1A15" w:rsidRDefault="004D1A15" w:rsidP="00C5210C">
            <w:pPr>
              <w:jc w:val="center"/>
            </w:pPr>
            <w:r>
              <w:t>0.01</w:t>
            </w:r>
          </w:p>
        </w:tc>
      </w:tr>
      <w:tr w:rsidR="004D1A15" w14:paraId="79E8A8FA" w14:textId="77777777" w:rsidTr="00C5210C">
        <w:tc>
          <w:tcPr>
            <w:tcW w:w="0" w:type="auto"/>
            <w:tcMar>
              <w:left w:w="29" w:type="dxa"/>
              <w:right w:w="115" w:type="dxa"/>
            </w:tcMar>
            <w:vAlign w:val="center"/>
          </w:tcPr>
          <w:p w14:paraId="4FB5E3CA" w14:textId="77777777" w:rsidR="004D1A15" w:rsidRPr="009B05F6" w:rsidRDefault="004D1A15" w:rsidP="00C5210C">
            <w:pPr>
              <w:rPr>
                <w:bCs/>
              </w:rPr>
            </w:pPr>
            <w:r>
              <w:rPr>
                <w:bCs/>
              </w:rPr>
              <w:t>CYP2D6 inducers</w:t>
            </w:r>
            <w:r w:rsidRPr="000714F3">
              <w:rPr>
                <w:rFonts w:eastAsia="Calibri"/>
                <w:vertAlign w:val="superscript"/>
              </w:rPr>
              <w:t>**††</w:t>
            </w:r>
          </w:p>
        </w:tc>
        <w:tc>
          <w:tcPr>
            <w:tcW w:w="0" w:type="auto"/>
            <w:vAlign w:val="center"/>
          </w:tcPr>
          <w:p w14:paraId="0FF092A1" w14:textId="77777777" w:rsidR="004D1A15" w:rsidRDefault="004D1A15" w:rsidP="00C5210C">
            <w:pPr>
              <w:jc w:val="center"/>
            </w:pPr>
            <w:r>
              <w:t>1 (0.2)</w:t>
            </w:r>
          </w:p>
        </w:tc>
        <w:tc>
          <w:tcPr>
            <w:tcW w:w="0" w:type="auto"/>
            <w:vAlign w:val="center"/>
          </w:tcPr>
          <w:p w14:paraId="1B35E097" w14:textId="77777777" w:rsidR="004D1A15" w:rsidRDefault="004D1A15" w:rsidP="00C5210C">
            <w:pPr>
              <w:jc w:val="center"/>
            </w:pPr>
            <w:r>
              <w:t>0 (0.0)</w:t>
            </w:r>
          </w:p>
        </w:tc>
        <w:tc>
          <w:tcPr>
            <w:tcW w:w="0" w:type="auto"/>
            <w:vAlign w:val="center"/>
          </w:tcPr>
          <w:p w14:paraId="7CF5B9DF" w14:textId="77777777" w:rsidR="004D1A15" w:rsidRDefault="004D1A15" w:rsidP="00C5210C">
            <w:pPr>
              <w:jc w:val="center"/>
            </w:pPr>
            <w:r>
              <w:t>0.07</w:t>
            </w:r>
          </w:p>
        </w:tc>
      </w:tr>
      <w:tr w:rsidR="004D1A15" w14:paraId="7411FA11" w14:textId="77777777" w:rsidTr="00C5210C">
        <w:tc>
          <w:tcPr>
            <w:tcW w:w="0" w:type="auto"/>
            <w:tcMar>
              <w:left w:w="29" w:type="dxa"/>
              <w:right w:w="115" w:type="dxa"/>
            </w:tcMar>
            <w:vAlign w:val="center"/>
          </w:tcPr>
          <w:p w14:paraId="6DA78085" w14:textId="77777777" w:rsidR="004D1A15" w:rsidRPr="009B05F6" w:rsidRDefault="004D1A15" w:rsidP="00C5210C">
            <w:pPr>
              <w:rPr>
                <w:bCs/>
              </w:rPr>
            </w:pPr>
            <w:r w:rsidRPr="009B05F6">
              <w:rPr>
                <w:bCs/>
              </w:rPr>
              <w:t>CYP1A2 inhibitors</w:t>
            </w:r>
            <w:r w:rsidRPr="000714F3">
              <w:rPr>
                <w:rFonts w:eastAsia="Calibri"/>
                <w:vertAlign w:val="superscript"/>
              </w:rPr>
              <w:t>**</w:t>
            </w:r>
          </w:p>
        </w:tc>
        <w:tc>
          <w:tcPr>
            <w:tcW w:w="0" w:type="auto"/>
            <w:vAlign w:val="center"/>
          </w:tcPr>
          <w:p w14:paraId="4DFA5857" w14:textId="77777777" w:rsidR="004D1A15" w:rsidRDefault="004D1A15" w:rsidP="00C5210C">
            <w:pPr>
              <w:jc w:val="center"/>
            </w:pPr>
            <w:r>
              <w:t>28 (5.6)</w:t>
            </w:r>
          </w:p>
        </w:tc>
        <w:tc>
          <w:tcPr>
            <w:tcW w:w="0" w:type="auto"/>
            <w:vAlign w:val="center"/>
          </w:tcPr>
          <w:p w14:paraId="181BDC59" w14:textId="77777777" w:rsidR="004D1A15" w:rsidRDefault="004D1A15" w:rsidP="00C5210C">
            <w:pPr>
              <w:jc w:val="center"/>
            </w:pPr>
            <w:r>
              <w:t>12 (6.0)</w:t>
            </w:r>
          </w:p>
        </w:tc>
        <w:tc>
          <w:tcPr>
            <w:tcW w:w="0" w:type="auto"/>
            <w:vAlign w:val="center"/>
          </w:tcPr>
          <w:p w14:paraId="7FE0F488" w14:textId="77777777" w:rsidR="004D1A15" w:rsidRDefault="004D1A15" w:rsidP="00C5210C">
            <w:pPr>
              <w:jc w:val="center"/>
            </w:pPr>
            <w:r>
              <w:t>&lt;0.01</w:t>
            </w:r>
          </w:p>
        </w:tc>
      </w:tr>
      <w:tr w:rsidR="004D1A15" w14:paraId="64E1084C" w14:textId="77777777" w:rsidTr="00C5210C">
        <w:tc>
          <w:tcPr>
            <w:tcW w:w="0" w:type="auto"/>
            <w:tcMar>
              <w:left w:w="29" w:type="dxa"/>
              <w:right w:w="115" w:type="dxa"/>
            </w:tcMar>
            <w:vAlign w:val="center"/>
          </w:tcPr>
          <w:p w14:paraId="70B35755" w14:textId="77777777" w:rsidR="004D1A15" w:rsidRPr="009B05F6" w:rsidRDefault="004D1A15" w:rsidP="00C5210C">
            <w:pPr>
              <w:rPr>
                <w:bCs/>
              </w:rPr>
            </w:pPr>
            <w:r w:rsidRPr="009B05F6">
              <w:rPr>
                <w:bCs/>
              </w:rPr>
              <w:t>CYP1A2 inducers</w:t>
            </w:r>
            <w:r w:rsidRPr="000714F3">
              <w:rPr>
                <w:rFonts w:eastAsia="Calibri"/>
                <w:vertAlign w:val="superscript"/>
              </w:rPr>
              <w:t>**</w:t>
            </w:r>
          </w:p>
        </w:tc>
        <w:tc>
          <w:tcPr>
            <w:tcW w:w="0" w:type="auto"/>
            <w:vAlign w:val="center"/>
          </w:tcPr>
          <w:p w14:paraId="2B2A4D25" w14:textId="77777777" w:rsidR="004D1A15" w:rsidRDefault="004D1A15" w:rsidP="00C5210C">
            <w:pPr>
              <w:jc w:val="center"/>
            </w:pPr>
            <w:r>
              <w:t>85 (17.1)</w:t>
            </w:r>
          </w:p>
        </w:tc>
        <w:tc>
          <w:tcPr>
            <w:tcW w:w="0" w:type="auto"/>
            <w:vAlign w:val="center"/>
          </w:tcPr>
          <w:p w14:paraId="10DE4243" w14:textId="77777777" w:rsidR="004D1A15" w:rsidRDefault="004D1A15" w:rsidP="00C5210C">
            <w:pPr>
              <w:jc w:val="center"/>
            </w:pPr>
            <w:r>
              <w:t>41 (20.5)</w:t>
            </w:r>
          </w:p>
        </w:tc>
        <w:tc>
          <w:tcPr>
            <w:tcW w:w="0" w:type="auto"/>
            <w:vAlign w:val="center"/>
          </w:tcPr>
          <w:p w14:paraId="39A0B232" w14:textId="77777777" w:rsidR="004D1A15" w:rsidRDefault="004D1A15" w:rsidP="00C5210C">
            <w:pPr>
              <w:jc w:val="center"/>
            </w:pPr>
            <w:r>
              <w:t>0.09</w:t>
            </w:r>
          </w:p>
        </w:tc>
      </w:tr>
      <w:tr w:rsidR="004D1A15" w14:paraId="5E5F8012" w14:textId="77777777" w:rsidTr="00C5210C">
        <w:tc>
          <w:tcPr>
            <w:tcW w:w="0" w:type="auto"/>
            <w:tcMar>
              <w:left w:w="29" w:type="dxa"/>
              <w:right w:w="115" w:type="dxa"/>
            </w:tcMar>
            <w:vAlign w:val="center"/>
          </w:tcPr>
          <w:p w14:paraId="2808272C" w14:textId="77777777" w:rsidR="004D1A15" w:rsidRPr="009B05F6" w:rsidRDefault="004D1A15" w:rsidP="00C5210C">
            <w:pPr>
              <w:rPr>
                <w:bCs/>
              </w:rPr>
            </w:pPr>
            <w:r>
              <w:rPr>
                <w:bCs/>
              </w:rPr>
              <w:t>P-</w:t>
            </w:r>
            <w:proofErr w:type="spellStart"/>
            <w:r>
              <w:rPr>
                <w:bCs/>
              </w:rPr>
              <w:t>gp</w:t>
            </w:r>
            <w:proofErr w:type="spellEnd"/>
            <w:r>
              <w:rPr>
                <w:bCs/>
              </w:rPr>
              <w:t xml:space="preserve"> inhibitors</w:t>
            </w:r>
            <w:r w:rsidRPr="001958DD">
              <w:rPr>
                <w:rFonts w:eastAsia="Calibri"/>
                <w:vertAlign w:val="superscript"/>
              </w:rPr>
              <w:t>‡‡</w:t>
            </w:r>
          </w:p>
        </w:tc>
        <w:tc>
          <w:tcPr>
            <w:tcW w:w="0" w:type="auto"/>
            <w:vAlign w:val="center"/>
          </w:tcPr>
          <w:p w14:paraId="5BD39B79" w14:textId="77777777" w:rsidR="004D1A15" w:rsidRDefault="004D1A15" w:rsidP="00C5210C">
            <w:pPr>
              <w:jc w:val="center"/>
            </w:pPr>
            <w:r>
              <w:t>98 (19.7)</w:t>
            </w:r>
          </w:p>
        </w:tc>
        <w:tc>
          <w:tcPr>
            <w:tcW w:w="0" w:type="auto"/>
            <w:vAlign w:val="center"/>
          </w:tcPr>
          <w:p w14:paraId="60005EA7" w14:textId="77777777" w:rsidR="004D1A15" w:rsidRDefault="004D1A15" w:rsidP="00C5210C">
            <w:pPr>
              <w:jc w:val="center"/>
            </w:pPr>
            <w:r>
              <w:t>44 (22.0)</w:t>
            </w:r>
          </w:p>
        </w:tc>
        <w:tc>
          <w:tcPr>
            <w:tcW w:w="0" w:type="auto"/>
            <w:vAlign w:val="center"/>
          </w:tcPr>
          <w:p w14:paraId="093C0383" w14:textId="77777777" w:rsidR="004D1A15" w:rsidRDefault="004D1A15" w:rsidP="00C5210C">
            <w:pPr>
              <w:jc w:val="center"/>
            </w:pPr>
            <w:r>
              <w:t>0.06</w:t>
            </w:r>
          </w:p>
        </w:tc>
      </w:tr>
      <w:tr w:rsidR="004D1A15" w14:paraId="164544C4" w14:textId="77777777" w:rsidTr="00C5210C">
        <w:tc>
          <w:tcPr>
            <w:tcW w:w="0" w:type="auto"/>
            <w:tcMar>
              <w:left w:w="29" w:type="dxa"/>
              <w:right w:w="115" w:type="dxa"/>
            </w:tcMar>
            <w:vAlign w:val="center"/>
          </w:tcPr>
          <w:p w14:paraId="10C11752" w14:textId="77777777" w:rsidR="004D1A15" w:rsidRPr="009B05F6" w:rsidRDefault="004D1A15" w:rsidP="00C5210C">
            <w:pPr>
              <w:rPr>
                <w:bCs/>
              </w:rPr>
            </w:pPr>
            <w:r>
              <w:rPr>
                <w:bCs/>
              </w:rPr>
              <w:t>P-</w:t>
            </w:r>
            <w:proofErr w:type="spellStart"/>
            <w:r>
              <w:rPr>
                <w:bCs/>
              </w:rPr>
              <w:t>gp</w:t>
            </w:r>
            <w:proofErr w:type="spellEnd"/>
            <w:r>
              <w:rPr>
                <w:bCs/>
              </w:rPr>
              <w:t xml:space="preserve"> inducers</w:t>
            </w:r>
            <w:r w:rsidRPr="001958DD">
              <w:rPr>
                <w:rFonts w:eastAsia="Calibri"/>
                <w:vertAlign w:val="superscript"/>
              </w:rPr>
              <w:t>‡‡</w:t>
            </w:r>
          </w:p>
        </w:tc>
        <w:tc>
          <w:tcPr>
            <w:tcW w:w="0" w:type="auto"/>
            <w:vAlign w:val="center"/>
          </w:tcPr>
          <w:p w14:paraId="5AA86407" w14:textId="77777777" w:rsidR="004D1A15" w:rsidRDefault="004D1A15" w:rsidP="00C5210C">
            <w:pPr>
              <w:jc w:val="center"/>
            </w:pPr>
            <w:r>
              <w:t>3 (0.6)</w:t>
            </w:r>
          </w:p>
        </w:tc>
        <w:tc>
          <w:tcPr>
            <w:tcW w:w="0" w:type="auto"/>
            <w:vAlign w:val="center"/>
          </w:tcPr>
          <w:p w14:paraId="09124613" w14:textId="77777777" w:rsidR="004D1A15" w:rsidRDefault="004D1A15" w:rsidP="00C5210C">
            <w:pPr>
              <w:jc w:val="center"/>
            </w:pPr>
            <w:r>
              <w:t>1 (0.5)</w:t>
            </w:r>
          </w:p>
        </w:tc>
        <w:tc>
          <w:tcPr>
            <w:tcW w:w="0" w:type="auto"/>
            <w:vAlign w:val="center"/>
          </w:tcPr>
          <w:p w14:paraId="1D16FF1A" w14:textId="77777777" w:rsidR="004D1A15" w:rsidRDefault="004D1A15" w:rsidP="00C5210C">
            <w:pPr>
              <w:jc w:val="center"/>
            </w:pPr>
            <w:r>
              <w:t>0.02</w:t>
            </w:r>
          </w:p>
        </w:tc>
      </w:tr>
      <w:tr w:rsidR="004D1A15" w14:paraId="4746FF57" w14:textId="77777777" w:rsidTr="00C5210C">
        <w:tc>
          <w:tcPr>
            <w:tcW w:w="0" w:type="auto"/>
            <w:tcMar>
              <w:left w:w="29" w:type="dxa"/>
              <w:right w:w="115" w:type="dxa"/>
            </w:tcMar>
            <w:vAlign w:val="center"/>
          </w:tcPr>
          <w:p w14:paraId="7A6BCF24" w14:textId="77777777" w:rsidR="004D1A15" w:rsidRDefault="004D1A15" w:rsidP="00C5210C"/>
        </w:tc>
        <w:tc>
          <w:tcPr>
            <w:tcW w:w="0" w:type="auto"/>
            <w:vAlign w:val="center"/>
          </w:tcPr>
          <w:p w14:paraId="14F6A446" w14:textId="77777777" w:rsidR="004D1A15" w:rsidRDefault="004D1A15" w:rsidP="00C5210C">
            <w:pPr>
              <w:jc w:val="center"/>
            </w:pPr>
          </w:p>
        </w:tc>
        <w:tc>
          <w:tcPr>
            <w:tcW w:w="0" w:type="auto"/>
            <w:vAlign w:val="center"/>
          </w:tcPr>
          <w:p w14:paraId="5508BF36" w14:textId="77777777" w:rsidR="004D1A15" w:rsidRDefault="004D1A15" w:rsidP="00C5210C">
            <w:pPr>
              <w:jc w:val="center"/>
            </w:pPr>
          </w:p>
        </w:tc>
        <w:tc>
          <w:tcPr>
            <w:tcW w:w="0" w:type="auto"/>
            <w:vAlign w:val="center"/>
          </w:tcPr>
          <w:p w14:paraId="4B9C53C8" w14:textId="77777777" w:rsidR="004D1A15" w:rsidRDefault="004D1A15" w:rsidP="00C5210C">
            <w:pPr>
              <w:jc w:val="center"/>
            </w:pPr>
          </w:p>
        </w:tc>
      </w:tr>
      <w:tr w:rsidR="004D1A15" w14:paraId="5BCA5605" w14:textId="77777777" w:rsidTr="00C5210C">
        <w:tc>
          <w:tcPr>
            <w:tcW w:w="0" w:type="auto"/>
            <w:shd w:val="clear" w:color="auto" w:fill="D9D9D9" w:themeFill="background1" w:themeFillShade="D9"/>
            <w:tcMar>
              <w:left w:w="29" w:type="dxa"/>
              <w:right w:w="115" w:type="dxa"/>
            </w:tcMar>
            <w:vAlign w:val="center"/>
          </w:tcPr>
          <w:p w14:paraId="09BE84BA" w14:textId="77777777" w:rsidR="004D1A15" w:rsidRPr="00870B5D" w:rsidRDefault="004D1A15" w:rsidP="00C5210C">
            <w:pPr>
              <w:rPr>
                <w:b/>
                <w:bCs/>
              </w:rPr>
            </w:pPr>
            <w:r w:rsidRPr="00870B5D">
              <w:rPr>
                <w:b/>
                <w:bCs/>
              </w:rPr>
              <w:t xml:space="preserve">Measure of </w:t>
            </w:r>
            <w:r>
              <w:rPr>
                <w:b/>
                <w:bCs/>
              </w:rPr>
              <w:t>f</w:t>
            </w:r>
            <w:r w:rsidRPr="00870B5D">
              <w:rPr>
                <w:b/>
                <w:bCs/>
              </w:rPr>
              <w:t>railty</w:t>
            </w:r>
          </w:p>
        </w:tc>
        <w:tc>
          <w:tcPr>
            <w:tcW w:w="0" w:type="auto"/>
            <w:shd w:val="clear" w:color="auto" w:fill="D9D9D9" w:themeFill="background1" w:themeFillShade="D9"/>
            <w:vAlign w:val="center"/>
          </w:tcPr>
          <w:p w14:paraId="6CF6780F" w14:textId="77777777" w:rsidR="004D1A15" w:rsidRDefault="004D1A15" w:rsidP="00C5210C">
            <w:pPr>
              <w:jc w:val="center"/>
            </w:pPr>
          </w:p>
        </w:tc>
        <w:tc>
          <w:tcPr>
            <w:tcW w:w="0" w:type="auto"/>
            <w:shd w:val="clear" w:color="auto" w:fill="D9D9D9" w:themeFill="background1" w:themeFillShade="D9"/>
            <w:vAlign w:val="center"/>
          </w:tcPr>
          <w:p w14:paraId="4668C2E5" w14:textId="77777777" w:rsidR="004D1A15" w:rsidRDefault="004D1A15" w:rsidP="00C5210C">
            <w:pPr>
              <w:jc w:val="center"/>
            </w:pPr>
          </w:p>
        </w:tc>
        <w:tc>
          <w:tcPr>
            <w:tcW w:w="0" w:type="auto"/>
            <w:shd w:val="clear" w:color="auto" w:fill="D9D9D9" w:themeFill="background1" w:themeFillShade="D9"/>
            <w:vAlign w:val="center"/>
          </w:tcPr>
          <w:p w14:paraId="3C09B750" w14:textId="77777777" w:rsidR="004D1A15" w:rsidRDefault="004D1A15" w:rsidP="00C5210C">
            <w:pPr>
              <w:jc w:val="center"/>
            </w:pPr>
          </w:p>
        </w:tc>
      </w:tr>
      <w:tr w:rsidR="004D1A15" w14:paraId="4BC9CBB7" w14:textId="77777777" w:rsidTr="00C5210C">
        <w:tc>
          <w:tcPr>
            <w:tcW w:w="0" w:type="auto"/>
            <w:tcMar>
              <w:left w:w="29" w:type="dxa"/>
              <w:right w:w="115" w:type="dxa"/>
            </w:tcMar>
            <w:vAlign w:val="center"/>
          </w:tcPr>
          <w:p w14:paraId="7C52F579" w14:textId="77777777" w:rsidR="004D1A15" w:rsidRPr="009B05F6" w:rsidRDefault="004D1A15" w:rsidP="00C5210C">
            <w:pPr>
              <w:rPr>
                <w:bCs/>
              </w:rPr>
            </w:pPr>
            <w:r w:rsidRPr="009B05F6">
              <w:rPr>
                <w:bCs/>
              </w:rPr>
              <w:t>Claims-based frailty index, median (IQR)</w:t>
            </w:r>
            <w:r w:rsidRPr="001958DD">
              <w:rPr>
                <w:vertAlign w:val="superscript"/>
              </w:rPr>
              <w:t>§§</w:t>
            </w:r>
          </w:p>
        </w:tc>
        <w:tc>
          <w:tcPr>
            <w:tcW w:w="0" w:type="auto"/>
            <w:vAlign w:val="center"/>
          </w:tcPr>
          <w:p w14:paraId="15A0263C" w14:textId="77777777" w:rsidR="004D1A15" w:rsidRDefault="004D1A15" w:rsidP="00C5210C">
            <w:pPr>
              <w:jc w:val="center"/>
            </w:pPr>
            <w:r>
              <w:t>0.169 (0.136 – 0.205)</w:t>
            </w:r>
          </w:p>
        </w:tc>
        <w:tc>
          <w:tcPr>
            <w:tcW w:w="0" w:type="auto"/>
            <w:vAlign w:val="center"/>
          </w:tcPr>
          <w:p w14:paraId="3BE78844" w14:textId="77777777" w:rsidR="004D1A15" w:rsidRDefault="004D1A15" w:rsidP="00C5210C">
            <w:pPr>
              <w:jc w:val="center"/>
            </w:pPr>
            <w:r>
              <w:t>0.169 (0.137 – 0.207)</w:t>
            </w:r>
          </w:p>
        </w:tc>
        <w:tc>
          <w:tcPr>
            <w:tcW w:w="0" w:type="auto"/>
            <w:vAlign w:val="center"/>
          </w:tcPr>
          <w:p w14:paraId="3C636295" w14:textId="77777777" w:rsidR="004D1A15" w:rsidRDefault="004D1A15" w:rsidP="00C5210C">
            <w:pPr>
              <w:jc w:val="center"/>
            </w:pPr>
            <w:r>
              <w:t>0.01</w:t>
            </w:r>
          </w:p>
        </w:tc>
      </w:tr>
      <w:tr w:rsidR="004D1A15" w14:paraId="45474535" w14:textId="77777777" w:rsidTr="00C5210C">
        <w:tc>
          <w:tcPr>
            <w:tcW w:w="0" w:type="auto"/>
            <w:gridSpan w:val="4"/>
            <w:tcMar>
              <w:left w:w="29" w:type="dxa"/>
              <w:right w:w="115" w:type="dxa"/>
            </w:tcMar>
            <w:vAlign w:val="center"/>
          </w:tcPr>
          <w:p w14:paraId="1799004D" w14:textId="77777777" w:rsidR="004D1A15" w:rsidRDefault="004D1A15" w:rsidP="007736E7">
            <w:pPr>
              <w:rPr>
                <w:sz w:val="20"/>
                <w:szCs w:val="20"/>
              </w:rPr>
            </w:pPr>
            <w:r>
              <w:rPr>
                <w:sz w:val="20"/>
                <w:szCs w:val="20"/>
              </w:rPr>
              <w:t>CLL = chronic lymphocytic leukemia; CYP = cytochrome P450; IQR = interquartile range; MCL = mantle cell lymphoma; MZL = marginal zone lymphoma; NSAID = nonsteroidal anti-inflammatory drug; OAC = oral anticoagulant; P-</w:t>
            </w:r>
            <w:proofErr w:type="spellStart"/>
            <w:r>
              <w:rPr>
                <w:sz w:val="20"/>
                <w:szCs w:val="20"/>
              </w:rPr>
              <w:t>gp</w:t>
            </w:r>
            <w:proofErr w:type="spellEnd"/>
            <w:r>
              <w:rPr>
                <w:sz w:val="20"/>
                <w:szCs w:val="20"/>
              </w:rPr>
              <w:t xml:space="preserve"> = p-glycoprotein</w:t>
            </w:r>
          </w:p>
          <w:p w14:paraId="63AD5520" w14:textId="77777777" w:rsidR="004D1A15" w:rsidRDefault="004D1A15" w:rsidP="00C5210C">
            <w:pPr>
              <w:rPr>
                <w:sz w:val="20"/>
                <w:szCs w:val="20"/>
              </w:rPr>
            </w:pPr>
          </w:p>
          <w:p w14:paraId="0BA78D96" w14:textId="77777777" w:rsidR="004D1A15" w:rsidRDefault="004D1A15" w:rsidP="00443ABD">
            <w:pPr>
              <w:rPr>
                <w:rFonts w:eastAsia="Calibri"/>
                <w:sz w:val="20"/>
                <w:szCs w:val="20"/>
              </w:rPr>
            </w:pPr>
            <w:r w:rsidRPr="00443ABD">
              <w:rPr>
                <w:rFonts w:eastAsia="Calibri"/>
                <w:sz w:val="20"/>
                <w:szCs w:val="20"/>
              </w:rPr>
              <w:t>*</w:t>
            </w:r>
            <w:r>
              <w:rPr>
                <w:rFonts w:eastAsia="Calibri"/>
                <w:sz w:val="20"/>
                <w:szCs w:val="20"/>
              </w:rPr>
              <w:t xml:space="preserve">  Unless otherwise specified</w:t>
            </w:r>
          </w:p>
          <w:p w14:paraId="35EF689E" w14:textId="77777777" w:rsidR="004D1A15" w:rsidRDefault="004D1A15" w:rsidP="00443ABD">
            <w:pPr>
              <w:rPr>
                <w:rFonts w:eastAsia="Calibri"/>
                <w:sz w:val="20"/>
                <w:szCs w:val="20"/>
              </w:rPr>
            </w:pPr>
            <w:r>
              <w:rPr>
                <w:rFonts w:eastAsia="Calibri"/>
                <w:sz w:val="20"/>
                <w:szCs w:val="20"/>
              </w:rPr>
              <w:t xml:space="preserve">  Cancer type was formatted as a categorical variable with a category for each cancer</w:t>
            </w:r>
          </w:p>
          <w:p w14:paraId="3C8D46EC" w14:textId="77777777" w:rsidR="004D1A15" w:rsidRDefault="004D1A15" w:rsidP="00443ABD">
            <w:pPr>
              <w:rPr>
                <w:sz w:val="20"/>
                <w:szCs w:val="20"/>
              </w:rPr>
            </w:pPr>
            <w:r w:rsidRPr="00043D18">
              <w:rPr>
                <w:rFonts w:eastAsia="Calibri"/>
                <w:sz w:val="20"/>
                <w:szCs w:val="20"/>
              </w:rPr>
              <w:t>†</w:t>
            </w:r>
            <w:r>
              <w:rPr>
                <w:rFonts w:eastAsia="Calibri"/>
                <w:sz w:val="20"/>
                <w:szCs w:val="20"/>
              </w:rPr>
              <w:t xml:space="preserve">  </w:t>
            </w:r>
            <w:r w:rsidRPr="00043D18">
              <w:rPr>
                <w:sz w:val="20"/>
                <w:szCs w:val="20"/>
              </w:rPr>
              <w:t>Covariate was not forced into propensity score, but included as a categorical variable in outcome model</w:t>
            </w:r>
          </w:p>
          <w:p w14:paraId="12E69731" w14:textId="77777777" w:rsidR="004D1A15" w:rsidRPr="00443ABD" w:rsidRDefault="004D1A15" w:rsidP="00443ABD">
            <w:pPr>
              <w:rPr>
                <w:rFonts w:eastAsia="Calibri"/>
                <w:sz w:val="20"/>
                <w:szCs w:val="20"/>
              </w:rPr>
            </w:pPr>
            <w:r w:rsidRPr="00043D18">
              <w:rPr>
                <w:rFonts w:eastAsia="Calibri"/>
                <w:sz w:val="20"/>
                <w:szCs w:val="20"/>
              </w:rPr>
              <w:t>‡</w:t>
            </w:r>
            <w:r>
              <w:rPr>
                <w:sz w:val="20"/>
                <w:szCs w:val="20"/>
              </w:rPr>
              <w:t xml:space="preserve">  </w:t>
            </w:r>
            <w:r>
              <w:rPr>
                <w:rFonts w:eastAsia="Calibri"/>
                <w:sz w:val="20"/>
                <w:szCs w:val="20"/>
              </w:rPr>
              <w:t>Variable contains group-level information based on census data</w:t>
            </w:r>
          </w:p>
          <w:p w14:paraId="3342E2E8" w14:textId="77777777" w:rsidR="004D1A15" w:rsidRDefault="004D1A15" w:rsidP="00C5210C">
            <w:pPr>
              <w:rPr>
                <w:rFonts w:eastAsia="Calibri"/>
                <w:sz w:val="20"/>
                <w:szCs w:val="20"/>
              </w:rPr>
            </w:pPr>
            <w:r w:rsidRPr="00320589">
              <w:rPr>
                <w:sz w:val="20"/>
                <w:szCs w:val="20"/>
              </w:rPr>
              <w:t>§</w:t>
            </w:r>
            <w:r>
              <w:rPr>
                <w:sz w:val="20"/>
                <w:szCs w:val="20"/>
              </w:rPr>
              <w:t xml:space="preserve">   </w:t>
            </w:r>
            <w:r>
              <w:rPr>
                <w:rFonts w:eastAsia="Calibri"/>
                <w:sz w:val="20"/>
                <w:szCs w:val="20"/>
              </w:rPr>
              <w:t>Baseline bl</w:t>
            </w:r>
            <w:r w:rsidRPr="00043D18">
              <w:rPr>
                <w:rFonts w:eastAsia="Calibri"/>
                <w:sz w:val="20"/>
                <w:szCs w:val="20"/>
              </w:rPr>
              <w:t xml:space="preserve">eeding </w:t>
            </w:r>
            <w:r>
              <w:rPr>
                <w:rFonts w:eastAsia="Calibri"/>
                <w:sz w:val="20"/>
                <w:szCs w:val="20"/>
              </w:rPr>
              <w:t>was identified using the same diagnosis codes as the</w:t>
            </w:r>
            <w:r w:rsidRPr="00043D18">
              <w:rPr>
                <w:rFonts w:eastAsia="Calibri"/>
                <w:sz w:val="20"/>
                <w:szCs w:val="20"/>
              </w:rPr>
              <w:t xml:space="preserve"> primary outcome</w:t>
            </w:r>
            <w:r>
              <w:rPr>
                <w:rFonts w:eastAsia="Calibri"/>
                <w:sz w:val="20"/>
                <w:szCs w:val="20"/>
              </w:rPr>
              <w:t xml:space="preserve"> definition,</w:t>
            </w:r>
            <w:r w:rsidRPr="00043D18">
              <w:rPr>
                <w:rFonts w:eastAsia="Calibri"/>
                <w:sz w:val="20"/>
                <w:szCs w:val="20"/>
              </w:rPr>
              <w:t xml:space="preserve"> but </w:t>
            </w:r>
            <w:r>
              <w:rPr>
                <w:rFonts w:eastAsia="Calibri"/>
                <w:sz w:val="20"/>
                <w:szCs w:val="20"/>
              </w:rPr>
              <w:t>permitted in any diagnosis position on the claim</w:t>
            </w:r>
          </w:p>
          <w:p w14:paraId="2807A949" w14:textId="77777777" w:rsidR="004D1A15" w:rsidRDefault="004D1A15" w:rsidP="00C5210C">
            <w:pPr>
              <w:rPr>
                <w:rFonts w:eastAsia="Calibri"/>
                <w:sz w:val="20"/>
                <w:szCs w:val="20"/>
              </w:rPr>
            </w:pPr>
            <w:r w:rsidRPr="009649A7">
              <w:rPr>
                <w:sz w:val="20"/>
                <w:szCs w:val="20"/>
              </w:rPr>
              <w:t>‖</w:t>
            </w:r>
            <w:r>
              <w:rPr>
                <w:sz w:val="20"/>
              </w:rPr>
              <w:t xml:space="preserve">  </w:t>
            </w:r>
            <w:r w:rsidRPr="00043D18">
              <w:rPr>
                <w:rFonts w:eastAsia="Calibri"/>
                <w:sz w:val="20"/>
                <w:szCs w:val="20"/>
              </w:rPr>
              <w:t>Antimicrobial medications were examine</w:t>
            </w:r>
            <w:r>
              <w:rPr>
                <w:rFonts w:eastAsia="Calibri"/>
                <w:sz w:val="20"/>
                <w:szCs w:val="20"/>
              </w:rPr>
              <w:t>d within 14 (rather than 90</w:t>
            </w:r>
            <w:r w:rsidRPr="00043D18">
              <w:rPr>
                <w:rFonts w:eastAsia="Calibri"/>
                <w:sz w:val="20"/>
                <w:szCs w:val="20"/>
              </w:rPr>
              <w:t>) days prior to index date as these agents are</w:t>
            </w:r>
            <w:r>
              <w:rPr>
                <w:rFonts w:eastAsia="Calibri"/>
                <w:sz w:val="20"/>
                <w:szCs w:val="20"/>
              </w:rPr>
              <w:t xml:space="preserve"> </w:t>
            </w:r>
            <w:r w:rsidRPr="00043D18">
              <w:rPr>
                <w:rFonts w:eastAsia="Calibri"/>
                <w:sz w:val="20"/>
                <w:szCs w:val="20"/>
              </w:rPr>
              <w:t>typically prescribed for acute conditions</w:t>
            </w:r>
          </w:p>
          <w:p w14:paraId="48F6288A" w14:textId="77777777" w:rsidR="004D1A15" w:rsidRDefault="004D1A15" w:rsidP="00C5210C">
            <w:pPr>
              <w:rPr>
                <w:rFonts w:eastAsia="Calibri"/>
                <w:sz w:val="20"/>
                <w:szCs w:val="20"/>
                <w:vertAlign w:val="superscript"/>
              </w:rPr>
            </w:pPr>
            <w:r w:rsidRPr="006213D4">
              <w:rPr>
                <w:sz w:val="20"/>
              </w:rPr>
              <w:t>¶</w:t>
            </w:r>
            <w:r>
              <w:rPr>
                <w:rFonts w:eastAsia="Calibri"/>
                <w:sz w:val="20"/>
                <w:szCs w:val="20"/>
              </w:rPr>
              <w:t xml:space="preserve">  Anticancer therapy was examined within 180 days prior to index date</w:t>
            </w:r>
          </w:p>
          <w:p w14:paraId="267E19DD" w14:textId="77777777" w:rsidR="004D1A15" w:rsidRDefault="004D1A15" w:rsidP="00C5210C">
            <w:pPr>
              <w:rPr>
                <w:rFonts w:eastAsia="Calibri"/>
                <w:sz w:val="20"/>
                <w:szCs w:val="20"/>
              </w:rPr>
            </w:pPr>
            <w:r>
              <w:rPr>
                <w:rFonts w:eastAsia="Calibri"/>
                <w:sz w:val="20"/>
                <w:szCs w:val="20"/>
              </w:rPr>
              <w:t>**  Medications identified using the Drug Interactions Flockhart Table</w:t>
            </w:r>
            <w:r w:rsidRPr="00E13226">
              <w:rPr>
                <w:rFonts w:eastAsia="Calibri"/>
                <w:sz w:val="20"/>
                <w:szCs w:val="20"/>
                <w:vertAlign w:val="superscript"/>
              </w:rPr>
              <w:t>TM</w:t>
            </w:r>
            <w:r>
              <w:rPr>
                <w:rFonts w:eastAsia="Calibri"/>
                <w:sz w:val="20"/>
                <w:szCs w:val="20"/>
                <w:vertAlign w:val="superscript"/>
              </w:rPr>
              <w:t>1</w:t>
            </w:r>
          </w:p>
          <w:p w14:paraId="4EB3040F" w14:textId="77777777" w:rsidR="004D1A15" w:rsidRDefault="004D1A15" w:rsidP="001958DD">
            <w:pPr>
              <w:rPr>
                <w:sz w:val="20"/>
                <w:szCs w:val="20"/>
              </w:rPr>
            </w:pPr>
            <w:r w:rsidRPr="00043D18">
              <w:rPr>
                <w:rFonts w:eastAsia="Calibri"/>
                <w:sz w:val="20"/>
                <w:szCs w:val="20"/>
              </w:rPr>
              <w:t>††</w:t>
            </w:r>
            <w:r>
              <w:rPr>
                <w:rFonts w:eastAsia="Calibri"/>
                <w:sz w:val="20"/>
                <w:szCs w:val="20"/>
              </w:rPr>
              <w:t xml:space="preserve">  Variable not included in propensity score due to low cell counts</w:t>
            </w:r>
          </w:p>
          <w:p w14:paraId="44AF85F2" w14:textId="77777777" w:rsidR="004D1A15" w:rsidRDefault="004D1A15" w:rsidP="00C5210C">
            <w:pPr>
              <w:rPr>
                <w:sz w:val="20"/>
              </w:rPr>
            </w:pPr>
            <w:r w:rsidRPr="00043D18">
              <w:rPr>
                <w:rFonts w:eastAsia="Calibri"/>
                <w:sz w:val="20"/>
                <w:szCs w:val="20"/>
              </w:rPr>
              <w:t>‡‡</w:t>
            </w:r>
            <w:r>
              <w:rPr>
                <w:sz w:val="20"/>
                <w:szCs w:val="20"/>
              </w:rPr>
              <w:t xml:space="preserve"> Medications identified using UpToDate</w:t>
            </w:r>
            <w:r w:rsidRPr="00B466D6">
              <w:rPr>
                <w:sz w:val="20"/>
                <w:szCs w:val="20"/>
                <w:vertAlign w:val="superscript"/>
              </w:rPr>
              <w:t>®</w:t>
            </w:r>
            <w:r>
              <w:rPr>
                <w:sz w:val="20"/>
                <w:szCs w:val="20"/>
              </w:rPr>
              <w:t xml:space="preserve"> list of P-</w:t>
            </w:r>
            <w:proofErr w:type="spellStart"/>
            <w:r>
              <w:rPr>
                <w:sz w:val="20"/>
                <w:szCs w:val="20"/>
              </w:rPr>
              <w:t>gp</w:t>
            </w:r>
            <w:proofErr w:type="spellEnd"/>
            <w:r>
              <w:rPr>
                <w:sz w:val="20"/>
                <w:szCs w:val="20"/>
              </w:rPr>
              <w:t xml:space="preserve"> inhibitors and inducers</w:t>
            </w:r>
            <w:r w:rsidRPr="00AD13A1">
              <w:rPr>
                <w:sz w:val="20"/>
                <w:szCs w:val="20"/>
                <w:vertAlign w:val="superscript"/>
              </w:rPr>
              <w:t>2</w:t>
            </w:r>
          </w:p>
          <w:p w14:paraId="1CB26E3B" w14:textId="77777777" w:rsidR="004D1A15" w:rsidRDefault="004D1A15" w:rsidP="00C5210C">
            <w:pPr>
              <w:rPr>
                <w:sz w:val="20"/>
                <w:szCs w:val="20"/>
              </w:rPr>
            </w:pPr>
            <w:r w:rsidRPr="00320589">
              <w:rPr>
                <w:sz w:val="20"/>
                <w:szCs w:val="20"/>
              </w:rPr>
              <w:t>§§</w:t>
            </w:r>
            <w:r>
              <w:rPr>
                <w:sz w:val="20"/>
                <w:szCs w:val="20"/>
              </w:rPr>
              <w:t xml:space="preserve"> </w:t>
            </w:r>
            <w:r>
              <w:rPr>
                <w:sz w:val="20"/>
              </w:rPr>
              <w:t xml:space="preserve"> Claims-based frailty index</w:t>
            </w:r>
            <w:r w:rsidRPr="001E1852">
              <w:rPr>
                <w:sz w:val="20"/>
                <w:vertAlign w:val="superscript"/>
              </w:rPr>
              <w:t>3</w:t>
            </w:r>
            <w:r>
              <w:rPr>
                <w:sz w:val="20"/>
              </w:rPr>
              <w:t xml:space="preserve"> categories: non-frail: &lt;0.10; pre-frail: 0.10 – 0.19; mildly frail: 0.20 – 0.29; moderately frail: 0.30 – 0.39; severely frail: ≥0.40</w:t>
            </w:r>
          </w:p>
          <w:p w14:paraId="043B94B2" w14:textId="77777777" w:rsidR="004D1A15" w:rsidRDefault="004D1A15" w:rsidP="00C5210C">
            <w:pPr>
              <w:rPr>
                <w:rFonts w:eastAsia="Calibri"/>
                <w:sz w:val="20"/>
              </w:rPr>
            </w:pPr>
          </w:p>
          <w:p w14:paraId="7CC41A2C" w14:textId="77777777" w:rsidR="004D1A15" w:rsidRPr="00AD13A1" w:rsidRDefault="004D1A15" w:rsidP="001958DD">
            <w:pPr>
              <w:rPr>
                <w:sz w:val="20"/>
              </w:rPr>
            </w:pPr>
            <w:r w:rsidRPr="00AD13A1">
              <w:rPr>
                <w:rFonts w:eastAsia="Calibri"/>
                <w:sz w:val="20"/>
                <w:szCs w:val="20"/>
              </w:rPr>
              <w:t>1.</w:t>
            </w:r>
            <w:r>
              <w:rPr>
                <w:sz w:val="20"/>
              </w:rPr>
              <w:t xml:space="preserve"> </w:t>
            </w:r>
            <w:r w:rsidRPr="00AD13A1">
              <w:rPr>
                <w:sz w:val="20"/>
              </w:rPr>
              <w:t>Flockhart DA, et al. The Flockhart Table™. Drug Interactions: Cytochrome P450 drug interaction table. Indiana University School of Medicine. 2020.</w:t>
            </w:r>
          </w:p>
          <w:p w14:paraId="0A2CFBF4" w14:textId="77777777" w:rsidR="004D1A15" w:rsidRPr="00B466D6" w:rsidRDefault="004D1A15" w:rsidP="001958DD">
            <w:pPr>
              <w:rPr>
                <w:rFonts w:eastAsia="Calibri"/>
                <w:sz w:val="20"/>
                <w:szCs w:val="20"/>
              </w:rPr>
            </w:pPr>
            <w:r w:rsidRPr="00B466D6">
              <w:rPr>
                <w:rFonts w:eastAsia="Calibri"/>
                <w:sz w:val="20"/>
                <w:szCs w:val="20"/>
              </w:rPr>
              <w:t>2. Inhibitors and inducers of P-glycoprotein (P-</w:t>
            </w:r>
            <w:proofErr w:type="spellStart"/>
            <w:r w:rsidRPr="00B466D6">
              <w:rPr>
                <w:rFonts w:eastAsia="Calibri"/>
                <w:sz w:val="20"/>
                <w:szCs w:val="20"/>
              </w:rPr>
              <w:t>gp</w:t>
            </w:r>
            <w:proofErr w:type="spellEnd"/>
            <w:r w:rsidRPr="00B466D6">
              <w:rPr>
                <w:rFonts w:eastAsia="Calibri"/>
                <w:sz w:val="20"/>
                <w:szCs w:val="20"/>
              </w:rPr>
              <w:t>) drug efflux pump (P-</w:t>
            </w:r>
            <w:proofErr w:type="spellStart"/>
            <w:r w:rsidRPr="00B466D6">
              <w:rPr>
                <w:rFonts w:eastAsia="Calibri"/>
                <w:sz w:val="20"/>
                <w:szCs w:val="20"/>
              </w:rPr>
              <w:t>gp</w:t>
            </w:r>
            <w:proofErr w:type="spellEnd"/>
            <w:r w:rsidRPr="00B466D6">
              <w:rPr>
                <w:rFonts w:eastAsia="Calibri"/>
                <w:sz w:val="20"/>
                <w:szCs w:val="20"/>
              </w:rPr>
              <w:t xml:space="preserve"> multidrug resistance transporter). UpToDate</w:t>
            </w:r>
            <w:r w:rsidRPr="00B466D6">
              <w:rPr>
                <w:sz w:val="20"/>
                <w:szCs w:val="20"/>
                <w:vertAlign w:val="superscript"/>
              </w:rPr>
              <w:t>®</w:t>
            </w:r>
            <w:r w:rsidRPr="00B466D6">
              <w:rPr>
                <w:sz w:val="20"/>
                <w:szCs w:val="20"/>
              </w:rPr>
              <w:t>. 2022.</w:t>
            </w:r>
          </w:p>
          <w:p w14:paraId="7ACA7DC1" w14:textId="77777777" w:rsidR="004D1A15" w:rsidRDefault="004D1A15" w:rsidP="004202D4">
            <w:r>
              <w:rPr>
                <w:rFonts w:eastAsia="Calibri"/>
                <w:sz w:val="20"/>
                <w:szCs w:val="20"/>
              </w:rPr>
              <w:t xml:space="preserve">3. </w:t>
            </w:r>
            <w:r w:rsidRPr="007942E0">
              <w:rPr>
                <w:rFonts w:eastAsia="Calibri"/>
                <w:sz w:val="20"/>
                <w:szCs w:val="20"/>
              </w:rPr>
              <w:t xml:space="preserve">Kim et al. </w:t>
            </w:r>
            <w:r w:rsidRPr="007942E0">
              <w:rPr>
                <w:sz w:val="20"/>
                <w:szCs w:val="20"/>
              </w:rPr>
              <w:t xml:space="preserve">Measuring Frailty in Medicare Data: Development and Validation of a Claims-Based Frailty Index. </w:t>
            </w:r>
            <w:r w:rsidRPr="007942E0">
              <w:rPr>
                <w:i/>
                <w:iCs/>
                <w:sz w:val="20"/>
                <w:szCs w:val="20"/>
              </w:rPr>
              <w:t xml:space="preserve">J </w:t>
            </w:r>
            <w:proofErr w:type="spellStart"/>
            <w:r w:rsidRPr="007942E0">
              <w:rPr>
                <w:i/>
                <w:iCs/>
                <w:sz w:val="20"/>
                <w:szCs w:val="20"/>
              </w:rPr>
              <w:t>Gerontol</w:t>
            </w:r>
            <w:proofErr w:type="spellEnd"/>
            <w:r w:rsidRPr="007942E0">
              <w:rPr>
                <w:i/>
                <w:iCs/>
                <w:sz w:val="20"/>
                <w:szCs w:val="20"/>
              </w:rPr>
              <w:t xml:space="preserve"> A Biol Sci Med Sci</w:t>
            </w:r>
            <w:r w:rsidRPr="007942E0">
              <w:rPr>
                <w:sz w:val="20"/>
                <w:szCs w:val="20"/>
              </w:rPr>
              <w:t>. 2018;73(7):980-7.</w:t>
            </w:r>
          </w:p>
        </w:tc>
      </w:tr>
    </w:tbl>
    <w:p w14:paraId="5A36D1E7" w14:textId="77777777" w:rsidR="004D1A15" w:rsidRDefault="004D1A15">
      <w:pPr>
        <w:rPr>
          <w:b/>
          <w:bCs/>
        </w:rPr>
        <w:sectPr w:rsidR="004D1A15" w:rsidSect="00FD30E6">
          <w:pgSz w:w="12240" w:h="15840"/>
          <w:pgMar w:top="1440" w:right="1440" w:bottom="1440" w:left="1440" w:header="720" w:footer="720" w:gutter="0"/>
          <w:cols w:space="720"/>
          <w:docGrid w:linePitch="360"/>
        </w:sectPr>
      </w:pPr>
    </w:p>
    <w:p w14:paraId="041F67FC" w14:textId="77777777" w:rsidR="004D1A15" w:rsidRPr="0034707C" w:rsidRDefault="004D1A15" w:rsidP="00B8772F">
      <w:pPr>
        <w:spacing w:after="0"/>
        <w:rPr>
          <w:b/>
          <w:bCs/>
        </w:rPr>
      </w:pPr>
      <w:r>
        <w:rPr>
          <w:b/>
          <w:bCs/>
        </w:rPr>
        <w:lastRenderedPageBreak/>
        <w:t xml:space="preserve">Supplementary Table 7. Characteristics of OAC use in ibrutinib + OAC-treated and </w:t>
      </w:r>
      <w:proofErr w:type="spellStart"/>
      <w:r>
        <w:rPr>
          <w:b/>
          <w:bCs/>
        </w:rPr>
        <w:t>bendamustine</w:t>
      </w:r>
      <w:proofErr w:type="spellEnd"/>
      <w:r>
        <w:rPr>
          <w:b/>
          <w:bCs/>
        </w:rPr>
        <w:t>-rituximab + OAC-treated individuals.</w:t>
      </w:r>
    </w:p>
    <w:tbl>
      <w:tblPr>
        <w:tblStyle w:val="TableGrid"/>
        <w:tblW w:w="5000" w:type="pct"/>
        <w:tblLook w:val="04A0" w:firstRow="1" w:lastRow="0" w:firstColumn="1" w:lastColumn="0" w:noHBand="0" w:noVBand="1"/>
      </w:tblPr>
      <w:tblGrid>
        <w:gridCol w:w="5266"/>
        <w:gridCol w:w="2042"/>
        <w:gridCol w:w="2042"/>
      </w:tblGrid>
      <w:tr w:rsidR="004D1A15" w14:paraId="3207C5D5" w14:textId="77777777" w:rsidTr="005C0567">
        <w:tc>
          <w:tcPr>
            <w:tcW w:w="2816" w:type="pct"/>
            <w:shd w:val="clear" w:color="auto" w:fill="D9D9D9" w:themeFill="background1" w:themeFillShade="D9"/>
            <w:tcMar>
              <w:left w:w="29" w:type="dxa"/>
              <w:right w:w="115" w:type="dxa"/>
            </w:tcMar>
            <w:vAlign w:val="center"/>
          </w:tcPr>
          <w:p w14:paraId="43E4D296" w14:textId="77777777" w:rsidR="004D1A15" w:rsidRPr="0034707C" w:rsidRDefault="004D1A15" w:rsidP="005C0567">
            <w:pPr>
              <w:rPr>
                <w:b/>
              </w:rPr>
            </w:pPr>
            <w:r>
              <w:rPr>
                <w:b/>
              </w:rPr>
              <w:t>Characteristic, N (%)</w:t>
            </w:r>
          </w:p>
        </w:tc>
        <w:tc>
          <w:tcPr>
            <w:tcW w:w="1092" w:type="pct"/>
            <w:shd w:val="clear" w:color="auto" w:fill="D9D9D9" w:themeFill="background1" w:themeFillShade="D9"/>
            <w:vAlign w:val="center"/>
          </w:tcPr>
          <w:p w14:paraId="3C6FAC7E" w14:textId="77777777" w:rsidR="004D1A15" w:rsidRPr="0034707C" w:rsidRDefault="004D1A15" w:rsidP="005C0567">
            <w:pPr>
              <w:jc w:val="center"/>
              <w:rPr>
                <w:b/>
              </w:rPr>
            </w:pPr>
            <w:r w:rsidRPr="0034707C">
              <w:rPr>
                <w:b/>
              </w:rPr>
              <w:t>Ibrutinib</w:t>
            </w:r>
            <w:r>
              <w:rPr>
                <w:b/>
              </w:rPr>
              <w:t xml:space="preserve"> + OAC</w:t>
            </w:r>
          </w:p>
          <w:p w14:paraId="23393C1C" w14:textId="77777777" w:rsidR="004D1A15" w:rsidRPr="0034707C" w:rsidRDefault="004D1A15" w:rsidP="005C0567">
            <w:pPr>
              <w:jc w:val="center"/>
              <w:rPr>
                <w:b/>
              </w:rPr>
            </w:pPr>
            <w:r w:rsidRPr="0034707C">
              <w:rPr>
                <w:b/>
              </w:rPr>
              <w:t>N = 480</w:t>
            </w:r>
          </w:p>
        </w:tc>
        <w:tc>
          <w:tcPr>
            <w:tcW w:w="1092" w:type="pct"/>
            <w:shd w:val="clear" w:color="auto" w:fill="D9D9D9" w:themeFill="background1" w:themeFillShade="D9"/>
            <w:vAlign w:val="center"/>
          </w:tcPr>
          <w:p w14:paraId="65C3CBF2" w14:textId="77777777" w:rsidR="004D1A15" w:rsidRPr="0034707C" w:rsidRDefault="004D1A15" w:rsidP="005C0567">
            <w:pPr>
              <w:jc w:val="center"/>
              <w:rPr>
                <w:b/>
              </w:rPr>
            </w:pPr>
            <w:proofErr w:type="spellStart"/>
            <w:r>
              <w:rPr>
                <w:b/>
              </w:rPr>
              <w:t>Bendamustine</w:t>
            </w:r>
            <w:proofErr w:type="spellEnd"/>
            <w:r>
              <w:rPr>
                <w:b/>
              </w:rPr>
              <w:t>-Rituximab + OAC</w:t>
            </w:r>
          </w:p>
          <w:p w14:paraId="2373F196" w14:textId="77777777" w:rsidR="004D1A15" w:rsidRPr="0034707C" w:rsidRDefault="004D1A15" w:rsidP="005C0567">
            <w:pPr>
              <w:jc w:val="center"/>
              <w:rPr>
                <w:b/>
              </w:rPr>
            </w:pPr>
            <w:r w:rsidRPr="0034707C">
              <w:rPr>
                <w:b/>
              </w:rPr>
              <w:t>N = 212</w:t>
            </w:r>
          </w:p>
        </w:tc>
      </w:tr>
      <w:tr w:rsidR="004D1A15" w14:paraId="70FD7769" w14:textId="77777777" w:rsidTr="005C0567">
        <w:tc>
          <w:tcPr>
            <w:tcW w:w="2816" w:type="pct"/>
            <w:tcMar>
              <w:left w:w="29" w:type="dxa"/>
              <w:right w:w="115" w:type="dxa"/>
            </w:tcMar>
            <w:vAlign w:val="center"/>
          </w:tcPr>
          <w:p w14:paraId="6F3D5B03" w14:textId="77777777" w:rsidR="004D1A15" w:rsidRPr="00EA50E0" w:rsidRDefault="004D1A15" w:rsidP="005C0567">
            <w:pPr>
              <w:rPr>
                <w:bCs/>
              </w:rPr>
            </w:pPr>
            <w:r>
              <w:rPr>
                <w:bCs/>
              </w:rPr>
              <w:t>Initiation order at cohort entry</w:t>
            </w:r>
          </w:p>
        </w:tc>
        <w:tc>
          <w:tcPr>
            <w:tcW w:w="1092" w:type="pct"/>
            <w:vAlign w:val="center"/>
          </w:tcPr>
          <w:p w14:paraId="1FD96BBE" w14:textId="77777777" w:rsidR="004D1A15" w:rsidRDefault="004D1A15" w:rsidP="005C0567">
            <w:pPr>
              <w:jc w:val="center"/>
            </w:pPr>
          </w:p>
        </w:tc>
        <w:tc>
          <w:tcPr>
            <w:tcW w:w="1092" w:type="pct"/>
            <w:vAlign w:val="center"/>
          </w:tcPr>
          <w:p w14:paraId="73070FFE" w14:textId="77777777" w:rsidR="004D1A15" w:rsidRDefault="004D1A15" w:rsidP="005C0567">
            <w:pPr>
              <w:jc w:val="center"/>
            </w:pPr>
          </w:p>
        </w:tc>
      </w:tr>
      <w:tr w:rsidR="004D1A15" w14:paraId="452A5330" w14:textId="77777777" w:rsidTr="005C0567">
        <w:tc>
          <w:tcPr>
            <w:tcW w:w="2816" w:type="pct"/>
            <w:vAlign w:val="center"/>
          </w:tcPr>
          <w:p w14:paraId="46DAE5F7" w14:textId="77777777" w:rsidR="004D1A15" w:rsidRDefault="004D1A15" w:rsidP="005C0567">
            <w:pPr>
              <w:rPr>
                <w:bCs/>
              </w:rPr>
            </w:pPr>
            <w:r>
              <w:rPr>
                <w:bCs/>
              </w:rPr>
              <w:t>Cancer therapy-triggered</w:t>
            </w:r>
          </w:p>
        </w:tc>
        <w:tc>
          <w:tcPr>
            <w:tcW w:w="1092" w:type="pct"/>
            <w:vAlign w:val="center"/>
          </w:tcPr>
          <w:p w14:paraId="56B50115" w14:textId="77777777" w:rsidR="004D1A15" w:rsidRDefault="004D1A15" w:rsidP="005C0567">
            <w:pPr>
              <w:jc w:val="center"/>
            </w:pPr>
            <w:r>
              <w:t>215 (44.8)</w:t>
            </w:r>
          </w:p>
        </w:tc>
        <w:tc>
          <w:tcPr>
            <w:tcW w:w="1092" w:type="pct"/>
            <w:vAlign w:val="center"/>
          </w:tcPr>
          <w:p w14:paraId="78F75FFD" w14:textId="77777777" w:rsidR="004D1A15" w:rsidRDefault="004D1A15" w:rsidP="005C0567">
            <w:pPr>
              <w:jc w:val="center"/>
            </w:pPr>
            <w:r>
              <w:t>141 (66.5)</w:t>
            </w:r>
          </w:p>
        </w:tc>
      </w:tr>
      <w:tr w:rsidR="004D1A15" w14:paraId="21E748E8" w14:textId="77777777" w:rsidTr="005C0567">
        <w:tc>
          <w:tcPr>
            <w:tcW w:w="2816" w:type="pct"/>
            <w:vAlign w:val="center"/>
          </w:tcPr>
          <w:p w14:paraId="03C63008" w14:textId="77777777" w:rsidR="004D1A15" w:rsidRDefault="004D1A15" w:rsidP="005C0567">
            <w:pPr>
              <w:rPr>
                <w:bCs/>
              </w:rPr>
            </w:pPr>
            <w:r>
              <w:rPr>
                <w:bCs/>
              </w:rPr>
              <w:t>OAC-triggered</w:t>
            </w:r>
          </w:p>
        </w:tc>
        <w:tc>
          <w:tcPr>
            <w:tcW w:w="1092" w:type="pct"/>
            <w:vAlign w:val="center"/>
          </w:tcPr>
          <w:p w14:paraId="652D6358" w14:textId="77777777" w:rsidR="004D1A15" w:rsidRDefault="004D1A15" w:rsidP="005C0567">
            <w:pPr>
              <w:jc w:val="center"/>
            </w:pPr>
            <w:r>
              <w:t>265 (55.2)</w:t>
            </w:r>
          </w:p>
        </w:tc>
        <w:tc>
          <w:tcPr>
            <w:tcW w:w="1092" w:type="pct"/>
            <w:vAlign w:val="center"/>
          </w:tcPr>
          <w:p w14:paraId="194908E7" w14:textId="77777777" w:rsidR="004D1A15" w:rsidRDefault="004D1A15" w:rsidP="005C0567">
            <w:pPr>
              <w:jc w:val="center"/>
            </w:pPr>
            <w:r>
              <w:t>69 (32.6)</w:t>
            </w:r>
          </w:p>
        </w:tc>
      </w:tr>
      <w:tr w:rsidR="004D1A15" w14:paraId="095FF28A" w14:textId="77777777" w:rsidTr="005C0567">
        <w:tc>
          <w:tcPr>
            <w:tcW w:w="2816" w:type="pct"/>
            <w:vAlign w:val="center"/>
          </w:tcPr>
          <w:p w14:paraId="40E4AE98" w14:textId="77777777" w:rsidR="004D1A15" w:rsidRDefault="004D1A15" w:rsidP="005C0567">
            <w:pPr>
              <w:rPr>
                <w:bCs/>
              </w:rPr>
            </w:pPr>
            <w:r>
              <w:rPr>
                <w:bCs/>
              </w:rPr>
              <w:t>Synchronous-triggered</w:t>
            </w:r>
          </w:p>
        </w:tc>
        <w:tc>
          <w:tcPr>
            <w:tcW w:w="1092" w:type="pct"/>
            <w:vAlign w:val="center"/>
          </w:tcPr>
          <w:p w14:paraId="200ACD8B" w14:textId="77777777" w:rsidR="004D1A15" w:rsidRDefault="004D1A15" w:rsidP="005C0567">
            <w:pPr>
              <w:jc w:val="center"/>
            </w:pPr>
            <w:r>
              <w:t>0 (0.0)</w:t>
            </w:r>
          </w:p>
        </w:tc>
        <w:tc>
          <w:tcPr>
            <w:tcW w:w="1092" w:type="pct"/>
            <w:vAlign w:val="center"/>
          </w:tcPr>
          <w:p w14:paraId="597C1C8B" w14:textId="77777777" w:rsidR="004D1A15" w:rsidRDefault="004D1A15" w:rsidP="005C0567">
            <w:pPr>
              <w:jc w:val="center"/>
            </w:pPr>
            <w:r>
              <w:t>2 (0.9)</w:t>
            </w:r>
          </w:p>
        </w:tc>
      </w:tr>
      <w:tr w:rsidR="004D1A15" w14:paraId="3B1DE518" w14:textId="77777777" w:rsidTr="005C0567">
        <w:tc>
          <w:tcPr>
            <w:tcW w:w="2816" w:type="pct"/>
            <w:vAlign w:val="center"/>
          </w:tcPr>
          <w:p w14:paraId="40E85D24" w14:textId="77777777" w:rsidR="004D1A15" w:rsidRDefault="004D1A15" w:rsidP="005C0567">
            <w:pPr>
              <w:rPr>
                <w:bCs/>
              </w:rPr>
            </w:pPr>
          </w:p>
        </w:tc>
        <w:tc>
          <w:tcPr>
            <w:tcW w:w="1092" w:type="pct"/>
            <w:vAlign w:val="center"/>
          </w:tcPr>
          <w:p w14:paraId="2D4A1315" w14:textId="77777777" w:rsidR="004D1A15" w:rsidRDefault="004D1A15" w:rsidP="005C0567">
            <w:pPr>
              <w:jc w:val="center"/>
            </w:pPr>
          </w:p>
        </w:tc>
        <w:tc>
          <w:tcPr>
            <w:tcW w:w="1092" w:type="pct"/>
            <w:vAlign w:val="center"/>
          </w:tcPr>
          <w:p w14:paraId="0DCAE0C7" w14:textId="77777777" w:rsidR="004D1A15" w:rsidRDefault="004D1A15" w:rsidP="005C0567">
            <w:pPr>
              <w:jc w:val="center"/>
            </w:pPr>
          </w:p>
        </w:tc>
      </w:tr>
      <w:tr w:rsidR="004D1A15" w14:paraId="42A79536" w14:textId="77777777" w:rsidTr="005C0567">
        <w:tc>
          <w:tcPr>
            <w:tcW w:w="2816" w:type="pct"/>
            <w:tcMar>
              <w:left w:w="29" w:type="dxa"/>
              <w:right w:w="115" w:type="dxa"/>
            </w:tcMar>
            <w:vAlign w:val="center"/>
          </w:tcPr>
          <w:p w14:paraId="04EAA968" w14:textId="77777777" w:rsidR="004D1A15" w:rsidRDefault="004D1A15" w:rsidP="005C0567">
            <w:pPr>
              <w:rPr>
                <w:bCs/>
              </w:rPr>
            </w:pPr>
            <w:r>
              <w:rPr>
                <w:bCs/>
              </w:rPr>
              <w:t>OAC type</w:t>
            </w:r>
          </w:p>
        </w:tc>
        <w:tc>
          <w:tcPr>
            <w:tcW w:w="1092" w:type="pct"/>
            <w:vAlign w:val="center"/>
          </w:tcPr>
          <w:p w14:paraId="3971AC89" w14:textId="77777777" w:rsidR="004D1A15" w:rsidRDefault="004D1A15" w:rsidP="005C0567">
            <w:pPr>
              <w:jc w:val="center"/>
            </w:pPr>
          </w:p>
        </w:tc>
        <w:tc>
          <w:tcPr>
            <w:tcW w:w="1092" w:type="pct"/>
            <w:vAlign w:val="center"/>
          </w:tcPr>
          <w:p w14:paraId="58F4CE9F" w14:textId="77777777" w:rsidR="004D1A15" w:rsidRDefault="004D1A15" w:rsidP="005C0567">
            <w:pPr>
              <w:jc w:val="center"/>
            </w:pPr>
          </w:p>
        </w:tc>
      </w:tr>
      <w:tr w:rsidR="004D1A15" w14:paraId="36EF6924" w14:textId="77777777" w:rsidTr="005C0567">
        <w:tc>
          <w:tcPr>
            <w:tcW w:w="2816" w:type="pct"/>
            <w:vAlign w:val="center"/>
          </w:tcPr>
          <w:p w14:paraId="3213FE3A" w14:textId="77777777" w:rsidR="004D1A15" w:rsidRDefault="004D1A15" w:rsidP="005C0567">
            <w:pPr>
              <w:rPr>
                <w:bCs/>
              </w:rPr>
            </w:pPr>
            <w:r>
              <w:rPr>
                <w:bCs/>
              </w:rPr>
              <w:t>DOAC</w:t>
            </w:r>
          </w:p>
        </w:tc>
        <w:tc>
          <w:tcPr>
            <w:tcW w:w="1092" w:type="pct"/>
            <w:vAlign w:val="center"/>
          </w:tcPr>
          <w:p w14:paraId="440CC718" w14:textId="77777777" w:rsidR="004D1A15" w:rsidRDefault="004D1A15" w:rsidP="005C0567">
            <w:pPr>
              <w:jc w:val="center"/>
            </w:pPr>
            <w:r>
              <w:t>350 (72.9)</w:t>
            </w:r>
          </w:p>
        </w:tc>
        <w:tc>
          <w:tcPr>
            <w:tcW w:w="1092" w:type="pct"/>
            <w:vAlign w:val="center"/>
          </w:tcPr>
          <w:p w14:paraId="393EBD42" w14:textId="77777777" w:rsidR="004D1A15" w:rsidRDefault="004D1A15" w:rsidP="005C0567">
            <w:pPr>
              <w:jc w:val="center"/>
            </w:pPr>
            <w:r>
              <w:t>125 (59.0)</w:t>
            </w:r>
          </w:p>
        </w:tc>
      </w:tr>
      <w:tr w:rsidR="004D1A15" w14:paraId="743F6AC3" w14:textId="77777777" w:rsidTr="005C0567">
        <w:tc>
          <w:tcPr>
            <w:tcW w:w="2816" w:type="pct"/>
            <w:vAlign w:val="center"/>
          </w:tcPr>
          <w:p w14:paraId="19A14D97" w14:textId="77777777" w:rsidR="004D1A15" w:rsidRDefault="004D1A15" w:rsidP="005C0567">
            <w:pPr>
              <w:rPr>
                <w:bCs/>
              </w:rPr>
            </w:pPr>
            <w:r>
              <w:rPr>
                <w:bCs/>
              </w:rPr>
              <w:t>Warfarin</w:t>
            </w:r>
          </w:p>
        </w:tc>
        <w:tc>
          <w:tcPr>
            <w:tcW w:w="1092" w:type="pct"/>
            <w:vAlign w:val="center"/>
          </w:tcPr>
          <w:p w14:paraId="5C2A6695" w14:textId="77777777" w:rsidR="004D1A15" w:rsidRDefault="004D1A15" w:rsidP="005C0567">
            <w:pPr>
              <w:jc w:val="center"/>
            </w:pPr>
            <w:r>
              <w:t>130 (27.1)</w:t>
            </w:r>
          </w:p>
        </w:tc>
        <w:tc>
          <w:tcPr>
            <w:tcW w:w="1092" w:type="pct"/>
            <w:vAlign w:val="center"/>
          </w:tcPr>
          <w:p w14:paraId="61AE3BF7" w14:textId="77777777" w:rsidR="004D1A15" w:rsidRDefault="004D1A15" w:rsidP="005C0567">
            <w:pPr>
              <w:jc w:val="center"/>
            </w:pPr>
            <w:r>
              <w:t>87 (41.0)</w:t>
            </w:r>
          </w:p>
        </w:tc>
      </w:tr>
      <w:tr w:rsidR="004D1A15" w14:paraId="688A037D" w14:textId="77777777" w:rsidTr="005C0567">
        <w:tc>
          <w:tcPr>
            <w:tcW w:w="2816" w:type="pct"/>
            <w:vAlign w:val="center"/>
          </w:tcPr>
          <w:p w14:paraId="3FEFBA98" w14:textId="77777777" w:rsidR="004D1A15" w:rsidRDefault="004D1A15" w:rsidP="005C0567">
            <w:pPr>
              <w:rPr>
                <w:bCs/>
              </w:rPr>
            </w:pPr>
          </w:p>
        </w:tc>
        <w:tc>
          <w:tcPr>
            <w:tcW w:w="1092" w:type="pct"/>
            <w:vAlign w:val="center"/>
          </w:tcPr>
          <w:p w14:paraId="6AD62784" w14:textId="77777777" w:rsidR="004D1A15" w:rsidRDefault="004D1A15" w:rsidP="005C0567">
            <w:pPr>
              <w:jc w:val="center"/>
            </w:pPr>
          </w:p>
        </w:tc>
        <w:tc>
          <w:tcPr>
            <w:tcW w:w="1092" w:type="pct"/>
            <w:vAlign w:val="center"/>
          </w:tcPr>
          <w:p w14:paraId="34B6EC0A" w14:textId="77777777" w:rsidR="004D1A15" w:rsidRDefault="004D1A15" w:rsidP="005C0567">
            <w:pPr>
              <w:jc w:val="center"/>
            </w:pPr>
          </w:p>
        </w:tc>
      </w:tr>
      <w:tr w:rsidR="004D1A15" w14:paraId="432A4BFE" w14:textId="77777777" w:rsidTr="005C0567">
        <w:tc>
          <w:tcPr>
            <w:tcW w:w="2816" w:type="pct"/>
            <w:shd w:val="clear" w:color="auto" w:fill="D9D9D9" w:themeFill="background1" w:themeFillShade="D9"/>
            <w:tcMar>
              <w:left w:w="29" w:type="dxa"/>
              <w:right w:w="115" w:type="dxa"/>
            </w:tcMar>
            <w:vAlign w:val="center"/>
          </w:tcPr>
          <w:p w14:paraId="11B4B3AC" w14:textId="77777777" w:rsidR="004D1A15" w:rsidRPr="007A779F" w:rsidRDefault="004D1A15" w:rsidP="005C0567">
            <w:pPr>
              <w:rPr>
                <w:b/>
              </w:rPr>
            </w:pPr>
            <w:r w:rsidRPr="007A779F">
              <w:rPr>
                <w:b/>
              </w:rPr>
              <w:t>DOAC Subgroup</w:t>
            </w:r>
          </w:p>
        </w:tc>
        <w:tc>
          <w:tcPr>
            <w:tcW w:w="1092" w:type="pct"/>
            <w:shd w:val="clear" w:color="auto" w:fill="D9D9D9" w:themeFill="background1" w:themeFillShade="D9"/>
            <w:vAlign w:val="center"/>
          </w:tcPr>
          <w:p w14:paraId="5C5D781E" w14:textId="77777777" w:rsidR="004D1A15" w:rsidRPr="007A779F" w:rsidRDefault="004D1A15" w:rsidP="005C0567">
            <w:pPr>
              <w:jc w:val="center"/>
              <w:rPr>
                <w:b/>
              </w:rPr>
            </w:pPr>
            <w:r w:rsidRPr="007A779F">
              <w:rPr>
                <w:b/>
              </w:rPr>
              <w:t>Ibrutinib</w:t>
            </w:r>
            <w:r>
              <w:rPr>
                <w:b/>
              </w:rPr>
              <w:t xml:space="preserve"> + OAC</w:t>
            </w:r>
          </w:p>
          <w:p w14:paraId="08D5FE4E" w14:textId="77777777" w:rsidR="004D1A15" w:rsidRPr="007A779F" w:rsidRDefault="004D1A15" w:rsidP="005C0567">
            <w:pPr>
              <w:jc w:val="center"/>
              <w:rPr>
                <w:b/>
              </w:rPr>
            </w:pPr>
            <w:r w:rsidRPr="007A779F">
              <w:rPr>
                <w:b/>
              </w:rPr>
              <w:t>N = 350</w:t>
            </w:r>
          </w:p>
        </w:tc>
        <w:tc>
          <w:tcPr>
            <w:tcW w:w="1092" w:type="pct"/>
            <w:shd w:val="clear" w:color="auto" w:fill="D9D9D9" w:themeFill="background1" w:themeFillShade="D9"/>
            <w:vAlign w:val="center"/>
          </w:tcPr>
          <w:p w14:paraId="14899CED" w14:textId="77777777" w:rsidR="004D1A15" w:rsidRPr="007A779F" w:rsidRDefault="004D1A15" w:rsidP="005C0567">
            <w:pPr>
              <w:jc w:val="center"/>
              <w:rPr>
                <w:b/>
              </w:rPr>
            </w:pPr>
            <w:proofErr w:type="spellStart"/>
            <w:r w:rsidRPr="007A779F">
              <w:rPr>
                <w:b/>
              </w:rPr>
              <w:t>B</w:t>
            </w:r>
            <w:r>
              <w:rPr>
                <w:b/>
              </w:rPr>
              <w:t>endamustine</w:t>
            </w:r>
            <w:proofErr w:type="spellEnd"/>
            <w:r>
              <w:rPr>
                <w:b/>
              </w:rPr>
              <w:t>-Rituximab + OAC</w:t>
            </w:r>
          </w:p>
          <w:p w14:paraId="7E55F87A" w14:textId="77777777" w:rsidR="004D1A15" w:rsidRPr="007A779F" w:rsidRDefault="004D1A15" w:rsidP="005C0567">
            <w:pPr>
              <w:jc w:val="center"/>
              <w:rPr>
                <w:b/>
              </w:rPr>
            </w:pPr>
            <w:r w:rsidRPr="007A779F">
              <w:rPr>
                <w:b/>
              </w:rPr>
              <w:t>N = 125</w:t>
            </w:r>
          </w:p>
        </w:tc>
      </w:tr>
      <w:tr w:rsidR="004D1A15" w14:paraId="51A8D345" w14:textId="77777777" w:rsidTr="005C0567">
        <w:tc>
          <w:tcPr>
            <w:tcW w:w="2816" w:type="pct"/>
            <w:tcMar>
              <w:left w:w="29" w:type="dxa"/>
              <w:right w:w="115" w:type="dxa"/>
            </w:tcMar>
            <w:vAlign w:val="center"/>
          </w:tcPr>
          <w:p w14:paraId="48B229DD" w14:textId="77777777" w:rsidR="004D1A15" w:rsidRDefault="004D1A15" w:rsidP="005C0567">
            <w:pPr>
              <w:rPr>
                <w:bCs/>
              </w:rPr>
            </w:pPr>
            <w:r>
              <w:rPr>
                <w:bCs/>
              </w:rPr>
              <w:t>DOAC agent</w:t>
            </w:r>
          </w:p>
        </w:tc>
        <w:tc>
          <w:tcPr>
            <w:tcW w:w="1092" w:type="pct"/>
            <w:vAlign w:val="center"/>
          </w:tcPr>
          <w:p w14:paraId="75FCCDE9" w14:textId="77777777" w:rsidR="004D1A15" w:rsidRDefault="004D1A15" w:rsidP="005C0567">
            <w:pPr>
              <w:jc w:val="center"/>
            </w:pPr>
          </w:p>
        </w:tc>
        <w:tc>
          <w:tcPr>
            <w:tcW w:w="1092" w:type="pct"/>
            <w:vAlign w:val="center"/>
          </w:tcPr>
          <w:p w14:paraId="7E74608C" w14:textId="77777777" w:rsidR="004D1A15" w:rsidRDefault="004D1A15" w:rsidP="005C0567">
            <w:pPr>
              <w:jc w:val="center"/>
            </w:pPr>
          </w:p>
        </w:tc>
      </w:tr>
      <w:tr w:rsidR="004D1A15" w14:paraId="77476896" w14:textId="77777777" w:rsidTr="005C0567">
        <w:tc>
          <w:tcPr>
            <w:tcW w:w="2816" w:type="pct"/>
            <w:tcMar>
              <w:left w:w="115" w:type="dxa"/>
              <w:right w:w="115" w:type="dxa"/>
            </w:tcMar>
            <w:vAlign w:val="center"/>
          </w:tcPr>
          <w:p w14:paraId="54BDD402" w14:textId="77777777" w:rsidR="004D1A15" w:rsidRDefault="004D1A15" w:rsidP="005C0567">
            <w:pPr>
              <w:rPr>
                <w:bCs/>
              </w:rPr>
            </w:pPr>
            <w:r>
              <w:rPr>
                <w:bCs/>
              </w:rPr>
              <w:t>Rivaroxaban</w:t>
            </w:r>
          </w:p>
        </w:tc>
        <w:tc>
          <w:tcPr>
            <w:tcW w:w="1092" w:type="pct"/>
            <w:vAlign w:val="center"/>
          </w:tcPr>
          <w:p w14:paraId="117B37AE" w14:textId="77777777" w:rsidR="004D1A15" w:rsidRDefault="004D1A15" w:rsidP="005C0567">
            <w:pPr>
              <w:jc w:val="center"/>
            </w:pPr>
            <w:r>
              <w:t>100 (28.6)</w:t>
            </w:r>
          </w:p>
        </w:tc>
        <w:tc>
          <w:tcPr>
            <w:tcW w:w="1092" w:type="pct"/>
            <w:vAlign w:val="center"/>
          </w:tcPr>
          <w:p w14:paraId="3F13D7B7" w14:textId="77777777" w:rsidR="004D1A15" w:rsidRDefault="004D1A15" w:rsidP="005C0567">
            <w:pPr>
              <w:jc w:val="center"/>
            </w:pPr>
            <w:r>
              <w:t>53 (42.4)</w:t>
            </w:r>
          </w:p>
        </w:tc>
      </w:tr>
      <w:tr w:rsidR="004D1A15" w14:paraId="2E3AC554" w14:textId="77777777" w:rsidTr="005C0567">
        <w:tc>
          <w:tcPr>
            <w:tcW w:w="2816" w:type="pct"/>
            <w:tcMar>
              <w:left w:w="115" w:type="dxa"/>
              <w:right w:w="115" w:type="dxa"/>
            </w:tcMar>
            <w:vAlign w:val="center"/>
          </w:tcPr>
          <w:p w14:paraId="09842BEC" w14:textId="77777777" w:rsidR="004D1A15" w:rsidRDefault="004D1A15" w:rsidP="005C0567">
            <w:pPr>
              <w:rPr>
                <w:bCs/>
              </w:rPr>
            </w:pPr>
            <w:r>
              <w:rPr>
                <w:bCs/>
              </w:rPr>
              <w:t>Apixaban</w:t>
            </w:r>
          </w:p>
        </w:tc>
        <w:tc>
          <w:tcPr>
            <w:tcW w:w="1092" w:type="pct"/>
            <w:vAlign w:val="center"/>
          </w:tcPr>
          <w:p w14:paraId="2E959FBA" w14:textId="77777777" w:rsidR="004D1A15" w:rsidRDefault="004D1A15" w:rsidP="005C0567">
            <w:pPr>
              <w:jc w:val="center"/>
            </w:pPr>
            <w:r>
              <w:t>236 (67.4)</w:t>
            </w:r>
          </w:p>
        </w:tc>
        <w:tc>
          <w:tcPr>
            <w:tcW w:w="1092" w:type="pct"/>
            <w:vAlign w:val="center"/>
          </w:tcPr>
          <w:p w14:paraId="3D1D75BE" w14:textId="77777777" w:rsidR="004D1A15" w:rsidRDefault="004D1A15" w:rsidP="005C0567">
            <w:pPr>
              <w:jc w:val="center"/>
            </w:pPr>
            <w:r>
              <w:t>63 (50.4)</w:t>
            </w:r>
          </w:p>
        </w:tc>
      </w:tr>
      <w:tr w:rsidR="004D1A15" w14:paraId="25D5FB8A" w14:textId="77777777" w:rsidTr="005C0567">
        <w:tc>
          <w:tcPr>
            <w:tcW w:w="2816" w:type="pct"/>
            <w:tcMar>
              <w:left w:w="115" w:type="dxa"/>
              <w:right w:w="115" w:type="dxa"/>
            </w:tcMar>
            <w:vAlign w:val="center"/>
          </w:tcPr>
          <w:p w14:paraId="1FB0F00C" w14:textId="77777777" w:rsidR="004D1A15" w:rsidRDefault="004D1A15" w:rsidP="005C0567">
            <w:pPr>
              <w:rPr>
                <w:bCs/>
              </w:rPr>
            </w:pPr>
            <w:r>
              <w:rPr>
                <w:bCs/>
              </w:rPr>
              <w:t>Dabigatran</w:t>
            </w:r>
          </w:p>
        </w:tc>
        <w:tc>
          <w:tcPr>
            <w:tcW w:w="1092" w:type="pct"/>
            <w:vAlign w:val="center"/>
          </w:tcPr>
          <w:p w14:paraId="61F5CF9A" w14:textId="77777777" w:rsidR="004D1A15" w:rsidRDefault="004D1A15" w:rsidP="005C0567">
            <w:pPr>
              <w:jc w:val="center"/>
            </w:pPr>
            <w:r>
              <w:t>14 (4.0)</w:t>
            </w:r>
          </w:p>
        </w:tc>
        <w:tc>
          <w:tcPr>
            <w:tcW w:w="1092" w:type="pct"/>
            <w:vAlign w:val="center"/>
          </w:tcPr>
          <w:p w14:paraId="2E2A3F95" w14:textId="77777777" w:rsidR="004D1A15" w:rsidRDefault="004D1A15" w:rsidP="005C0567">
            <w:pPr>
              <w:jc w:val="center"/>
            </w:pPr>
            <w:r>
              <w:t>9 (7.2)</w:t>
            </w:r>
          </w:p>
        </w:tc>
      </w:tr>
      <w:tr w:rsidR="004D1A15" w14:paraId="183B55A3" w14:textId="77777777" w:rsidTr="005C0567">
        <w:tc>
          <w:tcPr>
            <w:tcW w:w="2816" w:type="pct"/>
            <w:tcMar>
              <w:left w:w="115" w:type="dxa"/>
              <w:right w:w="115" w:type="dxa"/>
            </w:tcMar>
            <w:vAlign w:val="center"/>
          </w:tcPr>
          <w:p w14:paraId="1D1FB0C1" w14:textId="77777777" w:rsidR="004D1A15" w:rsidRDefault="004D1A15" w:rsidP="005C0567">
            <w:pPr>
              <w:rPr>
                <w:bCs/>
              </w:rPr>
            </w:pPr>
            <w:proofErr w:type="spellStart"/>
            <w:r>
              <w:rPr>
                <w:bCs/>
              </w:rPr>
              <w:t>Edoxaban</w:t>
            </w:r>
            <w:proofErr w:type="spellEnd"/>
          </w:p>
        </w:tc>
        <w:tc>
          <w:tcPr>
            <w:tcW w:w="1092" w:type="pct"/>
            <w:vAlign w:val="center"/>
          </w:tcPr>
          <w:p w14:paraId="63CCAADC" w14:textId="77777777" w:rsidR="004D1A15" w:rsidRDefault="004D1A15" w:rsidP="005C0567">
            <w:pPr>
              <w:jc w:val="center"/>
            </w:pPr>
            <w:r>
              <w:t>0 (0.0)</w:t>
            </w:r>
          </w:p>
        </w:tc>
        <w:tc>
          <w:tcPr>
            <w:tcW w:w="1092" w:type="pct"/>
            <w:vAlign w:val="center"/>
          </w:tcPr>
          <w:p w14:paraId="3DC3B674" w14:textId="77777777" w:rsidR="004D1A15" w:rsidRDefault="004D1A15" w:rsidP="005C0567">
            <w:pPr>
              <w:jc w:val="center"/>
            </w:pPr>
            <w:r>
              <w:t>0 (0.0)</w:t>
            </w:r>
          </w:p>
        </w:tc>
      </w:tr>
      <w:tr w:rsidR="004D1A15" w14:paraId="0E6BF638" w14:textId="77777777" w:rsidTr="005C0567">
        <w:tc>
          <w:tcPr>
            <w:tcW w:w="2816" w:type="pct"/>
            <w:vAlign w:val="center"/>
          </w:tcPr>
          <w:p w14:paraId="37510B5B" w14:textId="77777777" w:rsidR="004D1A15" w:rsidRDefault="004D1A15" w:rsidP="005C0567">
            <w:pPr>
              <w:rPr>
                <w:bCs/>
              </w:rPr>
            </w:pPr>
          </w:p>
        </w:tc>
        <w:tc>
          <w:tcPr>
            <w:tcW w:w="1092" w:type="pct"/>
            <w:vAlign w:val="center"/>
          </w:tcPr>
          <w:p w14:paraId="3B2D844A" w14:textId="77777777" w:rsidR="004D1A15" w:rsidRDefault="004D1A15" w:rsidP="005C0567">
            <w:pPr>
              <w:jc w:val="center"/>
            </w:pPr>
          </w:p>
        </w:tc>
        <w:tc>
          <w:tcPr>
            <w:tcW w:w="1092" w:type="pct"/>
            <w:vAlign w:val="center"/>
          </w:tcPr>
          <w:p w14:paraId="5C38E9BE" w14:textId="77777777" w:rsidR="004D1A15" w:rsidRDefault="004D1A15" w:rsidP="005C0567">
            <w:pPr>
              <w:jc w:val="center"/>
            </w:pPr>
          </w:p>
        </w:tc>
      </w:tr>
      <w:tr w:rsidR="004D1A15" w14:paraId="67811301" w14:textId="77777777" w:rsidTr="005C0567">
        <w:tc>
          <w:tcPr>
            <w:tcW w:w="2816" w:type="pct"/>
            <w:tcMar>
              <w:left w:w="29" w:type="dxa"/>
              <w:right w:w="115" w:type="dxa"/>
            </w:tcMar>
            <w:vAlign w:val="center"/>
          </w:tcPr>
          <w:p w14:paraId="5ED16DCD" w14:textId="77777777" w:rsidR="004D1A15" w:rsidRDefault="004D1A15" w:rsidP="005C0567">
            <w:pPr>
              <w:rPr>
                <w:bCs/>
              </w:rPr>
            </w:pPr>
            <w:r>
              <w:rPr>
                <w:bCs/>
              </w:rPr>
              <w:t>DOAC dose intensity at cohort entry</w:t>
            </w:r>
            <w:r w:rsidRPr="003A796D">
              <w:rPr>
                <w:bCs/>
                <w:vertAlign w:val="superscript"/>
              </w:rPr>
              <w:t>*</w:t>
            </w:r>
          </w:p>
        </w:tc>
        <w:tc>
          <w:tcPr>
            <w:tcW w:w="1092" w:type="pct"/>
            <w:vAlign w:val="center"/>
          </w:tcPr>
          <w:p w14:paraId="236E38CD" w14:textId="77777777" w:rsidR="004D1A15" w:rsidRDefault="004D1A15" w:rsidP="005C0567">
            <w:pPr>
              <w:jc w:val="center"/>
            </w:pPr>
          </w:p>
        </w:tc>
        <w:tc>
          <w:tcPr>
            <w:tcW w:w="1092" w:type="pct"/>
            <w:vAlign w:val="center"/>
          </w:tcPr>
          <w:p w14:paraId="5685D674" w14:textId="77777777" w:rsidR="004D1A15" w:rsidRDefault="004D1A15" w:rsidP="005C0567">
            <w:pPr>
              <w:jc w:val="center"/>
            </w:pPr>
          </w:p>
        </w:tc>
      </w:tr>
      <w:tr w:rsidR="004D1A15" w14:paraId="6FED5EDC" w14:textId="77777777" w:rsidTr="005C0567">
        <w:tc>
          <w:tcPr>
            <w:tcW w:w="2816" w:type="pct"/>
            <w:vAlign w:val="center"/>
          </w:tcPr>
          <w:p w14:paraId="5DC2F8A9" w14:textId="77777777" w:rsidR="004D1A15" w:rsidRDefault="004D1A15" w:rsidP="005C0567">
            <w:pPr>
              <w:rPr>
                <w:bCs/>
              </w:rPr>
            </w:pPr>
            <w:r>
              <w:rPr>
                <w:bCs/>
              </w:rPr>
              <w:t>Low</w:t>
            </w:r>
          </w:p>
        </w:tc>
        <w:tc>
          <w:tcPr>
            <w:tcW w:w="1092" w:type="pct"/>
            <w:vAlign w:val="center"/>
          </w:tcPr>
          <w:p w14:paraId="1BCA496F" w14:textId="77777777" w:rsidR="004D1A15" w:rsidRDefault="004D1A15" w:rsidP="005C0567">
            <w:pPr>
              <w:jc w:val="center"/>
            </w:pPr>
            <w:r>
              <w:t>81 (23.1)</w:t>
            </w:r>
          </w:p>
        </w:tc>
        <w:tc>
          <w:tcPr>
            <w:tcW w:w="1092" w:type="pct"/>
            <w:vAlign w:val="center"/>
          </w:tcPr>
          <w:p w14:paraId="3A6FD93A" w14:textId="77777777" w:rsidR="004D1A15" w:rsidRDefault="004D1A15" w:rsidP="005C0567">
            <w:pPr>
              <w:jc w:val="center"/>
            </w:pPr>
            <w:r>
              <w:t>10 (8.0)</w:t>
            </w:r>
          </w:p>
        </w:tc>
      </w:tr>
      <w:tr w:rsidR="004D1A15" w14:paraId="6F8AA221" w14:textId="77777777" w:rsidTr="005C0567">
        <w:tc>
          <w:tcPr>
            <w:tcW w:w="2816" w:type="pct"/>
            <w:vAlign w:val="center"/>
          </w:tcPr>
          <w:p w14:paraId="005D0122" w14:textId="77777777" w:rsidR="004D1A15" w:rsidRDefault="004D1A15" w:rsidP="005C0567">
            <w:pPr>
              <w:rPr>
                <w:bCs/>
              </w:rPr>
            </w:pPr>
            <w:r>
              <w:rPr>
                <w:bCs/>
              </w:rPr>
              <w:t>High</w:t>
            </w:r>
          </w:p>
        </w:tc>
        <w:tc>
          <w:tcPr>
            <w:tcW w:w="1092" w:type="pct"/>
            <w:vAlign w:val="center"/>
          </w:tcPr>
          <w:p w14:paraId="0B011559" w14:textId="77777777" w:rsidR="004D1A15" w:rsidRDefault="004D1A15" w:rsidP="005C0567">
            <w:pPr>
              <w:jc w:val="center"/>
            </w:pPr>
            <w:r>
              <w:t>269 (76.9)</w:t>
            </w:r>
          </w:p>
        </w:tc>
        <w:tc>
          <w:tcPr>
            <w:tcW w:w="1092" w:type="pct"/>
            <w:vAlign w:val="center"/>
          </w:tcPr>
          <w:p w14:paraId="439CC050" w14:textId="77777777" w:rsidR="004D1A15" w:rsidRDefault="004D1A15" w:rsidP="005C0567">
            <w:pPr>
              <w:jc w:val="center"/>
            </w:pPr>
            <w:r>
              <w:t>115 (92.0)</w:t>
            </w:r>
          </w:p>
        </w:tc>
      </w:tr>
      <w:tr w:rsidR="004D1A15" w14:paraId="7BBDEAA3" w14:textId="77777777" w:rsidTr="005C0567">
        <w:tc>
          <w:tcPr>
            <w:tcW w:w="5000" w:type="pct"/>
            <w:gridSpan w:val="3"/>
            <w:tcMar>
              <w:left w:w="29" w:type="dxa"/>
              <w:right w:w="115" w:type="dxa"/>
            </w:tcMar>
            <w:vAlign w:val="center"/>
          </w:tcPr>
          <w:p w14:paraId="347ABE2E" w14:textId="77777777" w:rsidR="004D1A15" w:rsidRDefault="004D1A15" w:rsidP="005C0567">
            <w:pPr>
              <w:rPr>
                <w:sz w:val="20"/>
                <w:szCs w:val="20"/>
              </w:rPr>
            </w:pPr>
            <w:r>
              <w:rPr>
                <w:sz w:val="20"/>
                <w:szCs w:val="20"/>
              </w:rPr>
              <w:t>DOAC = direct oral anticoagulant; OAC = oral anticoagulant</w:t>
            </w:r>
          </w:p>
          <w:p w14:paraId="63DEBDA8" w14:textId="77777777" w:rsidR="004D1A15" w:rsidRDefault="004D1A15" w:rsidP="005C0567">
            <w:pPr>
              <w:rPr>
                <w:sz w:val="20"/>
                <w:szCs w:val="20"/>
              </w:rPr>
            </w:pPr>
          </w:p>
          <w:p w14:paraId="731EB2CA" w14:textId="47B446D5" w:rsidR="004D1A15" w:rsidRDefault="004D1A15" w:rsidP="005C0567">
            <w:r>
              <w:rPr>
                <w:sz w:val="20"/>
                <w:szCs w:val="20"/>
              </w:rPr>
              <w:t xml:space="preserve">*  See </w:t>
            </w:r>
            <w:r w:rsidRPr="0008698C">
              <w:rPr>
                <w:b/>
                <w:bCs/>
                <w:sz w:val="20"/>
                <w:szCs w:val="20"/>
              </w:rPr>
              <w:t xml:space="preserve">Supplementary Table </w:t>
            </w:r>
            <w:r w:rsidR="005562EA">
              <w:rPr>
                <w:b/>
                <w:bCs/>
                <w:sz w:val="20"/>
                <w:szCs w:val="20"/>
              </w:rPr>
              <w:t>3</w:t>
            </w:r>
            <w:r>
              <w:rPr>
                <w:sz w:val="20"/>
                <w:szCs w:val="20"/>
              </w:rPr>
              <w:t xml:space="preserve"> for DOAC dose intensity categories</w:t>
            </w:r>
          </w:p>
        </w:tc>
      </w:tr>
    </w:tbl>
    <w:p w14:paraId="3FDF67C6" w14:textId="77777777" w:rsidR="004D1A15" w:rsidRDefault="004D1A15">
      <w:pPr>
        <w:rPr>
          <w:rFonts w:cs="Times New Roman"/>
          <w:b/>
          <w:bCs/>
          <w:szCs w:val="24"/>
        </w:rPr>
      </w:pPr>
      <w:r>
        <w:rPr>
          <w:rFonts w:cs="Times New Roman"/>
          <w:b/>
          <w:bCs/>
          <w:szCs w:val="24"/>
        </w:rPr>
        <w:br w:type="page"/>
      </w:r>
    </w:p>
    <w:p w14:paraId="789CFACE" w14:textId="77777777" w:rsidR="004D1A15" w:rsidRDefault="004D1A15" w:rsidP="0065057A">
      <w:pPr>
        <w:spacing w:after="0"/>
        <w:rPr>
          <w:rFonts w:cs="Times New Roman"/>
          <w:b/>
          <w:bCs/>
          <w:szCs w:val="24"/>
        </w:rPr>
      </w:pPr>
      <w:r>
        <w:rPr>
          <w:rFonts w:cs="Times New Roman"/>
          <w:b/>
          <w:bCs/>
          <w:szCs w:val="24"/>
        </w:rPr>
        <w:lastRenderedPageBreak/>
        <w:t>Supplementary Table 8. Crude incidence rates for major, clinically-relevant, and provider-diagnosed bleeding by individual OAC agent.</w:t>
      </w:r>
    </w:p>
    <w:tbl>
      <w:tblPr>
        <w:tblStyle w:val="TableGrid"/>
        <w:tblW w:w="0" w:type="auto"/>
        <w:tblLook w:val="04A0" w:firstRow="1" w:lastRow="0" w:firstColumn="1" w:lastColumn="0" w:noHBand="0" w:noVBand="1"/>
      </w:tblPr>
      <w:tblGrid>
        <w:gridCol w:w="3091"/>
        <w:gridCol w:w="3005"/>
        <w:gridCol w:w="3254"/>
      </w:tblGrid>
      <w:tr w:rsidR="004D1A15" w14:paraId="28A4DDFA" w14:textId="77777777" w:rsidTr="007411E6">
        <w:tc>
          <w:tcPr>
            <w:tcW w:w="4316" w:type="dxa"/>
            <w:shd w:val="clear" w:color="auto" w:fill="D9D9D9" w:themeFill="background1" w:themeFillShade="D9"/>
            <w:tcMar>
              <w:left w:w="29" w:type="dxa"/>
              <w:right w:w="115" w:type="dxa"/>
            </w:tcMar>
            <w:vAlign w:val="center"/>
          </w:tcPr>
          <w:p w14:paraId="394EB5E9" w14:textId="77777777" w:rsidR="004D1A15" w:rsidRDefault="004D1A15" w:rsidP="00773ADE">
            <w:pPr>
              <w:rPr>
                <w:b/>
                <w:bCs/>
              </w:rPr>
            </w:pPr>
            <w:r>
              <w:rPr>
                <w:b/>
                <w:bCs/>
              </w:rPr>
              <w:t>Measure of outcome occurrence</w:t>
            </w:r>
            <w:r w:rsidRPr="00916B2C">
              <w:rPr>
                <w:b/>
                <w:bCs/>
                <w:vertAlign w:val="superscript"/>
              </w:rPr>
              <w:t>*</w:t>
            </w:r>
          </w:p>
        </w:tc>
        <w:tc>
          <w:tcPr>
            <w:tcW w:w="8634" w:type="dxa"/>
            <w:gridSpan w:val="2"/>
            <w:shd w:val="clear" w:color="auto" w:fill="D9D9D9" w:themeFill="background1" w:themeFillShade="D9"/>
            <w:vAlign w:val="center"/>
          </w:tcPr>
          <w:p w14:paraId="1BA575E7" w14:textId="77777777" w:rsidR="004D1A15" w:rsidRDefault="004D1A15" w:rsidP="00773ADE">
            <w:pPr>
              <w:jc w:val="center"/>
              <w:rPr>
                <w:b/>
                <w:bCs/>
              </w:rPr>
            </w:pPr>
            <w:r>
              <w:rPr>
                <w:b/>
                <w:bCs/>
              </w:rPr>
              <w:t>Crude Incidence Rate, per 100 person-years</w:t>
            </w:r>
          </w:p>
          <w:p w14:paraId="35A8D29F" w14:textId="77777777" w:rsidR="004D1A15" w:rsidRDefault="004D1A15" w:rsidP="00773ADE">
            <w:pPr>
              <w:jc w:val="center"/>
              <w:rPr>
                <w:b/>
                <w:bCs/>
              </w:rPr>
            </w:pPr>
            <w:r>
              <w:rPr>
                <w:b/>
                <w:bCs/>
              </w:rPr>
              <w:t>(95% Confidence Interval)</w:t>
            </w:r>
          </w:p>
        </w:tc>
      </w:tr>
      <w:tr w:rsidR="004D1A15" w14:paraId="0401B162" w14:textId="77777777" w:rsidTr="007411E6">
        <w:tc>
          <w:tcPr>
            <w:tcW w:w="4316" w:type="dxa"/>
            <w:shd w:val="clear" w:color="auto" w:fill="D9D9D9" w:themeFill="background1" w:themeFillShade="D9"/>
            <w:tcMar>
              <w:left w:w="29" w:type="dxa"/>
              <w:right w:w="115" w:type="dxa"/>
            </w:tcMar>
            <w:vAlign w:val="center"/>
          </w:tcPr>
          <w:p w14:paraId="57E48CD8" w14:textId="77777777" w:rsidR="004D1A15" w:rsidRDefault="004D1A15" w:rsidP="00773ADE">
            <w:pPr>
              <w:rPr>
                <w:b/>
                <w:bCs/>
              </w:rPr>
            </w:pPr>
          </w:p>
        </w:tc>
        <w:tc>
          <w:tcPr>
            <w:tcW w:w="4317" w:type="dxa"/>
            <w:shd w:val="clear" w:color="auto" w:fill="D9D9D9" w:themeFill="background1" w:themeFillShade="D9"/>
            <w:vAlign w:val="center"/>
          </w:tcPr>
          <w:p w14:paraId="75FC302E" w14:textId="77777777" w:rsidR="004D1A15" w:rsidRDefault="004D1A15" w:rsidP="00773ADE">
            <w:pPr>
              <w:jc w:val="center"/>
              <w:rPr>
                <w:b/>
                <w:bCs/>
              </w:rPr>
            </w:pPr>
            <w:r>
              <w:rPr>
                <w:b/>
                <w:bCs/>
              </w:rPr>
              <w:t>Ibrutinib + OAC</w:t>
            </w:r>
          </w:p>
        </w:tc>
        <w:tc>
          <w:tcPr>
            <w:tcW w:w="4317" w:type="dxa"/>
            <w:shd w:val="clear" w:color="auto" w:fill="D9D9D9" w:themeFill="background1" w:themeFillShade="D9"/>
            <w:vAlign w:val="center"/>
          </w:tcPr>
          <w:p w14:paraId="66D13C43" w14:textId="77777777" w:rsidR="004D1A15" w:rsidRDefault="004D1A15" w:rsidP="00773ADE">
            <w:pPr>
              <w:jc w:val="center"/>
              <w:rPr>
                <w:b/>
                <w:bCs/>
              </w:rPr>
            </w:pPr>
            <w:proofErr w:type="spellStart"/>
            <w:r>
              <w:rPr>
                <w:b/>
                <w:bCs/>
              </w:rPr>
              <w:t>Bendamustine</w:t>
            </w:r>
            <w:proofErr w:type="spellEnd"/>
            <w:r>
              <w:rPr>
                <w:b/>
                <w:bCs/>
              </w:rPr>
              <w:t>-Rituximab + OAC</w:t>
            </w:r>
          </w:p>
        </w:tc>
      </w:tr>
      <w:tr w:rsidR="004D1A15" w14:paraId="6A651C27" w14:textId="77777777" w:rsidTr="007411E6">
        <w:tc>
          <w:tcPr>
            <w:tcW w:w="4316" w:type="dxa"/>
            <w:shd w:val="clear" w:color="auto" w:fill="D9D9D9" w:themeFill="background1" w:themeFillShade="D9"/>
            <w:tcMar>
              <w:left w:w="29" w:type="dxa"/>
              <w:right w:w="115" w:type="dxa"/>
            </w:tcMar>
            <w:vAlign w:val="center"/>
          </w:tcPr>
          <w:p w14:paraId="4FFEA450" w14:textId="77777777" w:rsidR="004D1A15" w:rsidRDefault="004D1A15" w:rsidP="00773ADE">
            <w:pPr>
              <w:rPr>
                <w:b/>
                <w:bCs/>
              </w:rPr>
            </w:pPr>
            <w:r>
              <w:rPr>
                <w:b/>
                <w:bCs/>
              </w:rPr>
              <w:t>Major bleeding</w:t>
            </w:r>
          </w:p>
        </w:tc>
        <w:tc>
          <w:tcPr>
            <w:tcW w:w="4317" w:type="dxa"/>
            <w:shd w:val="clear" w:color="auto" w:fill="D9D9D9" w:themeFill="background1" w:themeFillShade="D9"/>
            <w:vAlign w:val="center"/>
          </w:tcPr>
          <w:p w14:paraId="76F2753D" w14:textId="77777777" w:rsidR="004D1A15" w:rsidRDefault="004D1A15" w:rsidP="00773ADE">
            <w:pPr>
              <w:jc w:val="center"/>
              <w:rPr>
                <w:b/>
                <w:bCs/>
              </w:rPr>
            </w:pPr>
          </w:p>
        </w:tc>
        <w:tc>
          <w:tcPr>
            <w:tcW w:w="4317" w:type="dxa"/>
            <w:shd w:val="clear" w:color="auto" w:fill="D9D9D9" w:themeFill="background1" w:themeFillShade="D9"/>
            <w:vAlign w:val="center"/>
          </w:tcPr>
          <w:p w14:paraId="4E889FBE" w14:textId="77777777" w:rsidR="004D1A15" w:rsidRDefault="004D1A15" w:rsidP="00773ADE">
            <w:pPr>
              <w:jc w:val="center"/>
              <w:rPr>
                <w:b/>
                <w:bCs/>
              </w:rPr>
            </w:pPr>
          </w:p>
        </w:tc>
      </w:tr>
      <w:tr w:rsidR="004D1A15" w14:paraId="378DBE1F" w14:textId="77777777" w:rsidTr="007411E6">
        <w:tc>
          <w:tcPr>
            <w:tcW w:w="4316" w:type="dxa"/>
            <w:tcMar>
              <w:left w:w="29" w:type="dxa"/>
              <w:right w:w="115" w:type="dxa"/>
            </w:tcMar>
            <w:vAlign w:val="center"/>
          </w:tcPr>
          <w:p w14:paraId="43F60618" w14:textId="77777777" w:rsidR="004D1A15" w:rsidRPr="00773ADE" w:rsidRDefault="004D1A15" w:rsidP="00773ADE">
            <w:r w:rsidRPr="00773ADE">
              <w:t>Warfarin</w:t>
            </w:r>
          </w:p>
        </w:tc>
        <w:tc>
          <w:tcPr>
            <w:tcW w:w="4317" w:type="dxa"/>
            <w:vAlign w:val="center"/>
          </w:tcPr>
          <w:p w14:paraId="50549F35" w14:textId="77777777" w:rsidR="004D1A15" w:rsidRDefault="004D1A15" w:rsidP="00773ADE">
            <w:pPr>
              <w:jc w:val="center"/>
              <w:rPr>
                <w:b/>
                <w:bCs/>
              </w:rPr>
            </w:pPr>
            <w:r>
              <w:t>27.9 (13.2 – 58.7)</w:t>
            </w:r>
          </w:p>
        </w:tc>
        <w:tc>
          <w:tcPr>
            <w:tcW w:w="4317" w:type="dxa"/>
            <w:vAlign w:val="center"/>
          </w:tcPr>
          <w:p w14:paraId="596CA1F3" w14:textId="77777777" w:rsidR="004D1A15" w:rsidRDefault="004D1A15" w:rsidP="00773ADE">
            <w:pPr>
              <w:jc w:val="center"/>
              <w:rPr>
                <w:b/>
                <w:bCs/>
              </w:rPr>
            </w:pPr>
            <w:r>
              <w:t>0 (0 – 0)</w:t>
            </w:r>
          </w:p>
        </w:tc>
      </w:tr>
      <w:tr w:rsidR="004D1A15" w14:paraId="7D60636D" w14:textId="77777777" w:rsidTr="007411E6">
        <w:tc>
          <w:tcPr>
            <w:tcW w:w="4316" w:type="dxa"/>
            <w:tcMar>
              <w:left w:w="29" w:type="dxa"/>
              <w:right w:w="115" w:type="dxa"/>
            </w:tcMar>
            <w:vAlign w:val="center"/>
          </w:tcPr>
          <w:p w14:paraId="53C372BE" w14:textId="77777777" w:rsidR="004D1A15" w:rsidRPr="00773ADE" w:rsidRDefault="004D1A15" w:rsidP="00773ADE">
            <w:r>
              <w:t>Rivaroxaban</w:t>
            </w:r>
          </w:p>
        </w:tc>
        <w:tc>
          <w:tcPr>
            <w:tcW w:w="4317" w:type="dxa"/>
            <w:vAlign w:val="center"/>
          </w:tcPr>
          <w:p w14:paraId="0C15C7CE" w14:textId="77777777" w:rsidR="004D1A15" w:rsidRDefault="004D1A15" w:rsidP="00773ADE">
            <w:pPr>
              <w:jc w:val="center"/>
              <w:rPr>
                <w:b/>
                <w:bCs/>
              </w:rPr>
            </w:pPr>
            <w:r>
              <w:t>15.4 (4.3 – 55.0)</w:t>
            </w:r>
          </w:p>
        </w:tc>
        <w:tc>
          <w:tcPr>
            <w:tcW w:w="4317" w:type="dxa"/>
            <w:vAlign w:val="center"/>
          </w:tcPr>
          <w:p w14:paraId="3A9EE913" w14:textId="77777777" w:rsidR="004D1A15" w:rsidRDefault="004D1A15" w:rsidP="00773ADE">
            <w:pPr>
              <w:jc w:val="center"/>
              <w:rPr>
                <w:b/>
                <w:bCs/>
              </w:rPr>
            </w:pPr>
            <w:r>
              <w:t>0 (0 – 0)</w:t>
            </w:r>
          </w:p>
        </w:tc>
      </w:tr>
      <w:tr w:rsidR="004D1A15" w14:paraId="4C9C5408" w14:textId="77777777" w:rsidTr="007411E6">
        <w:tc>
          <w:tcPr>
            <w:tcW w:w="4316" w:type="dxa"/>
            <w:tcMar>
              <w:left w:w="29" w:type="dxa"/>
              <w:right w:w="115" w:type="dxa"/>
            </w:tcMar>
            <w:vAlign w:val="center"/>
          </w:tcPr>
          <w:p w14:paraId="75D35184" w14:textId="77777777" w:rsidR="004D1A15" w:rsidRPr="00773ADE" w:rsidRDefault="004D1A15" w:rsidP="00773ADE">
            <w:r>
              <w:t>Apixaban</w:t>
            </w:r>
          </w:p>
        </w:tc>
        <w:tc>
          <w:tcPr>
            <w:tcW w:w="4317" w:type="dxa"/>
            <w:vAlign w:val="center"/>
          </w:tcPr>
          <w:p w14:paraId="46EB3E26" w14:textId="77777777" w:rsidR="004D1A15" w:rsidRDefault="004D1A15" w:rsidP="00773ADE">
            <w:pPr>
              <w:jc w:val="center"/>
              <w:rPr>
                <w:b/>
                <w:bCs/>
              </w:rPr>
            </w:pPr>
            <w:r>
              <w:t>5.2 (1.4 – 20.2)</w:t>
            </w:r>
          </w:p>
        </w:tc>
        <w:tc>
          <w:tcPr>
            <w:tcW w:w="4317" w:type="dxa"/>
            <w:vAlign w:val="center"/>
          </w:tcPr>
          <w:p w14:paraId="49BC01C2" w14:textId="77777777" w:rsidR="004D1A15" w:rsidRDefault="004D1A15" w:rsidP="00773ADE">
            <w:pPr>
              <w:jc w:val="center"/>
              <w:rPr>
                <w:b/>
                <w:bCs/>
              </w:rPr>
            </w:pPr>
            <w:r>
              <w:t>0 (0 – 0)</w:t>
            </w:r>
          </w:p>
        </w:tc>
      </w:tr>
      <w:tr w:rsidR="004D1A15" w14:paraId="2BE40E98" w14:textId="77777777" w:rsidTr="007411E6">
        <w:tc>
          <w:tcPr>
            <w:tcW w:w="4316" w:type="dxa"/>
            <w:tcMar>
              <w:left w:w="29" w:type="dxa"/>
              <w:right w:w="115" w:type="dxa"/>
            </w:tcMar>
            <w:vAlign w:val="center"/>
          </w:tcPr>
          <w:p w14:paraId="2450879B" w14:textId="77777777" w:rsidR="004D1A15" w:rsidRPr="00773ADE" w:rsidRDefault="004D1A15" w:rsidP="00773ADE">
            <w:r>
              <w:t>Dabigatran</w:t>
            </w:r>
          </w:p>
        </w:tc>
        <w:tc>
          <w:tcPr>
            <w:tcW w:w="4317" w:type="dxa"/>
            <w:vAlign w:val="center"/>
          </w:tcPr>
          <w:p w14:paraId="406F10D6" w14:textId="77777777" w:rsidR="004D1A15" w:rsidRDefault="004D1A15" w:rsidP="00773ADE">
            <w:pPr>
              <w:jc w:val="center"/>
              <w:rPr>
                <w:b/>
                <w:bCs/>
              </w:rPr>
            </w:pPr>
            <w:r>
              <w:t>0 (0 – 0)</w:t>
            </w:r>
          </w:p>
        </w:tc>
        <w:tc>
          <w:tcPr>
            <w:tcW w:w="4317" w:type="dxa"/>
            <w:vAlign w:val="center"/>
          </w:tcPr>
          <w:p w14:paraId="7FE5BF2D" w14:textId="77777777" w:rsidR="004D1A15" w:rsidRDefault="004D1A15" w:rsidP="00773ADE">
            <w:pPr>
              <w:jc w:val="center"/>
              <w:rPr>
                <w:b/>
                <w:bCs/>
              </w:rPr>
            </w:pPr>
            <w:r>
              <w:t>0 (0 – 0)</w:t>
            </w:r>
          </w:p>
        </w:tc>
      </w:tr>
      <w:tr w:rsidR="004D1A15" w14:paraId="68D735DC" w14:textId="77777777" w:rsidTr="007411E6">
        <w:tc>
          <w:tcPr>
            <w:tcW w:w="4316" w:type="dxa"/>
            <w:shd w:val="clear" w:color="auto" w:fill="D9D9D9" w:themeFill="background1" w:themeFillShade="D9"/>
            <w:tcMar>
              <w:left w:w="29" w:type="dxa"/>
              <w:right w:w="115" w:type="dxa"/>
            </w:tcMar>
            <w:vAlign w:val="center"/>
          </w:tcPr>
          <w:p w14:paraId="6710B0C3" w14:textId="77777777" w:rsidR="004D1A15" w:rsidRPr="00773ADE" w:rsidRDefault="004D1A15" w:rsidP="00773ADE">
            <w:r>
              <w:rPr>
                <w:b/>
                <w:bCs/>
              </w:rPr>
              <w:t>Clinically-relevant bleeding</w:t>
            </w:r>
          </w:p>
        </w:tc>
        <w:tc>
          <w:tcPr>
            <w:tcW w:w="4317" w:type="dxa"/>
            <w:shd w:val="clear" w:color="auto" w:fill="D9D9D9" w:themeFill="background1" w:themeFillShade="D9"/>
            <w:vAlign w:val="center"/>
          </w:tcPr>
          <w:p w14:paraId="065A16FD" w14:textId="77777777" w:rsidR="004D1A15" w:rsidRDefault="004D1A15" w:rsidP="00773ADE">
            <w:pPr>
              <w:jc w:val="center"/>
              <w:rPr>
                <w:b/>
                <w:bCs/>
              </w:rPr>
            </w:pPr>
          </w:p>
        </w:tc>
        <w:tc>
          <w:tcPr>
            <w:tcW w:w="4317" w:type="dxa"/>
            <w:shd w:val="clear" w:color="auto" w:fill="D9D9D9" w:themeFill="background1" w:themeFillShade="D9"/>
            <w:vAlign w:val="center"/>
          </w:tcPr>
          <w:p w14:paraId="49309BD6" w14:textId="77777777" w:rsidR="004D1A15" w:rsidRDefault="004D1A15" w:rsidP="00773ADE">
            <w:pPr>
              <w:jc w:val="center"/>
              <w:rPr>
                <w:b/>
                <w:bCs/>
              </w:rPr>
            </w:pPr>
          </w:p>
        </w:tc>
      </w:tr>
      <w:tr w:rsidR="004D1A15" w14:paraId="44281518" w14:textId="77777777" w:rsidTr="007411E6">
        <w:tc>
          <w:tcPr>
            <w:tcW w:w="4316" w:type="dxa"/>
            <w:tcMar>
              <w:left w:w="29" w:type="dxa"/>
              <w:right w:w="115" w:type="dxa"/>
            </w:tcMar>
            <w:vAlign w:val="center"/>
          </w:tcPr>
          <w:p w14:paraId="233A1FF3" w14:textId="77777777" w:rsidR="004D1A15" w:rsidRDefault="004D1A15" w:rsidP="00773ADE">
            <w:r>
              <w:t>Warfarin</w:t>
            </w:r>
          </w:p>
        </w:tc>
        <w:tc>
          <w:tcPr>
            <w:tcW w:w="4317" w:type="dxa"/>
            <w:vAlign w:val="center"/>
          </w:tcPr>
          <w:p w14:paraId="07E87DC1" w14:textId="77777777" w:rsidR="004D1A15" w:rsidRDefault="004D1A15" w:rsidP="00773ADE">
            <w:pPr>
              <w:jc w:val="center"/>
              <w:rPr>
                <w:b/>
                <w:bCs/>
              </w:rPr>
            </w:pPr>
            <w:r>
              <w:t>39.3 (22.1 – 70.0)</w:t>
            </w:r>
          </w:p>
        </w:tc>
        <w:tc>
          <w:tcPr>
            <w:tcW w:w="4317" w:type="dxa"/>
            <w:vAlign w:val="center"/>
          </w:tcPr>
          <w:p w14:paraId="7D2D0BBC" w14:textId="77777777" w:rsidR="004D1A15" w:rsidRDefault="004D1A15" w:rsidP="00773ADE">
            <w:pPr>
              <w:jc w:val="center"/>
              <w:rPr>
                <w:b/>
                <w:bCs/>
              </w:rPr>
            </w:pPr>
            <w:r>
              <w:t>5.9 (0.9 – 39.6)</w:t>
            </w:r>
          </w:p>
        </w:tc>
      </w:tr>
      <w:tr w:rsidR="004D1A15" w14:paraId="60C4C6DE" w14:textId="77777777" w:rsidTr="007411E6">
        <w:tc>
          <w:tcPr>
            <w:tcW w:w="4316" w:type="dxa"/>
            <w:tcMar>
              <w:left w:w="29" w:type="dxa"/>
              <w:right w:w="115" w:type="dxa"/>
            </w:tcMar>
            <w:vAlign w:val="center"/>
          </w:tcPr>
          <w:p w14:paraId="50BE25D7" w14:textId="77777777" w:rsidR="004D1A15" w:rsidRDefault="004D1A15" w:rsidP="00773ADE">
            <w:r>
              <w:t>Rivaroxaban</w:t>
            </w:r>
          </w:p>
        </w:tc>
        <w:tc>
          <w:tcPr>
            <w:tcW w:w="4317" w:type="dxa"/>
            <w:vAlign w:val="center"/>
          </w:tcPr>
          <w:p w14:paraId="29BE8711" w14:textId="77777777" w:rsidR="004D1A15" w:rsidRDefault="004D1A15" w:rsidP="00773ADE">
            <w:pPr>
              <w:jc w:val="center"/>
              <w:rPr>
                <w:b/>
                <w:bCs/>
              </w:rPr>
            </w:pPr>
            <w:r>
              <w:t>47.4 (26.5 – 84.7)</w:t>
            </w:r>
          </w:p>
        </w:tc>
        <w:tc>
          <w:tcPr>
            <w:tcW w:w="4317" w:type="dxa"/>
            <w:vAlign w:val="center"/>
          </w:tcPr>
          <w:p w14:paraId="0D50687A" w14:textId="77777777" w:rsidR="004D1A15" w:rsidRDefault="004D1A15" w:rsidP="00773ADE">
            <w:pPr>
              <w:jc w:val="center"/>
              <w:rPr>
                <w:b/>
                <w:bCs/>
              </w:rPr>
            </w:pPr>
            <w:r>
              <w:t>22.3 (6.6 – 75.7)</w:t>
            </w:r>
          </w:p>
        </w:tc>
      </w:tr>
      <w:tr w:rsidR="004D1A15" w14:paraId="5B077A1D" w14:textId="77777777" w:rsidTr="007411E6">
        <w:tc>
          <w:tcPr>
            <w:tcW w:w="4316" w:type="dxa"/>
            <w:tcMar>
              <w:left w:w="29" w:type="dxa"/>
              <w:right w:w="115" w:type="dxa"/>
            </w:tcMar>
            <w:vAlign w:val="center"/>
          </w:tcPr>
          <w:p w14:paraId="780E157A" w14:textId="77777777" w:rsidR="004D1A15" w:rsidRDefault="004D1A15" w:rsidP="00773ADE">
            <w:r>
              <w:t>Apixaban</w:t>
            </w:r>
          </w:p>
        </w:tc>
        <w:tc>
          <w:tcPr>
            <w:tcW w:w="4317" w:type="dxa"/>
            <w:vAlign w:val="center"/>
          </w:tcPr>
          <w:p w14:paraId="4F5AD990" w14:textId="77777777" w:rsidR="004D1A15" w:rsidRDefault="004D1A15" w:rsidP="00773ADE">
            <w:pPr>
              <w:jc w:val="center"/>
              <w:rPr>
                <w:b/>
                <w:bCs/>
              </w:rPr>
            </w:pPr>
            <w:r>
              <w:t>15.8 (7.6 – 32.9)</w:t>
            </w:r>
          </w:p>
        </w:tc>
        <w:tc>
          <w:tcPr>
            <w:tcW w:w="4317" w:type="dxa"/>
            <w:vAlign w:val="center"/>
          </w:tcPr>
          <w:p w14:paraId="6B59470C" w14:textId="77777777" w:rsidR="004D1A15" w:rsidRDefault="004D1A15" w:rsidP="00773ADE">
            <w:pPr>
              <w:jc w:val="center"/>
              <w:rPr>
                <w:b/>
                <w:bCs/>
              </w:rPr>
            </w:pPr>
            <w:r>
              <w:t>0 (0 – 0)</w:t>
            </w:r>
          </w:p>
        </w:tc>
      </w:tr>
      <w:tr w:rsidR="004D1A15" w14:paraId="132FFBA7" w14:textId="77777777" w:rsidTr="007411E6">
        <w:tc>
          <w:tcPr>
            <w:tcW w:w="4316" w:type="dxa"/>
            <w:tcMar>
              <w:left w:w="29" w:type="dxa"/>
              <w:right w:w="115" w:type="dxa"/>
            </w:tcMar>
            <w:vAlign w:val="center"/>
          </w:tcPr>
          <w:p w14:paraId="48E493F6" w14:textId="77777777" w:rsidR="004D1A15" w:rsidRDefault="004D1A15" w:rsidP="00773ADE">
            <w:r>
              <w:t>Dabigatran</w:t>
            </w:r>
          </w:p>
        </w:tc>
        <w:tc>
          <w:tcPr>
            <w:tcW w:w="4317" w:type="dxa"/>
            <w:vAlign w:val="center"/>
          </w:tcPr>
          <w:p w14:paraId="040D0DA7" w14:textId="77777777" w:rsidR="004D1A15" w:rsidRDefault="004D1A15" w:rsidP="00773ADE">
            <w:pPr>
              <w:jc w:val="center"/>
              <w:rPr>
                <w:b/>
                <w:bCs/>
              </w:rPr>
            </w:pPr>
            <w:r>
              <w:t>0 (0 – 0)</w:t>
            </w:r>
          </w:p>
        </w:tc>
        <w:tc>
          <w:tcPr>
            <w:tcW w:w="4317" w:type="dxa"/>
            <w:vAlign w:val="center"/>
          </w:tcPr>
          <w:p w14:paraId="03D16583" w14:textId="77777777" w:rsidR="004D1A15" w:rsidRDefault="004D1A15" w:rsidP="00773ADE">
            <w:pPr>
              <w:jc w:val="center"/>
              <w:rPr>
                <w:b/>
                <w:bCs/>
              </w:rPr>
            </w:pPr>
            <w:r>
              <w:t>0 (0 – 0)</w:t>
            </w:r>
          </w:p>
        </w:tc>
      </w:tr>
      <w:tr w:rsidR="004D1A15" w14:paraId="66452949" w14:textId="77777777" w:rsidTr="007411E6">
        <w:tc>
          <w:tcPr>
            <w:tcW w:w="4316" w:type="dxa"/>
            <w:shd w:val="clear" w:color="auto" w:fill="D9D9D9" w:themeFill="background1" w:themeFillShade="D9"/>
            <w:tcMar>
              <w:left w:w="29" w:type="dxa"/>
              <w:right w:w="115" w:type="dxa"/>
            </w:tcMar>
            <w:vAlign w:val="center"/>
          </w:tcPr>
          <w:p w14:paraId="32D5FDD3" w14:textId="77777777" w:rsidR="004D1A15" w:rsidRPr="00773ADE" w:rsidRDefault="004D1A15" w:rsidP="00773ADE">
            <w:r>
              <w:rPr>
                <w:b/>
                <w:bCs/>
              </w:rPr>
              <w:t>Provider-diagnosed bleeding</w:t>
            </w:r>
          </w:p>
        </w:tc>
        <w:tc>
          <w:tcPr>
            <w:tcW w:w="4317" w:type="dxa"/>
            <w:shd w:val="clear" w:color="auto" w:fill="D9D9D9" w:themeFill="background1" w:themeFillShade="D9"/>
            <w:vAlign w:val="center"/>
          </w:tcPr>
          <w:p w14:paraId="56775E6B" w14:textId="77777777" w:rsidR="004D1A15" w:rsidRDefault="004D1A15" w:rsidP="00773ADE">
            <w:pPr>
              <w:jc w:val="center"/>
              <w:rPr>
                <w:b/>
                <w:bCs/>
              </w:rPr>
            </w:pPr>
          </w:p>
        </w:tc>
        <w:tc>
          <w:tcPr>
            <w:tcW w:w="4317" w:type="dxa"/>
            <w:shd w:val="clear" w:color="auto" w:fill="D9D9D9" w:themeFill="background1" w:themeFillShade="D9"/>
            <w:vAlign w:val="center"/>
          </w:tcPr>
          <w:p w14:paraId="3C6E15C0" w14:textId="77777777" w:rsidR="004D1A15" w:rsidRDefault="004D1A15" w:rsidP="00773ADE">
            <w:pPr>
              <w:jc w:val="center"/>
              <w:rPr>
                <w:b/>
                <w:bCs/>
              </w:rPr>
            </w:pPr>
          </w:p>
        </w:tc>
      </w:tr>
      <w:tr w:rsidR="004D1A15" w14:paraId="74D5274A" w14:textId="77777777" w:rsidTr="007411E6">
        <w:tc>
          <w:tcPr>
            <w:tcW w:w="4316" w:type="dxa"/>
            <w:tcMar>
              <w:left w:w="29" w:type="dxa"/>
              <w:right w:w="115" w:type="dxa"/>
            </w:tcMar>
            <w:vAlign w:val="center"/>
          </w:tcPr>
          <w:p w14:paraId="064DBAC0" w14:textId="77777777" w:rsidR="004D1A15" w:rsidRDefault="004D1A15" w:rsidP="00773ADE">
            <w:r>
              <w:t>Warfarin</w:t>
            </w:r>
          </w:p>
        </w:tc>
        <w:tc>
          <w:tcPr>
            <w:tcW w:w="4317" w:type="dxa"/>
            <w:vAlign w:val="center"/>
          </w:tcPr>
          <w:p w14:paraId="6F021A6F" w14:textId="77777777" w:rsidR="004D1A15" w:rsidRDefault="004D1A15" w:rsidP="00773ADE">
            <w:pPr>
              <w:jc w:val="center"/>
              <w:rPr>
                <w:b/>
                <w:bCs/>
              </w:rPr>
            </w:pPr>
            <w:r>
              <w:t>154.2 (107.5 – 221.2)</w:t>
            </w:r>
          </w:p>
        </w:tc>
        <w:tc>
          <w:tcPr>
            <w:tcW w:w="4317" w:type="dxa"/>
            <w:vAlign w:val="center"/>
          </w:tcPr>
          <w:p w14:paraId="3EBD077D" w14:textId="77777777" w:rsidR="004D1A15" w:rsidRDefault="004D1A15" w:rsidP="00773ADE">
            <w:pPr>
              <w:jc w:val="center"/>
              <w:rPr>
                <w:b/>
                <w:bCs/>
              </w:rPr>
            </w:pPr>
            <w:r>
              <w:t>23.8 (10.1 – 56.0)</w:t>
            </w:r>
          </w:p>
        </w:tc>
      </w:tr>
      <w:tr w:rsidR="004D1A15" w14:paraId="595C77A2" w14:textId="77777777" w:rsidTr="007411E6">
        <w:tc>
          <w:tcPr>
            <w:tcW w:w="4316" w:type="dxa"/>
            <w:tcMar>
              <w:left w:w="29" w:type="dxa"/>
              <w:right w:w="115" w:type="dxa"/>
            </w:tcMar>
            <w:vAlign w:val="center"/>
          </w:tcPr>
          <w:p w14:paraId="30513CC4" w14:textId="77777777" w:rsidR="004D1A15" w:rsidRDefault="004D1A15" w:rsidP="00773ADE">
            <w:r>
              <w:t>Rivaroxaban</w:t>
            </w:r>
          </w:p>
        </w:tc>
        <w:tc>
          <w:tcPr>
            <w:tcW w:w="4317" w:type="dxa"/>
            <w:vAlign w:val="center"/>
          </w:tcPr>
          <w:p w14:paraId="379500D9" w14:textId="77777777" w:rsidR="004D1A15" w:rsidRDefault="004D1A15" w:rsidP="00773ADE">
            <w:pPr>
              <w:jc w:val="center"/>
              <w:rPr>
                <w:b/>
                <w:bCs/>
              </w:rPr>
            </w:pPr>
            <w:r>
              <w:t>216.1 (152.7 – 305.7)</w:t>
            </w:r>
          </w:p>
        </w:tc>
        <w:tc>
          <w:tcPr>
            <w:tcW w:w="4317" w:type="dxa"/>
            <w:vAlign w:val="center"/>
          </w:tcPr>
          <w:p w14:paraId="6A4E4FE8" w14:textId="77777777" w:rsidR="004D1A15" w:rsidRDefault="004D1A15" w:rsidP="00773ADE">
            <w:pPr>
              <w:jc w:val="center"/>
              <w:rPr>
                <w:b/>
                <w:bCs/>
              </w:rPr>
            </w:pPr>
            <w:r>
              <w:t>67.3 (42.6 – 106.4)</w:t>
            </w:r>
          </w:p>
        </w:tc>
      </w:tr>
      <w:tr w:rsidR="004D1A15" w14:paraId="23A66DAC" w14:textId="77777777" w:rsidTr="007411E6">
        <w:tc>
          <w:tcPr>
            <w:tcW w:w="4316" w:type="dxa"/>
            <w:tcMar>
              <w:left w:w="29" w:type="dxa"/>
              <w:right w:w="115" w:type="dxa"/>
            </w:tcMar>
            <w:vAlign w:val="center"/>
          </w:tcPr>
          <w:p w14:paraId="4B666176" w14:textId="77777777" w:rsidR="004D1A15" w:rsidRDefault="004D1A15" w:rsidP="00773ADE">
            <w:r>
              <w:t>Apixaban</w:t>
            </w:r>
          </w:p>
        </w:tc>
        <w:tc>
          <w:tcPr>
            <w:tcW w:w="4317" w:type="dxa"/>
            <w:vAlign w:val="center"/>
          </w:tcPr>
          <w:p w14:paraId="31B5BD04" w14:textId="77777777" w:rsidR="004D1A15" w:rsidRDefault="004D1A15" w:rsidP="00773ADE">
            <w:pPr>
              <w:jc w:val="center"/>
              <w:rPr>
                <w:b/>
                <w:bCs/>
              </w:rPr>
            </w:pPr>
            <w:r>
              <w:t>90.1 (80.8 – 100.5)</w:t>
            </w:r>
          </w:p>
        </w:tc>
        <w:tc>
          <w:tcPr>
            <w:tcW w:w="4317" w:type="dxa"/>
            <w:vAlign w:val="center"/>
          </w:tcPr>
          <w:p w14:paraId="2421116E" w14:textId="77777777" w:rsidR="004D1A15" w:rsidRDefault="004D1A15" w:rsidP="00773ADE">
            <w:pPr>
              <w:jc w:val="center"/>
              <w:rPr>
                <w:b/>
                <w:bCs/>
              </w:rPr>
            </w:pPr>
            <w:r>
              <w:t>32.6 (14.6 – 72.9)</w:t>
            </w:r>
          </w:p>
        </w:tc>
      </w:tr>
      <w:tr w:rsidR="004D1A15" w14:paraId="64D85501" w14:textId="77777777" w:rsidTr="007411E6">
        <w:tc>
          <w:tcPr>
            <w:tcW w:w="4316" w:type="dxa"/>
            <w:tcMar>
              <w:left w:w="29" w:type="dxa"/>
              <w:right w:w="115" w:type="dxa"/>
            </w:tcMar>
            <w:vAlign w:val="center"/>
          </w:tcPr>
          <w:p w14:paraId="42CA289D" w14:textId="77777777" w:rsidR="004D1A15" w:rsidRDefault="004D1A15" w:rsidP="00773ADE">
            <w:r>
              <w:t>Dabigatran</w:t>
            </w:r>
          </w:p>
        </w:tc>
        <w:tc>
          <w:tcPr>
            <w:tcW w:w="4317" w:type="dxa"/>
            <w:vAlign w:val="center"/>
          </w:tcPr>
          <w:p w14:paraId="6084F3AA" w14:textId="77777777" w:rsidR="004D1A15" w:rsidRDefault="004D1A15" w:rsidP="00773ADE">
            <w:pPr>
              <w:jc w:val="center"/>
              <w:rPr>
                <w:b/>
                <w:bCs/>
              </w:rPr>
            </w:pPr>
            <w:r>
              <w:t>11.7 (4.0 – 33.9)</w:t>
            </w:r>
          </w:p>
        </w:tc>
        <w:tc>
          <w:tcPr>
            <w:tcW w:w="4317" w:type="dxa"/>
            <w:vAlign w:val="center"/>
          </w:tcPr>
          <w:p w14:paraId="6784986C" w14:textId="77777777" w:rsidR="004D1A15" w:rsidRDefault="004D1A15" w:rsidP="00773ADE">
            <w:pPr>
              <w:jc w:val="center"/>
              <w:rPr>
                <w:b/>
                <w:bCs/>
              </w:rPr>
            </w:pPr>
            <w:r>
              <w:t>0 (0 – 0)</w:t>
            </w:r>
          </w:p>
        </w:tc>
      </w:tr>
      <w:tr w:rsidR="004D1A15" w14:paraId="4E0FDC5D" w14:textId="77777777" w:rsidTr="00DC1F8D">
        <w:tc>
          <w:tcPr>
            <w:tcW w:w="12950" w:type="dxa"/>
            <w:gridSpan w:val="3"/>
            <w:tcMar>
              <w:left w:w="29" w:type="dxa"/>
              <w:right w:w="115" w:type="dxa"/>
            </w:tcMar>
          </w:tcPr>
          <w:p w14:paraId="5A41E52C" w14:textId="77777777" w:rsidR="004D1A15" w:rsidRPr="00C326E7" w:rsidRDefault="004D1A15" w:rsidP="00916B2C">
            <w:pPr>
              <w:rPr>
                <w:sz w:val="20"/>
                <w:szCs w:val="20"/>
              </w:rPr>
            </w:pPr>
            <w:r w:rsidRPr="00C326E7">
              <w:rPr>
                <w:sz w:val="20"/>
                <w:szCs w:val="20"/>
              </w:rPr>
              <w:t>OAC = oral anticoagulant</w:t>
            </w:r>
          </w:p>
          <w:p w14:paraId="2D01B2B6" w14:textId="77777777" w:rsidR="004D1A15" w:rsidRPr="00C326E7" w:rsidRDefault="004D1A15" w:rsidP="00916B2C">
            <w:pPr>
              <w:rPr>
                <w:sz w:val="20"/>
                <w:szCs w:val="20"/>
              </w:rPr>
            </w:pPr>
          </w:p>
          <w:p w14:paraId="3531AEE8" w14:textId="77777777" w:rsidR="004D1A15" w:rsidRPr="00C326E7" w:rsidRDefault="004D1A15" w:rsidP="00C326E7">
            <w:r w:rsidRPr="00C326E7">
              <w:rPr>
                <w:sz w:val="20"/>
                <w:szCs w:val="20"/>
              </w:rPr>
              <w:t xml:space="preserve">* No </w:t>
            </w:r>
            <w:r>
              <w:rPr>
                <w:sz w:val="20"/>
                <w:szCs w:val="20"/>
              </w:rPr>
              <w:t>individuals</w:t>
            </w:r>
            <w:r w:rsidRPr="00C326E7">
              <w:rPr>
                <w:sz w:val="20"/>
                <w:szCs w:val="20"/>
              </w:rPr>
              <w:t xml:space="preserve"> in the cohort were co-exposed to </w:t>
            </w:r>
            <w:proofErr w:type="spellStart"/>
            <w:r w:rsidRPr="00C326E7">
              <w:rPr>
                <w:sz w:val="20"/>
                <w:szCs w:val="20"/>
              </w:rPr>
              <w:t>edoxaban</w:t>
            </w:r>
            <w:proofErr w:type="spellEnd"/>
          </w:p>
        </w:tc>
      </w:tr>
    </w:tbl>
    <w:p w14:paraId="5185ACB5" w14:textId="77777777" w:rsidR="004D1A15" w:rsidRDefault="004D1A15">
      <w:pPr>
        <w:rPr>
          <w:rFonts w:eastAsiaTheme="majorEastAsia" w:cs="Times New Roman"/>
          <w:b/>
          <w:bCs/>
          <w:szCs w:val="24"/>
        </w:rPr>
      </w:pPr>
      <w:r>
        <w:rPr>
          <w:rFonts w:cs="Times New Roman"/>
          <w:b/>
          <w:bCs/>
          <w:szCs w:val="24"/>
        </w:rPr>
        <w:br w:type="page"/>
      </w:r>
    </w:p>
    <w:p w14:paraId="103F7C31" w14:textId="77777777" w:rsidR="004D1A15" w:rsidRDefault="004D1A15" w:rsidP="00E75620">
      <w:pPr>
        <w:pStyle w:val="Heading1"/>
        <w:rPr>
          <w:rFonts w:ascii="Times New Roman" w:hAnsi="Times New Roman" w:cs="Times New Roman"/>
          <w:b/>
          <w:bCs/>
          <w:color w:val="auto"/>
          <w:sz w:val="24"/>
          <w:szCs w:val="24"/>
        </w:rPr>
        <w:sectPr w:rsidR="004D1A15" w:rsidSect="00603CED">
          <w:pgSz w:w="12240" w:h="15840"/>
          <w:pgMar w:top="1440" w:right="1440" w:bottom="1440" w:left="1440" w:header="720" w:footer="720" w:gutter="0"/>
          <w:cols w:space="720"/>
          <w:docGrid w:linePitch="360"/>
        </w:sectPr>
      </w:pPr>
    </w:p>
    <w:p w14:paraId="6E8C0E82" w14:textId="77777777" w:rsidR="004D1A15" w:rsidRPr="00E75620" w:rsidRDefault="004D1A15" w:rsidP="00E75620">
      <w:pPr>
        <w:pStyle w:val="Heading1"/>
        <w:rPr>
          <w:rFonts w:ascii="Times New Roman" w:hAnsi="Times New Roman" w:cs="Times New Roman"/>
          <w:b/>
          <w:bCs/>
          <w:color w:val="auto"/>
          <w:sz w:val="24"/>
          <w:szCs w:val="24"/>
        </w:rPr>
      </w:pPr>
      <w:r w:rsidRPr="00E75620">
        <w:rPr>
          <w:rFonts w:ascii="Times New Roman" w:hAnsi="Times New Roman" w:cs="Times New Roman"/>
          <w:b/>
          <w:bCs/>
          <w:color w:val="auto"/>
          <w:sz w:val="24"/>
          <w:szCs w:val="24"/>
        </w:rPr>
        <w:lastRenderedPageBreak/>
        <w:t xml:space="preserve">Supplementary Table </w:t>
      </w:r>
      <w:r>
        <w:rPr>
          <w:rFonts w:ascii="Times New Roman" w:hAnsi="Times New Roman" w:cs="Times New Roman"/>
          <w:b/>
          <w:bCs/>
          <w:color w:val="auto"/>
          <w:sz w:val="24"/>
          <w:szCs w:val="24"/>
        </w:rPr>
        <w:t>9</w:t>
      </w:r>
      <w:r w:rsidRPr="00E75620">
        <w:rPr>
          <w:rFonts w:ascii="Times New Roman" w:hAnsi="Times New Roman" w:cs="Times New Roman"/>
          <w:b/>
          <w:bCs/>
          <w:color w:val="auto"/>
          <w:sz w:val="24"/>
          <w:szCs w:val="24"/>
        </w:rPr>
        <w:t>. Site of bleed for major, clinically-relevant, and provider-diagnosed bleeding.</w:t>
      </w:r>
    </w:p>
    <w:tbl>
      <w:tblPr>
        <w:tblStyle w:val="TableGrid"/>
        <w:tblW w:w="15125" w:type="dxa"/>
        <w:jc w:val="center"/>
        <w:tblLook w:val="04A0" w:firstRow="1" w:lastRow="0" w:firstColumn="1" w:lastColumn="0" w:noHBand="0" w:noVBand="1"/>
      </w:tblPr>
      <w:tblGrid>
        <w:gridCol w:w="1737"/>
        <w:gridCol w:w="1296"/>
        <w:gridCol w:w="1872"/>
        <w:gridCol w:w="1234"/>
        <w:gridCol w:w="1251"/>
        <w:gridCol w:w="1875"/>
        <w:gridCol w:w="1275"/>
        <w:gridCol w:w="1440"/>
        <w:gridCol w:w="1763"/>
        <w:gridCol w:w="1382"/>
      </w:tblGrid>
      <w:tr w:rsidR="004D1A15" w14:paraId="5BF761F5" w14:textId="77777777" w:rsidTr="004E2E9C">
        <w:trPr>
          <w:trHeight w:val="408"/>
          <w:jc w:val="center"/>
        </w:trPr>
        <w:tc>
          <w:tcPr>
            <w:tcW w:w="0" w:type="auto"/>
            <w:shd w:val="clear" w:color="auto" w:fill="D9D9D9" w:themeFill="background1" w:themeFillShade="D9"/>
            <w:vAlign w:val="center"/>
          </w:tcPr>
          <w:p w14:paraId="0E157F99" w14:textId="77777777" w:rsidR="004D1A15" w:rsidRPr="00C376FA" w:rsidRDefault="004D1A15" w:rsidP="0084455F">
            <w:pPr>
              <w:rPr>
                <w:b/>
              </w:rPr>
            </w:pPr>
          </w:p>
        </w:tc>
        <w:tc>
          <w:tcPr>
            <w:tcW w:w="0" w:type="auto"/>
            <w:gridSpan w:val="3"/>
            <w:shd w:val="clear" w:color="auto" w:fill="D9D9D9" w:themeFill="background1" w:themeFillShade="D9"/>
            <w:vAlign w:val="center"/>
          </w:tcPr>
          <w:p w14:paraId="69CCD97C" w14:textId="77777777" w:rsidR="004D1A15" w:rsidRPr="00C376FA" w:rsidRDefault="004D1A15" w:rsidP="0084455F">
            <w:pPr>
              <w:jc w:val="center"/>
              <w:rPr>
                <w:b/>
              </w:rPr>
            </w:pPr>
            <w:r w:rsidRPr="00C376FA">
              <w:rPr>
                <w:b/>
              </w:rPr>
              <w:t>Major Bleeding</w:t>
            </w:r>
          </w:p>
        </w:tc>
        <w:tc>
          <w:tcPr>
            <w:tcW w:w="0" w:type="auto"/>
            <w:gridSpan w:val="3"/>
            <w:shd w:val="clear" w:color="auto" w:fill="D9D9D9" w:themeFill="background1" w:themeFillShade="D9"/>
            <w:vAlign w:val="center"/>
          </w:tcPr>
          <w:p w14:paraId="72C06022" w14:textId="77777777" w:rsidR="004D1A15" w:rsidRPr="00C376FA" w:rsidRDefault="004D1A15" w:rsidP="0084455F">
            <w:pPr>
              <w:jc w:val="center"/>
              <w:rPr>
                <w:b/>
              </w:rPr>
            </w:pPr>
            <w:r w:rsidRPr="00C376FA">
              <w:rPr>
                <w:b/>
              </w:rPr>
              <w:t>Clinically-relevant Bleeding</w:t>
            </w:r>
          </w:p>
        </w:tc>
        <w:tc>
          <w:tcPr>
            <w:tcW w:w="0" w:type="auto"/>
            <w:gridSpan w:val="3"/>
            <w:shd w:val="clear" w:color="auto" w:fill="D9D9D9" w:themeFill="background1" w:themeFillShade="D9"/>
            <w:vAlign w:val="center"/>
          </w:tcPr>
          <w:p w14:paraId="5934DC61" w14:textId="77777777" w:rsidR="004D1A15" w:rsidRPr="00C376FA" w:rsidRDefault="004D1A15" w:rsidP="004E2E9C">
            <w:pPr>
              <w:jc w:val="center"/>
              <w:rPr>
                <w:b/>
              </w:rPr>
            </w:pPr>
            <w:r>
              <w:rPr>
                <w:b/>
              </w:rPr>
              <w:t>Provider-diagnosed Bleeding</w:t>
            </w:r>
          </w:p>
        </w:tc>
      </w:tr>
      <w:tr w:rsidR="004D1A15" w14:paraId="0E298932" w14:textId="77777777" w:rsidTr="00174501">
        <w:trPr>
          <w:trHeight w:val="408"/>
          <w:jc w:val="center"/>
        </w:trPr>
        <w:tc>
          <w:tcPr>
            <w:tcW w:w="0" w:type="auto"/>
            <w:shd w:val="clear" w:color="auto" w:fill="D9D9D9" w:themeFill="background1" w:themeFillShade="D9"/>
            <w:tcMar>
              <w:left w:w="29" w:type="dxa"/>
              <w:right w:w="115" w:type="dxa"/>
            </w:tcMar>
            <w:vAlign w:val="center"/>
          </w:tcPr>
          <w:p w14:paraId="3C75E359" w14:textId="77777777" w:rsidR="004D1A15" w:rsidRPr="00C376FA" w:rsidRDefault="004D1A15" w:rsidP="0084455F">
            <w:pPr>
              <w:rPr>
                <w:b/>
              </w:rPr>
            </w:pPr>
            <w:r w:rsidRPr="00C376FA">
              <w:rPr>
                <w:b/>
              </w:rPr>
              <w:t>Site of Bleed</w:t>
            </w:r>
            <w:r>
              <w:rPr>
                <w:b/>
              </w:rPr>
              <w:t>, N (%)</w:t>
            </w:r>
          </w:p>
        </w:tc>
        <w:tc>
          <w:tcPr>
            <w:tcW w:w="1296" w:type="dxa"/>
            <w:shd w:val="clear" w:color="auto" w:fill="D9D9D9" w:themeFill="background1" w:themeFillShade="D9"/>
            <w:vAlign w:val="center"/>
          </w:tcPr>
          <w:p w14:paraId="119FA407" w14:textId="77777777" w:rsidR="004D1A15" w:rsidRPr="00C376FA" w:rsidRDefault="004D1A15" w:rsidP="0084455F">
            <w:pPr>
              <w:jc w:val="center"/>
              <w:rPr>
                <w:b/>
              </w:rPr>
            </w:pPr>
            <w:r w:rsidRPr="00C376FA">
              <w:rPr>
                <w:b/>
              </w:rPr>
              <w:t>Ibrutinib</w:t>
            </w:r>
            <w:r>
              <w:rPr>
                <w:b/>
              </w:rPr>
              <w:t xml:space="preserve"> + OAC</w:t>
            </w:r>
          </w:p>
        </w:tc>
        <w:tc>
          <w:tcPr>
            <w:tcW w:w="1872" w:type="dxa"/>
            <w:shd w:val="clear" w:color="auto" w:fill="D9D9D9" w:themeFill="background1" w:themeFillShade="D9"/>
            <w:vAlign w:val="center"/>
          </w:tcPr>
          <w:p w14:paraId="34645A17" w14:textId="77777777" w:rsidR="004D1A15" w:rsidRPr="00C376FA" w:rsidRDefault="004D1A15" w:rsidP="0084455F">
            <w:pPr>
              <w:jc w:val="center"/>
              <w:rPr>
                <w:b/>
              </w:rPr>
            </w:pPr>
            <w:proofErr w:type="spellStart"/>
            <w:r w:rsidRPr="00C376FA">
              <w:rPr>
                <w:b/>
              </w:rPr>
              <w:t>B</w:t>
            </w:r>
            <w:r>
              <w:rPr>
                <w:b/>
              </w:rPr>
              <w:t>endamustine</w:t>
            </w:r>
            <w:proofErr w:type="spellEnd"/>
            <w:r>
              <w:rPr>
                <w:b/>
              </w:rPr>
              <w:t>-</w:t>
            </w:r>
            <w:r w:rsidRPr="00C376FA">
              <w:rPr>
                <w:b/>
              </w:rPr>
              <w:t>R</w:t>
            </w:r>
            <w:r>
              <w:rPr>
                <w:b/>
              </w:rPr>
              <w:t>ituximab + OAC</w:t>
            </w:r>
          </w:p>
        </w:tc>
        <w:tc>
          <w:tcPr>
            <w:tcW w:w="1234" w:type="dxa"/>
            <w:shd w:val="clear" w:color="auto" w:fill="D9D9D9" w:themeFill="background1" w:themeFillShade="D9"/>
            <w:vAlign w:val="center"/>
          </w:tcPr>
          <w:p w14:paraId="08E0EB04" w14:textId="77777777" w:rsidR="004D1A15" w:rsidRPr="00C376FA" w:rsidRDefault="004D1A15" w:rsidP="0084455F">
            <w:pPr>
              <w:jc w:val="center"/>
              <w:rPr>
                <w:b/>
              </w:rPr>
            </w:pPr>
            <w:r w:rsidRPr="00C376FA">
              <w:rPr>
                <w:b/>
              </w:rPr>
              <w:t>Total</w:t>
            </w:r>
          </w:p>
        </w:tc>
        <w:tc>
          <w:tcPr>
            <w:tcW w:w="1251" w:type="dxa"/>
            <w:shd w:val="clear" w:color="auto" w:fill="D9D9D9" w:themeFill="background1" w:themeFillShade="D9"/>
            <w:vAlign w:val="center"/>
          </w:tcPr>
          <w:p w14:paraId="37A4B6F2" w14:textId="77777777" w:rsidR="004D1A15" w:rsidRPr="00C376FA" w:rsidRDefault="004D1A15" w:rsidP="0084455F">
            <w:pPr>
              <w:jc w:val="center"/>
              <w:rPr>
                <w:b/>
              </w:rPr>
            </w:pPr>
            <w:r w:rsidRPr="00C376FA">
              <w:rPr>
                <w:b/>
              </w:rPr>
              <w:t>Ibrutinib</w:t>
            </w:r>
            <w:r>
              <w:rPr>
                <w:b/>
              </w:rPr>
              <w:t xml:space="preserve"> + OAC</w:t>
            </w:r>
          </w:p>
        </w:tc>
        <w:tc>
          <w:tcPr>
            <w:tcW w:w="1875" w:type="dxa"/>
            <w:shd w:val="clear" w:color="auto" w:fill="D9D9D9" w:themeFill="background1" w:themeFillShade="D9"/>
            <w:vAlign w:val="center"/>
          </w:tcPr>
          <w:p w14:paraId="450B281F" w14:textId="77777777" w:rsidR="004D1A15" w:rsidRPr="00C376FA" w:rsidRDefault="004D1A15" w:rsidP="0084455F">
            <w:pPr>
              <w:jc w:val="center"/>
              <w:rPr>
                <w:b/>
              </w:rPr>
            </w:pPr>
            <w:proofErr w:type="spellStart"/>
            <w:r w:rsidRPr="00C376FA">
              <w:rPr>
                <w:b/>
              </w:rPr>
              <w:t>B</w:t>
            </w:r>
            <w:r>
              <w:rPr>
                <w:b/>
              </w:rPr>
              <w:t>endamustine</w:t>
            </w:r>
            <w:proofErr w:type="spellEnd"/>
            <w:r>
              <w:rPr>
                <w:b/>
              </w:rPr>
              <w:t>-</w:t>
            </w:r>
            <w:r w:rsidRPr="00C376FA">
              <w:rPr>
                <w:b/>
              </w:rPr>
              <w:t>R</w:t>
            </w:r>
            <w:r>
              <w:rPr>
                <w:b/>
              </w:rPr>
              <w:t>ituximab + OAC</w:t>
            </w:r>
          </w:p>
        </w:tc>
        <w:tc>
          <w:tcPr>
            <w:tcW w:w="1275" w:type="dxa"/>
            <w:shd w:val="clear" w:color="auto" w:fill="D9D9D9" w:themeFill="background1" w:themeFillShade="D9"/>
            <w:vAlign w:val="center"/>
          </w:tcPr>
          <w:p w14:paraId="580F0EAB" w14:textId="77777777" w:rsidR="004D1A15" w:rsidRPr="00C376FA" w:rsidRDefault="004D1A15" w:rsidP="0084455F">
            <w:pPr>
              <w:jc w:val="center"/>
              <w:rPr>
                <w:b/>
              </w:rPr>
            </w:pPr>
            <w:r w:rsidRPr="00C376FA">
              <w:rPr>
                <w:b/>
              </w:rPr>
              <w:t>Total</w:t>
            </w:r>
          </w:p>
        </w:tc>
        <w:tc>
          <w:tcPr>
            <w:tcW w:w="1440" w:type="dxa"/>
            <w:shd w:val="clear" w:color="auto" w:fill="D9D9D9" w:themeFill="background1" w:themeFillShade="D9"/>
            <w:vAlign w:val="center"/>
          </w:tcPr>
          <w:p w14:paraId="54B2950E" w14:textId="77777777" w:rsidR="004D1A15" w:rsidRPr="00C376FA" w:rsidRDefault="004D1A15" w:rsidP="004E2E9C">
            <w:pPr>
              <w:jc w:val="center"/>
              <w:rPr>
                <w:b/>
              </w:rPr>
            </w:pPr>
            <w:r>
              <w:rPr>
                <w:b/>
              </w:rPr>
              <w:t>Ibrutinib + OAC</w:t>
            </w:r>
          </w:p>
        </w:tc>
        <w:tc>
          <w:tcPr>
            <w:tcW w:w="1763" w:type="dxa"/>
            <w:shd w:val="clear" w:color="auto" w:fill="D9D9D9" w:themeFill="background1" w:themeFillShade="D9"/>
            <w:vAlign w:val="center"/>
          </w:tcPr>
          <w:p w14:paraId="620D193E" w14:textId="77777777" w:rsidR="004D1A15" w:rsidRPr="00C376FA" w:rsidRDefault="004D1A15" w:rsidP="004E2E9C">
            <w:pPr>
              <w:jc w:val="center"/>
              <w:rPr>
                <w:b/>
              </w:rPr>
            </w:pPr>
            <w:proofErr w:type="spellStart"/>
            <w:r>
              <w:rPr>
                <w:b/>
              </w:rPr>
              <w:t>Bendamustine</w:t>
            </w:r>
            <w:proofErr w:type="spellEnd"/>
            <w:r>
              <w:rPr>
                <w:b/>
              </w:rPr>
              <w:t>-Rituximab + OAC</w:t>
            </w:r>
          </w:p>
        </w:tc>
        <w:tc>
          <w:tcPr>
            <w:tcW w:w="1382" w:type="dxa"/>
            <w:shd w:val="clear" w:color="auto" w:fill="D9D9D9" w:themeFill="background1" w:themeFillShade="D9"/>
            <w:vAlign w:val="center"/>
          </w:tcPr>
          <w:p w14:paraId="2B8E5397" w14:textId="77777777" w:rsidR="004D1A15" w:rsidRPr="00C376FA" w:rsidRDefault="004D1A15" w:rsidP="004E2E9C">
            <w:pPr>
              <w:jc w:val="center"/>
              <w:rPr>
                <w:b/>
              </w:rPr>
            </w:pPr>
            <w:r>
              <w:rPr>
                <w:b/>
              </w:rPr>
              <w:t>Total</w:t>
            </w:r>
          </w:p>
        </w:tc>
      </w:tr>
      <w:tr w:rsidR="004D1A15" w14:paraId="14CBF6A9" w14:textId="77777777" w:rsidTr="00174501">
        <w:trPr>
          <w:trHeight w:val="390"/>
          <w:jc w:val="center"/>
        </w:trPr>
        <w:tc>
          <w:tcPr>
            <w:tcW w:w="0" w:type="auto"/>
            <w:tcMar>
              <w:left w:w="29" w:type="dxa"/>
              <w:right w:w="115" w:type="dxa"/>
            </w:tcMar>
            <w:vAlign w:val="center"/>
          </w:tcPr>
          <w:p w14:paraId="6A8105A0" w14:textId="77777777" w:rsidR="004D1A15" w:rsidRDefault="004D1A15" w:rsidP="002C6394">
            <w:r>
              <w:t>Cerebral</w:t>
            </w:r>
          </w:p>
        </w:tc>
        <w:tc>
          <w:tcPr>
            <w:tcW w:w="1296" w:type="dxa"/>
            <w:vAlign w:val="center"/>
          </w:tcPr>
          <w:p w14:paraId="72C1A962" w14:textId="77777777" w:rsidR="004D1A15" w:rsidRDefault="004D1A15" w:rsidP="002C6394">
            <w:pPr>
              <w:jc w:val="center"/>
            </w:pPr>
            <w:r>
              <w:t>3 (33.3)</w:t>
            </w:r>
          </w:p>
        </w:tc>
        <w:tc>
          <w:tcPr>
            <w:tcW w:w="1872" w:type="dxa"/>
            <w:vAlign w:val="center"/>
          </w:tcPr>
          <w:p w14:paraId="0A8C01C7" w14:textId="77777777" w:rsidR="004D1A15" w:rsidRDefault="004D1A15" w:rsidP="002C6394">
            <w:pPr>
              <w:jc w:val="center"/>
            </w:pPr>
            <w:r>
              <w:t>0 (0.0)</w:t>
            </w:r>
          </w:p>
        </w:tc>
        <w:tc>
          <w:tcPr>
            <w:tcW w:w="1234" w:type="dxa"/>
            <w:vAlign w:val="center"/>
          </w:tcPr>
          <w:p w14:paraId="382CD56F" w14:textId="77777777" w:rsidR="004D1A15" w:rsidRDefault="004D1A15" w:rsidP="002C6394">
            <w:pPr>
              <w:jc w:val="center"/>
            </w:pPr>
            <w:r>
              <w:t>3 (33.3)</w:t>
            </w:r>
          </w:p>
        </w:tc>
        <w:tc>
          <w:tcPr>
            <w:tcW w:w="1251" w:type="dxa"/>
            <w:vAlign w:val="center"/>
          </w:tcPr>
          <w:p w14:paraId="2B04C843" w14:textId="77777777" w:rsidR="004D1A15" w:rsidRDefault="004D1A15" w:rsidP="002C6394">
            <w:pPr>
              <w:jc w:val="center"/>
            </w:pPr>
            <w:r>
              <w:t>4 (21.1)</w:t>
            </w:r>
          </w:p>
        </w:tc>
        <w:tc>
          <w:tcPr>
            <w:tcW w:w="1875" w:type="dxa"/>
            <w:vAlign w:val="center"/>
          </w:tcPr>
          <w:p w14:paraId="71836A02" w14:textId="77777777" w:rsidR="004D1A15" w:rsidRDefault="004D1A15" w:rsidP="002C6394">
            <w:pPr>
              <w:jc w:val="center"/>
            </w:pPr>
            <w:r>
              <w:t>0 (0.0)</w:t>
            </w:r>
          </w:p>
        </w:tc>
        <w:tc>
          <w:tcPr>
            <w:tcW w:w="1275" w:type="dxa"/>
            <w:vAlign w:val="center"/>
          </w:tcPr>
          <w:p w14:paraId="5986CD5B" w14:textId="77777777" w:rsidR="004D1A15" w:rsidRDefault="004D1A15" w:rsidP="002C6394">
            <w:pPr>
              <w:jc w:val="center"/>
            </w:pPr>
            <w:r>
              <w:t>4 (18.2)</w:t>
            </w:r>
          </w:p>
        </w:tc>
        <w:tc>
          <w:tcPr>
            <w:tcW w:w="1440" w:type="dxa"/>
            <w:shd w:val="clear" w:color="auto" w:fill="FFFFFF" w:themeFill="background1"/>
            <w:vAlign w:val="center"/>
          </w:tcPr>
          <w:p w14:paraId="2380F500" w14:textId="77777777" w:rsidR="004D1A15" w:rsidRDefault="004D1A15" w:rsidP="002C6394">
            <w:pPr>
              <w:jc w:val="center"/>
            </w:pPr>
            <w:r>
              <w:t>4 (4.7)</w:t>
            </w:r>
          </w:p>
        </w:tc>
        <w:tc>
          <w:tcPr>
            <w:tcW w:w="1763" w:type="dxa"/>
            <w:shd w:val="clear" w:color="auto" w:fill="FFFFFF" w:themeFill="background1"/>
            <w:vAlign w:val="center"/>
          </w:tcPr>
          <w:p w14:paraId="2543CBC8" w14:textId="77777777" w:rsidR="004D1A15" w:rsidRDefault="004D1A15" w:rsidP="002C6394">
            <w:pPr>
              <w:jc w:val="center"/>
            </w:pPr>
            <w:r>
              <w:t>0 (0.0)</w:t>
            </w:r>
          </w:p>
        </w:tc>
        <w:tc>
          <w:tcPr>
            <w:tcW w:w="1382" w:type="dxa"/>
            <w:shd w:val="clear" w:color="auto" w:fill="FFFFFF" w:themeFill="background1"/>
            <w:vAlign w:val="center"/>
          </w:tcPr>
          <w:p w14:paraId="34ED75C6" w14:textId="77777777" w:rsidR="004D1A15" w:rsidRDefault="004D1A15" w:rsidP="002C6394">
            <w:pPr>
              <w:jc w:val="center"/>
            </w:pPr>
            <w:r>
              <w:t>4 (4.1)</w:t>
            </w:r>
          </w:p>
        </w:tc>
      </w:tr>
      <w:tr w:rsidR="004D1A15" w14:paraId="273A90DC" w14:textId="77777777" w:rsidTr="00174501">
        <w:trPr>
          <w:trHeight w:val="408"/>
          <w:jc w:val="center"/>
        </w:trPr>
        <w:tc>
          <w:tcPr>
            <w:tcW w:w="0" w:type="auto"/>
            <w:tcMar>
              <w:left w:w="29" w:type="dxa"/>
              <w:right w:w="115" w:type="dxa"/>
            </w:tcMar>
            <w:vAlign w:val="center"/>
          </w:tcPr>
          <w:p w14:paraId="6FC2810A" w14:textId="77777777" w:rsidR="004D1A15" w:rsidRDefault="004D1A15" w:rsidP="002C6394">
            <w:r>
              <w:t>Gastrointestinal</w:t>
            </w:r>
          </w:p>
        </w:tc>
        <w:tc>
          <w:tcPr>
            <w:tcW w:w="1296" w:type="dxa"/>
            <w:vAlign w:val="center"/>
          </w:tcPr>
          <w:p w14:paraId="13DD600F" w14:textId="77777777" w:rsidR="004D1A15" w:rsidRPr="000F0F9F" w:rsidRDefault="004D1A15" w:rsidP="002C6394">
            <w:pPr>
              <w:jc w:val="center"/>
              <w:rPr>
                <w:bCs/>
              </w:rPr>
            </w:pPr>
            <w:r>
              <w:rPr>
                <w:bCs/>
              </w:rPr>
              <w:t>3</w:t>
            </w:r>
            <w:r w:rsidRPr="000F0F9F">
              <w:rPr>
                <w:bCs/>
              </w:rPr>
              <w:t xml:space="preserve"> (</w:t>
            </w:r>
            <w:r>
              <w:rPr>
                <w:bCs/>
              </w:rPr>
              <w:t>33.4</w:t>
            </w:r>
            <w:r w:rsidRPr="000F0F9F">
              <w:rPr>
                <w:bCs/>
              </w:rPr>
              <w:t>)</w:t>
            </w:r>
          </w:p>
        </w:tc>
        <w:tc>
          <w:tcPr>
            <w:tcW w:w="1872" w:type="dxa"/>
            <w:vAlign w:val="center"/>
          </w:tcPr>
          <w:p w14:paraId="2EBAEA01" w14:textId="77777777" w:rsidR="004D1A15" w:rsidRPr="000F0F9F" w:rsidRDefault="004D1A15" w:rsidP="002C6394">
            <w:pPr>
              <w:jc w:val="center"/>
              <w:rPr>
                <w:bCs/>
              </w:rPr>
            </w:pPr>
            <w:r>
              <w:t>0 (0.0)</w:t>
            </w:r>
          </w:p>
        </w:tc>
        <w:tc>
          <w:tcPr>
            <w:tcW w:w="1234" w:type="dxa"/>
            <w:vAlign w:val="center"/>
          </w:tcPr>
          <w:p w14:paraId="53AFF7F0" w14:textId="77777777" w:rsidR="004D1A15" w:rsidRPr="000F0F9F" w:rsidRDefault="004D1A15" w:rsidP="002C6394">
            <w:pPr>
              <w:jc w:val="center"/>
              <w:rPr>
                <w:bCs/>
              </w:rPr>
            </w:pPr>
            <w:r>
              <w:rPr>
                <w:bCs/>
              </w:rPr>
              <w:t>3</w:t>
            </w:r>
            <w:r w:rsidRPr="000F0F9F">
              <w:rPr>
                <w:bCs/>
              </w:rPr>
              <w:t xml:space="preserve"> (</w:t>
            </w:r>
            <w:r>
              <w:rPr>
                <w:bCs/>
              </w:rPr>
              <w:t>33.4</w:t>
            </w:r>
            <w:r w:rsidRPr="000F0F9F">
              <w:rPr>
                <w:bCs/>
              </w:rPr>
              <w:t>)</w:t>
            </w:r>
          </w:p>
        </w:tc>
        <w:tc>
          <w:tcPr>
            <w:tcW w:w="1251" w:type="dxa"/>
            <w:vAlign w:val="center"/>
          </w:tcPr>
          <w:p w14:paraId="20C78848" w14:textId="77777777" w:rsidR="004D1A15" w:rsidRDefault="004D1A15" w:rsidP="002C6394">
            <w:pPr>
              <w:jc w:val="center"/>
            </w:pPr>
            <w:r>
              <w:t>6 (31.5)</w:t>
            </w:r>
          </w:p>
        </w:tc>
        <w:tc>
          <w:tcPr>
            <w:tcW w:w="1875" w:type="dxa"/>
            <w:vAlign w:val="center"/>
          </w:tcPr>
          <w:p w14:paraId="21C400AF" w14:textId="77777777" w:rsidR="004D1A15" w:rsidRPr="000F0F9F" w:rsidRDefault="004D1A15" w:rsidP="002C6394">
            <w:pPr>
              <w:jc w:val="center"/>
              <w:rPr>
                <w:bCs/>
              </w:rPr>
            </w:pPr>
            <w:r>
              <w:rPr>
                <w:bCs/>
              </w:rPr>
              <w:t>1</w:t>
            </w:r>
            <w:r w:rsidRPr="000F0F9F">
              <w:rPr>
                <w:bCs/>
              </w:rPr>
              <w:t xml:space="preserve"> (</w:t>
            </w:r>
            <w:r>
              <w:rPr>
                <w:bCs/>
              </w:rPr>
              <w:t>33.3</w:t>
            </w:r>
            <w:r w:rsidRPr="000F0F9F">
              <w:rPr>
                <w:bCs/>
              </w:rPr>
              <w:t>)</w:t>
            </w:r>
          </w:p>
        </w:tc>
        <w:tc>
          <w:tcPr>
            <w:tcW w:w="1275" w:type="dxa"/>
            <w:vAlign w:val="center"/>
          </w:tcPr>
          <w:p w14:paraId="775AFAD5" w14:textId="77777777" w:rsidR="004D1A15" w:rsidRPr="000F0F9F" w:rsidRDefault="004D1A15" w:rsidP="002C6394">
            <w:pPr>
              <w:jc w:val="center"/>
              <w:rPr>
                <w:bCs/>
              </w:rPr>
            </w:pPr>
            <w:r>
              <w:rPr>
                <w:bCs/>
              </w:rPr>
              <w:t>7</w:t>
            </w:r>
            <w:r w:rsidRPr="000F0F9F">
              <w:rPr>
                <w:bCs/>
              </w:rPr>
              <w:t xml:space="preserve"> (3</w:t>
            </w:r>
            <w:r>
              <w:rPr>
                <w:bCs/>
              </w:rPr>
              <w:t>1.8</w:t>
            </w:r>
            <w:r w:rsidRPr="000F0F9F">
              <w:rPr>
                <w:bCs/>
              </w:rPr>
              <w:t>)</w:t>
            </w:r>
          </w:p>
        </w:tc>
        <w:tc>
          <w:tcPr>
            <w:tcW w:w="1440" w:type="dxa"/>
            <w:shd w:val="clear" w:color="auto" w:fill="FFFFFF" w:themeFill="background1"/>
            <w:vAlign w:val="center"/>
          </w:tcPr>
          <w:p w14:paraId="7855C598" w14:textId="77777777" w:rsidR="004D1A15" w:rsidRPr="000F0F9F" w:rsidRDefault="004D1A15" w:rsidP="002C6394">
            <w:pPr>
              <w:jc w:val="center"/>
              <w:rPr>
                <w:bCs/>
              </w:rPr>
            </w:pPr>
            <w:r>
              <w:rPr>
                <w:bCs/>
              </w:rPr>
              <w:t>18 (21.2)</w:t>
            </w:r>
          </w:p>
        </w:tc>
        <w:tc>
          <w:tcPr>
            <w:tcW w:w="1763" w:type="dxa"/>
            <w:shd w:val="clear" w:color="auto" w:fill="FFFFFF" w:themeFill="background1"/>
            <w:vAlign w:val="center"/>
          </w:tcPr>
          <w:p w14:paraId="0D8A611E" w14:textId="77777777" w:rsidR="004D1A15" w:rsidRPr="000F0F9F" w:rsidRDefault="004D1A15" w:rsidP="002C6394">
            <w:pPr>
              <w:jc w:val="center"/>
              <w:rPr>
                <w:bCs/>
              </w:rPr>
            </w:pPr>
            <w:r>
              <w:rPr>
                <w:bCs/>
              </w:rPr>
              <w:t>4 (28.6)</w:t>
            </w:r>
          </w:p>
        </w:tc>
        <w:tc>
          <w:tcPr>
            <w:tcW w:w="1382" w:type="dxa"/>
            <w:shd w:val="clear" w:color="auto" w:fill="FFFFFF" w:themeFill="background1"/>
            <w:vAlign w:val="center"/>
          </w:tcPr>
          <w:p w14:paraId="10BC69FC" w14:textId="77777777" w:rsidR="004D1A15" w:rsidRPr="000F0F9F" w:rsidRDefault="004D1A15" w:rsidP="002C6394">
            <w:pPr>
              <w:jc w:val="center"/>
              <w:rPr>
                <w:bCs/>
              </w:rPr>
            </w:pPr>
            <w:r>
              <w:rPr>
                <w:bCs/>
              </w:rPr>
              <w:t>22 (22.2)</w:t>
            </w:r>
          </w:p>
        </w:tc>
      </w:tr>
      <w:tr w:rsidR="004D1A15" w14:paraId="64AA8ABD" w14:textId="77777777" w:rsidTr="00174501">
        <w:trPr>
          <w:trHeight w:val="408"/>
          <w:jc w:val="center"/>
        </w:trPr>
        <w:tc>
          <w:tcPr>
            <w:tcW w:w="0" w:type="auto"/>
            <w:tcMar>
              <w:left w:w="29" w:type="dxa"/>
              <w:right w:w="115" w:type="dxa"/>
            </w:tcMar>
            <w:vAlign w:val="center"/>
          </w:tcPr>
          <w:p w14:paraId="0CD41720" w14:textId="77777777" w:rsidR="004D1A15" w:rsidRDefault="004D1A15" w:rsidP="002C6394">
            <w:r>
              <w:t>Genitourinary</w:t>
            </w:r>
          </w:p>
        </w:tc>
        <w:tc>
          <w:tcPr>
            <w:tcW w:w="1296" w:type="dxa"/>
            <w:vAlign w:val="center"/>
          </w:tcPr>
          <w:p w14:paraId="3F87D9E0" w14:textId="77777777" w:rsidR="004D1A15" w:rsidRDefault="004D1A15" w:rsidP="002C6394">
            <w:pPr>
              <w:jc w:val="center"/>
            </w:pPr>
            <w:r>
              <w:t>1 (11.1)</w:t>
            </w:r>
          </w:p>
        </w:tc>
        <w:tc>
          <w:tcPr>
            <w:tcW w:w="1872" w:type="dxa"/>
            <w:vAlign w:val="center"/>
          </w:tcPr>
          <w:p w14:paraId="59BE4981" w14:textId="77777777" w:rsidR="004D1A15" w:rsidRDefault="004D1A15" w:rsidP="002C6394">
            <w:pPr>
              <w:jc w:val="center"/>
            </w:pPr>
            <w:r>
              <w:t>0 (0.0)</w:t>
            </w:r>
          </w:p>
        </w:tc>
        <w:tc>
          <w:tcPr>
            <w:tcW w:w="1234" w:type="dxa"/>
            <w:vAlign w:val="center"/>
          </w:tcPr>
          <w:p w14:paraId="7416BF9D" w14:textId="77777777" w:rsidR="004D1A15" w:rsidRDefault="004D1A15" w:rsidP="002C6394">
            <w:pPr>
              <w:jc w:val="center"/>
            </w:pPr>
            <w:r>
              <w:t>1 (11.1)</w:t>
            </w:r>
          </w:p>
        </w:tc>
        <w:tc>
          <w:tcPr>
            <w:tcW w:w="1251" w:type="dxa"/>
            <w:vAlign w:val="center"/>
          </w:tcPr>
          <w:p w14:paraId="27C1DD80" w14:textId="77777777" w:rsidR="004D1A15" w:rsidRDefault="004D1A15" w:rsidP="002C6394">
            <w:pPr>
              <w:jc w:val="center"/>
            </w:pPr>
            <w:r>
              <w:t>4 (21.1)</w:t>
            </w:r>
          </w:p>
        </w:tc>
        <w:tc>
          <w:tcPr>
            <w:tcW w:w="1875" w:type="dxa"/>
            <w:vAlign w:val="center"/>
          </w:tcPr>
          <w:p w14:paraId="535B4DE4" w14:textId="77777777" w:rsidR="004D1A15" w:rsidRDefault="004D1A15" w:rsidP="002C6394">
            <w:pPr>
              <w:jc w:val="center"/>
            </w:pPr>
            <w:r>
              <w:t>2 (66.7)</w:t>
            </w:r>
          </w:p>
        </w:tc>
        <w:tc>
          <w:tcPr>
            <w:tcW w:w="1275" w:type="dxa"/>
            <w:vAlign w:val="center"/>
          </w:tcPr>
          <w:p w14:paraId="70C80E39" w14:textId="77777777" w:rsidR="004D1A15" w:rsidRDefault="004D1A15" w:rsidP="002C6394">
            <w:pPr>
              <w:jc w:val="center"/>
            </w:pPr>
            <w:r>
              <w:t>6 (27.3)</w:t>
            </w:r>
          </w:p>
        </w:tc>
        <w:tc>
          <w:tcPr>
            <w:tcW w:w="1440" w:type="dxa"/>
            <w:shd w:val="clear" w:color="auto" w:fill="FFFFFF" w:themeFill="background1"/>
            <w:vAlign w:val="center"/>
          </w:tcPr>
          <w:p w14:paraId="45D69E36" w14:textId="77777777" w:rsidR="004D1A15" w:rsidRDefault="004D1A15" w:rsidP="002C6394">
            <w:pPr>
              <w:jc w:val="center"/>
            </w:pPr>
            <w:r>
              <w:t>27 (31.8)</w:t>
            </w:r>
          </w:p>
        </w:tc>
        <w:tc>
          <w:tcPr>
            <w:tcW w:w="1763" w:type="dxa"/>
            <w:shd w:val="clear" w:color="auto" w:fill="FFFFFF" w:themeFill="background1"/>
            <w:vAlign w:val="center"/>
          </w:tcPr>
          <w:p w14:paraId="5580610C" w14:textId="77777777" w:rsidR="004D1A15" w:rsidRDefault="004D1A15" w:rsidP="002C6394">
            <w:pPr>
              <w:jc w:val="center"/>
            </w:pPr>
            <w:r>
              <w:t>8 (57.1)</w:t>
            </w:r>
          </w:p>
        </w:tc>
        <w:tc>
          <w:tcPr>
            <w:tcW w:w="1382" w:type="dxa"/>
            <w:shd w:val="clear" w:color="auto" w:fill="FFFFFF" w:themeFill="background1"/>
            <w:vAlign w:val="center"/>
          </w:tcPr>
          <w:p w14:paraId="3917E49F" w14:textId="77777777" w:rsidR="004D1A15" w:rsidRDefault="004D1A15" w:rsidP="002C6394">
            <w:pPr>
              <w:jc w:val="center"/>
            </w:pPr>
            <w:r>
              <w:t>35 (35.3)</w:t>
            </w:r>
          </w:p>
        </w:tc>
      </w:tr>
      <w:tr w:rsidR="004D1A15" w14:paraId="6B7138D0" w14:textId="77777777" w:rsidTr="00174501">
        <w:trPr>
          <w:trHeight w:val="408"/>
          <w:jc w:val="center"/>
        </w:trPr>
        <w:tc>
          <w:tcPr>
            <w:tcW w:w="0" w:type="auto"/>
            <w:tcMar>
              <w:left w:w="29" w:type="dxa"/>
              <w:right w:w="115" w:type="dxa"/>
            </w:tcMar>
            <w:vAlign w:val="center"/>
          </w:tcPr>
          <w:p w14:paraId="7D9972D6" w14:textId="77777777" w:rsidR="004D1A15" w:rsidRDefault="004D1A15" w:rsidP="002C6394">
            <w:r>
              <w:t>Other</w:t>
            </w:r>
            <w:r w:rsidRPr="00C376FA">
              <w:rPr>
                <w:vertAlign w:val="superscript"/>
              </w:rPr>
              <w:t>*</w:t>
            </w:r>
          </w:p>
        </w:tc>
        <w:tc>
          <w:tcPr>
            <w:tcW w:w="1296" w:type="dxa"/>
            <w:vAlign w:val="center"/>
          </w:tcPr>
          <w:p w14:paraId="02D77774" w14:textId="77777777" w:rsidR="004D1A15" w:rsidRDefault="004D1A15" w:rsidP="002C6394">
            <w:pPr>
              <w:jc w:val="center"/>
            </w:pPr>
            <w:r>
              <w:t>1 (11.1)</w:t>
            </w:r>
          </w:p>
        </w:tc>
        <w:tc>
          <w:tcPr>
            <w:tcW w:w="1872" w:type="dxa"/>
            <w:vAlign w:val="center"/>
          </w:tcPr>
          <w:p w14:paraId="1F0E4C6C" w14:textId="77777777" w:rsidR="004D1A15" w:rsidRDefault="004D1A15" w:rsidP="002C6394">
            <w:pPr>
              <w:jc w:val="center"/>
            </w:pPr>
            <w:r>
              <w:t>0 (0.0)</w:t>
            </w:r>
          </w:p>
        </w:tc>
        <w:tc>
          <w:tcPr>
            <w:tcW w:w="1234" w:type="dxa"/>
            <w:vAlign w:val="center"/>
          </w:tcPr>
          <w:p w14:paraId="02969652" w14:textId="77777777" w:rsidR="004D1A15" w:rsidRDefault="004D1A15" w:rsidP="002C6394">
            <w:pPr>
              <w:jc w:val="center"/>
            </w:pPr>
            <w:r>
              <w:t>1 (11.1)</w:t>
            </w:r>
          </w:p>
        </w:tc>
        <w:tc>
          <w:tcPr>
            <w:tcW w:w="1251" w:type="dxa"/>
            <w:vAlign w:val="center"/>
          </w:tcPr>
          <w:p w14:paraId="66116C0D" w14:textId="77777777" w:rsidR="004D1A15" w:rsidRPr="000F0F9F" w:rsidRDefault="004D1A15" w:rsidP="002C6394">
            <w:pPr>
              <w:jc w:val="center"/>
              <w:rPr>
                <w:bCs/>
              </w:rPr>
            </w:pPr>
            <w:r>
              <w:rPr>
                <w:bCs/>
              </w:rPr>
              <w:t xml:space="preserve">3 </w:t>
            </w:r>
            <w:r w:rsidRPr="000F0F9F">
              <w:rPr>
                <w:bCs/>
              </w:rPr>
              <w:t>(</w:t>
            </w:r>
            <w:r>
              <w:rPr>
                <w:bCs/>
              </w:rPr>
              <w:t>15.8</w:t>
            </w:r>
            <w:r w:rsidRPr="000F0F9F">
              <w:rPr>
                <w:bCs/>
              </w:rPr>
              <w:t>)</w:t>
            </w:r>
          </w:p>
        </w:tc>
        <w:tc>
          <w:tcPr>
            <w:tcW w:w="1875" w:type="dxa"/>
            <w:vAlign w:val="center"/>
          </w:tcPr>
          <w:p w14:paraId="456B2BA1" w14:textId="77777777" w:rsidR="004D1A15" w:rsidRDefault="004D1A15" w:rsidP="002C6394">
            <w:pPr>
              <w:jc w:val="center"/>
            </w:pPr>
            <w:r>
              <w:t>0 (0.0)</w:t>
            </w:r>
          </w:p>
        </w:tc>
        <w:tc>
          <w:tcPr>
            <w:tcW w:w="1275" w:type="dxa"/>
            <w:vAlign w:val="center"/>
          </w:tcPr>
          <w:p w14:paraId="3B75A877" w14:textId="77777777" w:rsidR="004D1A15" w:rsidRDefault="004D1A15" w:rsidP="002C6394">
            <w:pPr>
              <w:jc w:val="center"/>
            </w:pPr>
            <w:r>
              <w:t>3 (13.6)</w:t>
            </w:r>
          </w:p>
        </w:tc>
        <w:tc>
          <w:tcPr>
            <w:tcW w:w="1440" w:type="dxa"/>
            <w:shd w:val="clear" w:color="auto" w:fill="FFFFFF" w:themeFill="background1"/>
            <w:vAlign w:val="center"/>
          </w:tcPr>
          <w:p w14:paraId="2BCCA311" w14:textId="77777777" w:rsidR="004D1A15" w:rsidRDefault="004D1A15" w:rsidP="002C6394">
            <w:pPr>
              <w:jc w:val="center"/>
            </w:pPr>
            <w:r>
              <w:t>22 (25.8)</w:t>
            </w:r>
          </w:p>
        </w:tc>
        <w:tc>
          <w:tcPr>
            <w:tcW w:w="1763" w:type="dxa"/>
            <w:shd w:val="clear" w:color="auto" w:fill="FFFFFF" w:themeFill="background1"/>
            <w:vAlign w:val="center"/>
          </w:tcPr>
          <w:p w14:paraId="649881BD" w14:textId="77777777" w:rsidR="004D1A15" w:rsidRDefault="004D1A15" w:rsidP="002C6394">
            <w:pPr>
              <w:jc w:val="center"/>
            </w:pPr>
            <w:r>
              <w:t>0 (0.0)</w:t>
            </w:r>
          </w:p>
        </w:tc>
        <w:tc>
          <w:tcPr>
            <w:tcW w:w="1382" w:type="dxa"/>
            <w:shd w:val="clear" w:color="auto" w:fill="FFFFFF" w:themeFill="background1"/>
            <w:vAlign w:val="center"/>
          </w:tcPr>
          <w:p w14:paraId="49B62333" w14:textId="77777777" w:rsidR="004D1A15" w:rsidRDefault="004D1A15" w:rsidP="002C6394">
            <w:pPr>
              <w:jc w:val="center"/>
            </w:pPr>
            <w:r>
              <w:t>22 (22.2)</w:t>
            </w:r>
          </w:p>
        </w:tc>
      </w:tr>
      <w:tr w:rsidR="004D1A15" w14:paraId="3200A654" w14:textId="77777777" w:rsidTr="00174501">
        <w:trPr>
          <w:trHeight w:val="408"/>
          <w:jc w:val="center"/>
        </w:trPr>
        <w:tc>
          <w:tcPr>
            <w:tcW w:w="0" w:type="auto"/>
            <w:tcMar>
              <w:left w:w="29" w:type="dxa"/>
              <w:right w:w="115" w:type="dxa"/>
            </w:tcMar>
            <w:vAlign w:val="center"/>
          </w:tcPr>
          <w:p w14:paraId="719D62DE" w14:textId="77777777" w:rsidR="004D1A15" w:rsidRDefault="004D1A15" w:rsidP="002C6394">
            <w:r>
              <w:t>Unspecified</w:t>
            </w:r>
            <w:r>
              <w:rPr>
                <w:vertAlign w:val="superscript"/>
              </w:rPr>
              <w:t>*</w:t>
            </w:r>
          </w:p>
        </w:tc>
        <w:tc>
          <w:tcPr>
            <w:tcW w:w="1296" w:type="dxa"/>
            <w:vAlign w:val="center"/>
          </w:tcPr>
          <w:p w14:paraId="3DE6E0A6" w14:textId="77777777" w:rsidR="004D1A15" w:rsidRDefault="004D1A15" w:rsidP="002C6394">
            <w:pPr>
              <w:jc w:val="center"/>
            </w:pPr>
            <w:r>
              <w:t>1 (11.1)</w:t>
            </w:r>
          </w:p>
        </w:tc>
        <w:tc>
          <w:tcPr>
            <w:tcW w:w="1872" w:type="dxa"/>
            <w:vAlign w:val="center"/>
          </w:tcPr>
          <w:p w14:paraId="5D451FD6" w14:textId="77777777" w:rsidR="004D1A15" w:rsidRDefault="004D1A15" w:rsidP="002C6394">
            <w:pPr>
              <w:jc w:val="center"/>
            </w:pPr>
            <w:r>
              <w:t>0 (0.0)</w:t>
            </w:r>
          </w:p>
        </w:tc>
        <w:tc>
          <w:tcPr>
            <w:tcW w:w="1234" w:type="dxa"/>
            <w:vAlign w:val="center"/>
          </w:tcPr>
          <w:p w14:paraId="3FE34549" w14:textId="77777777" w:rsidR="004D1A15" w:rsidRDefault="004D1A15" w:rsidP="002C6394">
            <w:pPr>
              <w:jc w:val="center"/>
            </w:pPr>
            <w:r>
              <w:t>1 (11.1)</w:t>
            </w:r>
          </w:p>
        </w:tc>
        <w:tc>
          <w:tcPr>
            <w:tcW w:w="1251" w:type="dxa"/>
            <w:vAlign w:val="center"/>
          </w:tcPr>
          <w:p w14:paraId="0CE5D49E" w14:textId="77777777" w:rsidR="004D1A15" w:rsidRDefault="004D1A15" w:rsidP="002C6394">
            <w:pPr>
              <w:jc w:val="center"/>
            </w:pPr>
            <w:r>
              <w:t>2 (10.5)</w:t>
            </w:r>
          </w:p>
        </w:tc>
        <w:tc>
          <w:tcPr>
            <w:tcW w:w="1875" w:type="dxa"/>
            <w:vAlign w:val="center"/>
          </w:tcPr>
          <w:p w14:paraId="681A75BB" w14:textId="77777777" w:rsidR="004D1A15" w:rsidRDefault="004D1A15" w:rsidP="002C6394">
            <w:pPr>
              <w:jc w:val="center"/>
            </w:pPr>
            <w:r>
              <w:t>0 (0.0)</w:t>
            </w:r>
          </w:p>
        </w:tc>
        <w:tc>
          <w:tcPr>
            <w:tcW w:w="1275" w:type="dxa"/>
            <w:vAlign w:val="center"/>
          </w:tcPr>
          <w:p w14:paraId="5A2379F2" w14:textId="77777777" w:rsidR="004D1A15" w:rsidRDefault="004D1A15" w:rsidP="002C6394">
            <w:pPr>
              <w:jc w:val="center"/>
            </w:pPr>
            <w:r>
              <w:t>2 (9.1)</w:t>
            </w:r>
          </w:p>
        </w:tc>
        <w:tc>
          <w:tcPr>
            <w:tcW w:w="1440" w:type="dxa"/>
            <w:shd w:val="clear" w:color="auto" w:fill="FFFFFF" w:themeFill="background1"/>
            <w:vAlign w:val="center"/>
          </w:tcPr>
          <w:p w14:paraId="1E0A3227" w14:textId="77777777" w:rsidR="004D1A15" w:rsidRDefault="004D1A15" w:rsidP="002C6394">
            <w:pPr>
              <w:jc w:val="center"/>
            </w:pPr>
            <w:r>
              <w:t>14 (16.5)</w:t>
            </w:r>
          </w:p>
        </w:tc>
        <w:tc>
          <w:tcPr>
            <w:tcW w:w="1763" w:type="dxa"/>
            <w:shd w:val="clear" w:color="auto" w:fill="FFFFFF" w:themeFill="background1"/>
            <w:vAlign w:val="center"/>
          </w:tcPr>
          <w:p w14:paraId="0832B19A" w14:textId="77777777" w:rsidR="004D1A15" w:rsidRDefault="004D1A15" w:rsidP="002C6394">
            <w:pPr>
              <w:jc w:val="center"/>
            </w:pPr>
            <w:r>
              <w:t>2 (14.3)</w:t>
            </w:r>
          </w:p>
        </w:tc>
        <w:tc>
          <w:tcPr>
            <w:tcW w:w="1382" w:type="dxa"/>
            <w:shd w:val="clear" w:color="auto" w:fill="FFFFFF" w:themeFill="background1"/>
            <w:vAlign w:val="center"/>
          </w:tcPr>
          <w:p w14:paraId="1BD41399" w14:textId="77777777" w:rsidR="004D1A15" w:rsidRDefault="004D1A15" w:rsidP="002C6394">
            <w:pPr>
              <w:jc w:val="center"/>
            </w:pPr>
            <w:r>
              <w:t>16 (16.2)</w:t>
            </w:r>
          </w:p>
        </w:tc>
      </w:tr>
      <w:tr w:rsidR="004D1A15" w14:paraId="5EF5CAE8" w14:textId="77777777" w:rsidTr="00174501">
        <w:trPr>
          <w:trHeight w:val="390"/>
          <w:jc w:val="center"/>
        </w:trPr>
        <w:tc>
          <w:tcPr>
            <w:tcW w:w="0" w:type="auto"/>
            <w:tcMar>
              <w:left w:w="29" w:type="dxa"/>
              <w:right w:w="115" w:type="dxa"/>
            </w:tcMar>
            <w:vAlign w:val="center"/>
          </w:tcPr>
          <w:p w14:paraId="5DF9C4DF" w14:textId="77777777" w:rsidR="004D1A15" w:rsidRDefault="004D1A15" w:rsidP="002C6394">
            <w:r>
              <w:t>Total</w:t>
            </w:r>
          </w:p>
        </w:tc>
        <w:tc>
          <w:tcPr>
            <w:tcW w:w="1296" w:type="dxa"/>
            <w:vAlign w:val="center"/>
          </w:tcPr>
          <w:p w14:paraId="52028F7A" w14:textId="77777777" w:rsidR="004D1A15" w:rsidRDefault="004D1A15" w:rsidP="002C6394">
            <w:pPr>
              <w:jc w:val="center"/>
            </w:pPr>
            <w:r>
              <w:t>9 (100.0)</w:t>
            </w:r>
          </w:p>
        </w:tc>
        <w:tc>
          <w:tcPr>
            <w:tcW w:w="1872" w:type="dxa"/>
            <w:vAlign w:val="center"/>
          </w:tcPr>
          <w:p w14:paraId="47472DD0" w14:textId="77777777" w:rsidR="004D1A15" w:rsidRDefault="004D1A15" w:rsidP="002C6394">
            <w:pPr>
              <w:jc w:val="center"/>
            </w:pPr>
            <w:r>
              <w:t>0 (0.0)</w:t>
            </w:r>
          </w:p>
        </w:tc>
        <w:tc>
          <w:tcPr>
            <w:tcW w:w="1234" w:type="dxa"/>
            <w:vAlign w:val="center"/>
          </w:tcPr>
          <w:p w14:paraId="10B54D05" w14:textId="77777777" w:rsidR="004D1A15" w:rsidRDefault="004D1A15" w:rsidP="002C6394">
            <w:pPr>
              <w:jc w:val="center"/>
            </w:pPr>
            <w:r>
              <w:t>9 (100.0)</w:t>
            </w:r>
          </w:p>
        </w:tc>
        <w:tc>
          <w:tcPr>
            <w:tcW w:w="1251" w:type="dxa"/>
            <w:vAlign w:val="center"/>
          </w:tcPr>
          <w:p w14:paraId="16588519" w14:textId="77777777" w:rsidR="004D1A15" w:rsidRDefault="004D1A15" w:rsidP="002C6394">
            <w:pPr>
              <w:jc w:val="center"/>
            </w:pPr>
            <w:r>
              <w:t>19 (100.0)</w:t>
            </w:r>
          </w:p>
        </w:tc>
        <w:tc>
          <w:tcPr>
            <w:tcW w:w="1875" w:type="dxa"/>
            <w:vAlign w:val="center"/>
          </w:tcPr>
          <w:p w14:paraId="5CF6C01C" w14:textId="77777777" w:rsidR="004D1A15" w:rsidRDefault="004D1A15" w:rsidP="002C6394">
            <w:pPr>
              <w:jc w:val="center"/>
            </w:pPr>
            <w:r>
              <w:t>3 (100.0)</w:t>
            </w:r>
          </w:p>
        </w:tc>
        <w:tc>
          <w:tcPr>
            <w:tcW w:w="1275" w:type="dxa"/>
            <w:vAlign w:val="center"/>
          </w:tcPr>
          <w:p w14:paraId="0134DC93" w14:textId="77777777" w:rsidR="004D1A15" w:rsidRDefault="004D1A15" w:rsidP="002C6394">
            <w:pPr>
              <w:jc w:val="center"/>
            </w:pPr>
            <w:r>
              <w:t>22 (100.0)</w:t>
            </w:r>
          </w:p>
        </w:tc>
        <w:tc>
          <w:tcPr>
            <w:tcW w:w="1440" w:type="dxa"/>
            <w:shd w:val="clear" w:color="auto" w:fill="FFFFFF" w:themeFill="background1"/>
            <w:vAlign w:val="center"/>
          </w:tcPr>
          <w:p w14:paraId="63FEA42E" w14:textId="77777777" w:rsidR="004D1A15" w:rsidRDefault="004D1A15" w:rsidP="002C6394">
            <w:pPr>
              <w:jc w:val="center"/>
            </w:pPr>
            <w:r>
              <w:t>85 (100.0)</w:t>
            </w:r>
          </w:p>
        </w:tc>
        <w:tc>
          <w:tcPr>
            <w:tcW w:w="1763" w:type="dxa"/>
            <w:shd w:val="clear" w:color="auto" w:fill="FFFFFF" w:themeFill="background1"/>
            <w:vAlign w:val="center"/>
          </w:tcPr>
          <w:p w14:paraId="3AED5C11" w14:textId="77777777" w:rsidR="004D1A15" w:rsidRDefault="004D1A15" w:rsidP="002C6394">
            <w:pPr>
              <w:jc w:val="center"/>
            </w:pPr>
            <w:r>
              <w:t>14 (100.0)</w:t>
            </w:r>
          </w:p>
        </w:tc>
        <w:tc>
          <w:tcPr>
            <w:tcW w:w="1382" w:type="dxa"/>
            <w:shd w:val="clear" w:color="auto" w:fill="FFFFFF" w:themeFill="background1"/>
            <w:vAlign w:val="center"/>
          </w:tcPr>
          <w:p w14:paraId="3EF1D7EF" w14:textId="77777777" w:rsidR="004D1A15" w:rsidRDefault="004D1A15" w:rsidP="002C6394">
            <w:pPr>
              <w:jc w:val="center"/>
            </w:pPr>
            <w:r>
              <w:t>99 (100.0)</w:t>
            </w:r>
          </w:p>
        </w:tc>
      </w:tr>
      <w:tr w:rsidR="004D1A15" w14:paraId="7D62D61C" w14:textId="77777777" w:rsidTr="00DC1F8D">
        <w:trPr>
          <w:trHeight w:val="390"/>
          <w:jc w:val="center"/>
        </w:trPr>
        <w:tc>
          <w:tcPr>
            <w:tcW w:w="0" w:type="auto"/>
            <w:gridSpan w:val="10"/>
            <w:tcMar>
              <w:left w:w="29" w:type="dxa"/>
              <w:right w:w="115" w:type="dxa"/>
            </w:tcMar>
          </w:tcPr>
          <w:p w14:paraId="16761361" w14:textId="77777777" w:rsidR="004D1A15" w:rsidRPr="00F676AC" w:rsidRDefault="004D1A15" w:rsidP="0084455F">
            <w:pPr>
              <w:rPr>
                <w:sz w:val="20"/>
                <w:szCs w:val="20"/>
              </w:rPr>
            </w:pPr>
            <w:r w:rsidRPr="00F676AC">
              <w:rPr>
                <w:sz w:val="20"/>
                <w:szCs w:val="20"/>
              </w:rPr>
              <w:t>OAC = oral anticoagulant</w:t>
            </w:r>
          </w:p>
          <w:p w14:paraId="4AD235B2" w14:textId="77777777" w:rsidR="004D1A15" w:rsidRDefault="004D1A15" w:rsidP="0084455F">
            <w:r>
              <w:br/>
            </w:r>
            <w:r>
              <w:rPr>
                <w:sz w:val="20"/>
              </w:rPr>
              <w:t xml:space="preserve">*  See </w:t>
            </w:r>
            <w:r w:rsidRPr="00DE559D">
              <w:rPr>
                <w:b/>
                <w:sz w:val="20"/>
              </w:rPr>
              <w:t>Supplementary Table 2</w:t>
            </w:r>
            <w:r>
              <w:rPr>
                <w:sz w:val="20"/>
              </w:rPr>
              <w:t xml:space="preserve"> for bleed types in Other and Unspecified sites of bleed</w:t>
            </w:r>
          </w:p>
        </w:tc>
      </w:tr>
    </w:tbl>
    <w:p w14:paraId="53BCF851" w14:textId="77777777" w:rsidR="004D1A15" w:rsidRDefault="004D1A15">
      <w:r>
        <w:br w:type="page"/>
      </w:r>
    </w:p>
    <w:p w14:paraId="138F16EB" w14:textId="77777777" w:rsidR="004D1A15" w:rsidRDefault="004D1A15">
      <w:pPr>
        <w:rPr>
          <w:b/>
          <w:bCs/>
        </w:rPr>
        <w:sectPr w:rsidR="004D1A15" w:rsidSect="00603CED">
          <w:pgSz w:w="15840" w:h="12240" w:orient="landscape"/>
          <w:pgMar w:top="1440" w:right="1440" w:bottom="1440" w:left="1440" w:header="720" w:footer="720" w:gutter="0"/>
          <w:cols w:space="720"/>
          <w:docGrid w:linePitch="360"/>
        </w:sectPr>
      </w:pPr>
    </w:p>
    <w:p w14:paraId="736EE087" w14:textId="77777777" w:rsidR="004D1A15" w:rsidRDefault="004D1A15" w:rsidP="00F041E6">
      <w:pPr>
        <w:spacing w:after="0"/>
        <w:rPr>
          <w:rFonts w:cs="Times New Roman"/>
          <w:b/>
          <w:bCs/>
          <w:szCs w:val="24"/>
        </w:rPr>
      </w:pPr>
      <w:r>
        <w:rPr>
          <w:rFonts w:cs="Times New Roman"/>
          <w:b/>
          <w:bCs/>
          <w:szCs w:val="24"/>
        </w:rPr>
        <w:lastRenderedPageBreak/>
        <w:t>Supplementary Table 10. Site of bleed by individual OAC agent for major, clinically-relevant, and provider-diagnosed bleeding.</w:t>
      </w:r>
    </w:p>
    <w:tbl>
      <w:tblPr>
        <w:tblStyle w:val="TableGrid"/>
        <w:tblW w:w="15125" w:type="dxa"/>
        <w:jc w:val="center"/>
        <w:tblLook w:val="04A0" w:firstRow="1" w:lastRow="0" w:firstColumn="1" w:lastColumn="0" w:noHBand="0" w:noVBand="1"/>
      </w:tblPr>
      <w:tblGrid>
        <w:gridCol w:w="1737"/>
        <w:gridCol w:w="1296"/>
        <w:gridCol w:w="1872"/>
        <w:gridCol w:w="1234"/>
        <w:gridCol w:w="1251"/>
        <w:gridCol w:w="1875"/>
        <w:gridCol w:w="1275"/>
        <w:gridCol w:w="1440"/>
        <w:gridCol w:w="1763"/>
        <w:gridCol w:w="1382"/>
      </w:tblGrid>
      <w:tr w:rsidR="004D1A15" w14:paraId="17C2A7C4" w14:textId="77777777" w:rsidTr="005C0567">
        <w:trPr>
          <w:trHeight w:val="408"/>
          <w:jc w:val="center"/>
        </w:trPr>
        <w:tc>
          <w:tcPr>
            <w:tcW w:w="0" w:type="auto"/>
            <w:shd w:val="clear" w:color="auto" w:fill="D9D9D9" w:themeFill="background1" w:themeFillShade="D9"/>
            <w:vAlign w:val="center"/>
          </w:tcPr>
          <w:p w14:paraId="7FA88CDB" w14:textId="77777777" w:rsidR="004D1A15" w:rsidRPr="00C376FA" w:rsidRDefault="004D1A15" w:rsidP="005C0567">
            <w:pPr>
              <w:rPr>
                <w:b/>
              </w:rPr>
            </w:pPr>
          </w:p>
        </w:tc>
        <w:tc>
          <w:tcPr>
            <w:tcW w:w="0" w:type="auto"/>
            <w:gridSpan w:val="3"/>
            <w:shd w:val="clear" w:color="auto" w:fill="D9D9D9" w:themeFill="background1" w:themeFillShade="D9"/>
            <w:vAlign w:val="center"/>
          </w:tcPr>
          <w:p w14:paraId="0030AA78" w14:textId="77777777" w:rsidR="004D1A15" w:rsidRPr="00C376FA" w:rsidRDefault="004D1A15" w:rsidP="005C0567">
            <w:pPr>
              <w:jc w:val="center"/>
              <w:rPr>
                <w:b/>
              </w:rPr>
            </w:pPr>
            <w:r w:rsidRPr="00C376FA">
              <w:rPr>
                <w:b/>
              </w:rPr>
              <w:t>Major Bleeding</w:t>
            </w:r>
          </w:p>
        </w:tc>
        <w:tc>
          <w:tcPr>
            <w:tcW w:w="0" w:type="auto"/>
            <w:gridSpan w:val="3"/>
            <w:shd w:val="clear" w:color="auto" w:fill="D9D9D9" w:themeFill="background1" w:themeFillShade="D9"/>
            <w:vAlign w:val="center"/>
          </w:tcPr>
          <w:p w14:paraId="66086946" w14:textId="77777777" w:rsidR="004D1A15" w:rsidRPr="00C376FA" w:rsidRDefault="004D1A15" w:rsidP="005C0567">
            <w:pPr>
              <w:jc w:val="center"/>
              <w:rPr>
                <w:b/>
              </w:rPr>
            </w:pPr>
            <w:r w:rsidRPr="00C376FA">
              <w:rPr>
                <w:b/>
              </w:rPr>
              <w:t>Clinically-relevant Bleeding</w:t>
            </w:r>
          </w:p>
        </w:tc>
        <w:tc>
          <w:tcPr>
            <w:tcW w:w="0" w:type="auto"/>
            <w:gridSpan w:val="3"/>
            <w:shd w:val="clear" w:color="auto" w:fill="D9D9D9" w:themeFill="background1" w:themeFillShade="D9"/>
            <w:vAlign w:val="center"/>
          </w:tcPr>
          <w:p w14:paraId="6BBB9EA9" w14:textId="77777777" w:rsidR="004D1A15" w:rsidRPr="00C376FA" w:rsidRDefault="004D1A15" w:rsidP="005C0567">
            <w:pPr>
              <w:jc w:val="center"/>
              <w:rPr>
                <w:b/>
              </w:rPr>
            </w:pPr>
            <w:r>
              <w:rPr>
                <w:b/>
              </w:rPr>
              <w:t>Provider-diagnosed Bleeding</w:t>
            </w:r>
          </w:p>
        </w:tc>
      </w:tr>
      <w:tr w:rsidR="004D1A15" w14:paraId="008E316C" w14:textId="77777777" w:rsidTr="00174501">
        <w:trPr>
          <w:trHeight w:val="408"/>
          <w:jc w:val="center"/>
        </w:trPr>
        <w:tc>
          <w:tcPr>
            <w:tcW w:w="0" w:type="auto"/>
            <w:shd w:val="clear" w:color="auto" w:fill="D9D9D9" w:themeFill="background1" w:themeFillShade="D9"/>
            <w:tcMar>
              <w:left w:w="29" w:type="dxa"/>
              <w:right w:w="115" w:type="dxa"/>
            </w:tcMar>
            <w:vAlign w:val="center"/>
          </w:tcPr>
          <w:p w14:paraId="21AAD31C" w14:textId="77777777" w:rsidR="004D1A15" w:rsidRPr="00C376FA" w:rsidRDefault="004D1A15" w:rsidP="005C0567">
            <w:pPr>
              <w:rPr>
                <w:b/>
              </w:rPr>
            </w:pPr>
            <w:r w:rsidRPr="00C376FA">
              <w:rPr>
                <w:b/>
              </w:rPr>
              <w:t>Site of Bleed</w:t>
            </w:r>
            <w:r>
              <w:rPr>
                <w:b/>
              </w:rPr>
              <w:t>, N (%)</w:t>
            </w:r>
            <w:r w:rsidRPr="0017667A">
              <w:rPr>
                <w:b/>
                <w:vertAlign w:val="superscript"/>
              </w:rPr>
              <w:t>*</w:t>
            </w:r>
          </w:p>
        </w:tc>
        <w:tc>
          <w:tcPr>
            <w:tcW w:w="1296" w:type="dxa"/>
            <w:shd w:val="clear" w:color="auto" w:fill="D9D9D9" w:themeFill="background1" w:themeFillShade="D9"/>
            <w:vAlign w:val="center"/>
          </w:tcPr>
          <w:p w14:paraId="3171A8E6" w14:textId="77777777" w:rsidR="004D1A15" w:rsidRPr="00C376FA" w:rsidRDefault="004D1A15" w:rsidP="005C0567">
            <w:pPr>
              <w:jc w:val="center"/>
              <w:rPr>
                <w:b/>
              </w:rPr>
            </w:pPr>
            <w:r w:rsidRPr="00C376FA">
              <w:rPr>
                <w:b/>
              </w:rPr>
              <w:t>Ibrutinib</w:t>
            </w:r>
            <w:r>
              <w:rPr>
                <w:b/>
              </w:rPr>
              <w:t xml:space="preserve"> + OAC</w:t>
            </w:r>
          </w:p>
        </w:tc>
        <w:tc>
          <w:tcPr>
            <w:tcW w:w="1872" w:type="dxa"/>
            <w:shd w:val="clear" w:color="auto" w:fill="D9D9D9" w:themeFill="background1" w:themeFillShade="D9"/>
            <w:vAlign w:val="center"/>
          </w:tcPr>
          <w:p w14:paraId="70693D38" w14:textId="77777777" w:rsidR="004D1A15" w:rsidRPr="00C376FA" w:rsidRDefault="004D1A15" w:rsidP="005C0567">
            <w:pPr>
              <w:jc w:val="center"/>
              <w:rPr>
                <w:b/>
              </w:rPr>
            </w:pPr>
            <w:proofErr w:type="spellStart"/>
            <w:r w:rsidRPr="00C376FA">
              <w:rPr>
                <w:b/>
              </w:rPr>
              <w:t>B</w:t>
            </w:r>
            <w:r>
              <w:rPr>
                <w:b/>
              </w:rPr>
              <w:t>endamustine</w:t>
            </w:r>
            <w:proofErr w:type="spellEnd"/>
            <w:r>
              <w:rPr>
                <w:b/>
              </w:rPr>
              <w:t>-</w:t>
            </w:r>
            <w:r w:rsidRPr="00C376FA">
              <w:rPr>
                <w:b/>
              </w:rPr>
              <w:t>R</w:t>
            </w:r>
            <w:r>
              <w:rPr>
                <w:b/>
              </w:rPr>
              <w:t>ituximab + OAC</w:t>
            </w:r>
          </w:p>
        </w:tc>
        <w:tc>
          <w:tcPr>
            <w:tcW w:w="1234" w:type="dxa"/>
            <w:shd w:val="clear" w:color="auto" w:fill="D9D9D9" w:themeFill="background1" w:themeFillShade="D9"/>
            <w:vAlign w:val="center"/>
          </w:tcPr>
          <w:p w14:paraId="105E79FE" w14:textId="77777777" w:rsidR="004D1A15" w:rsidRPr="00C376FA" w:rsidRDefault="004D1A15" w:rsidP="005C0567">
            <w:pPr>
              <w:jc w:val="center"/>
              <w:rPr>
                <w:b/>
              </w:rPr>
            </w:pPr>
            <w:r w:rsidRPr="00C376FA">
              <w:rPr>
                <w:b/>
              </w:rPr>
              <w:t>Total</w:t>
            </w:r>
          </w:p>
        </w:tc>
        <w:tc>
          <w:tcPr>
            <w:tcW w:w="1251" w:type="dxa"/>
            <w:shd w:val="clear" w:color="auto" w:fill="D9D9D9" w:themeFill="background1" w:themeFillShade="D9"/>
            <w:vAlign w:val="center"/>
          </w:tcPr>
          <w:p w14:paraId="137AC770" w14:textId="77777777" w:rsidR="004D1A15" w:rsidRPr="00C376FA" w:rsidRDefault="004D1A15" w:rsidP="005C0567">
            <w:pPr>
              <w:jc w:val="center"/>
              <w:rPr>
                <w:b/>
              </w:rPr>
            </w:pPr>
            <w:r w:rsidRPr="00C376FA">
              <w:rPr>
                <w:b/>
              </w:rPr>
              <w:t>Ibrutinib</w:t>
            </w:r>
            <w:r>
              <w:rPr>
                <w:b/>
              </w:rPr>
              <w:t xml:space="preserve"> + OAC</w:t>
            </w:r>
          </w:p>
        </w:tc>
        <w:tc>
          <w:tcPr>
            <w:tcW w:w="1875" w:type="dxa"/>
            <w:shd w:val="clear" w:color="auto" w:fill="D9D9D9" w:themeFill="background1" w:themeFillShade="D9"/>
            <w:vAlign w:val="center"/>
          </w:tcPr>
          <w:p w14:paraId="6841D612" w14:textId="77777777" w:rsidR="004D1A15" w:rsidRPr="00C376FA" w:rsidRDefault="004D1A15" w:rsidP="005C0567">
            <w:pPr>
              <w:jc w:val="center"/>
              <w:rPr>
                <w:b/>
              </w:rPr>
            </w:pPr>
            <w:proofErr w:type="spellStart"/>
            <w:r w:rsidRPr="00C376FA">
              <w:rPr>
                <w:b/>
              </w:rPr>
              <w:t>B</w:t>
            </w:r>
            <w:r>
              <w:rPr>
                <w:b/>
              </w:rPr>
              <w:t>endamustine</w:t>
            </w:r>
            <w:proofErr w:type="spellEnd"/>
            <w:r>
              <w:rPr>
                <w:b/>
              </w:rPr>
              <w:t>-</w:t>
            </w:r>
            <w:r w:rsidRPr="00C376FA">
              <w:rPr>
                <w:b/>
              </w:rPr>
              <w:t>R</w:t>
            </w:r>
            <w:r>
              <w:rPr>
                <w:b/>
              </w:rPr>
              <w:t>ituximab + OAC</w:t>
            </w:r>
          </w:p>
        </w:tc>
        <w:tc>
          <w:tcPr>
            <w:tcW w:w="1275" w:type="dxa"/>
            <w:shd w:val="clear" w:color="auto" w:fill="D9D9D9" w:themeFill="background1" w:themeFillShade="D9"/>
            <w:vAlign w:val="center"/>
          </w:tcPr>
          <w:p w14:paraId="40BE6E32" w14:textId="77777777" w:rsidR="004D1A15" w:rsidRPr="00C376FA" w:rsidRDefault="004D1A15" w:rsidP="005C0567">
            <w:pPr>
              <w:jc w:val="center"/>
              <w:rPr>
                <w:b/>
              </w:rPr>
            </w:pPr>
            <w:r w:rsidRPr="00C376FA">
              <w:rPr>
                <w:b/>
              </w:rPr>
              <w:t>Total</w:t>
            </w:r>
          </w:p>
        </w:tc>
        <w:tc>
          <w:tcPr>
            <w:tcW w:w="1440" w:type="dxa"/>
            <w:shd w:val="clear" w:color="auto" w:fill="D9D9D9" w:themeFill="background1" w:themeFillShade="D9"/>
            <w:vAlign w:val="center"/>
          </w:tcPr>
          <w:p w14:paraId="64963F17" w14:textId="77777777" w:rsidR="004D1A15" w:rsidRPr="00C376FA" w:rsidRDefault="004D1A15" w:rsidP="005C0567">
            <w:pPr>
              <w:jc w:val="center"/>
              <w:rPr>
                <w:b/>
              </w:rPr>
            </w:pPr>
            <w:r>
              <w:rPr>
                <w:b/>
              </w:rPr>
              <w:t>Ibrutinib + OAC</w:t>
            </w:r>
          </w:p>
        </w:tc>
        <w:tc>
          <w:tcPr>
            <w:tcW w:w="1763" w:type="dxa"/>
            <w:shd w:val="clear" w:color="auto" w:fill="D9D9D9" w:themeFill="background1" w:themeFillShade="D9"/>
            <w:vAlign w:val="center"/>
          </w:tcPr>
          <w:p w14:paraId="72FF47C5" w14:textId="77777777" w:rsidR="004D1A15" w:rsidRPr="00C376FA" w:rsidRDefault="004D1A15" w:rsidP="005C0567">
            <w:pPr>
              <w:jc w:val="center"/>
              <w:rPr>
                <w:b/>
              </w:rPr>
            </w:pPr>
            <w:proofErr w:type="spellStart"/>
            <w:r>
              <w:rPr>
                <w:b/>
              </w:rPr>
              <w:t>Bendamustine</w:t>
            </w:r>
            <w:proofErr w:type="spellEnd"/>
            <w:r>
              <w:rPr>
                <w:b/>
              </w:rPr>
              <w:t>-Rituximab + OAC</w:t>
            </w:r>
          </w:p>
        </w:tc>
        <w:tc>
          <w:tcPr>
            <w:tcW w:w="1382" w:type="dxa"/>
            <w:shd w:val="clear" w:color="auto" w:fill="D9D9D9" w:themeFill="background1" w:themeFillShade="D9"/>
            <w:vAlign w:val="center"/>
          </w:tcPr>
          <w:p w14:paraId="4671386B" w14:textId="77777777" w:rsidR="004D1A15" w:rsidRPr="00C376FA" w:rsidRDefault="004D1A15" w:rsidP="005C0567">
            <w:pPr>
              <w:jc w:val="center"/>
              <w:rPr>
                <w:b/>
              </w:rPr>
            </w:pPr>
            <w:r>
              <w:rPr>
                <w:b/>
              </w:rPr>
              <w:t>Total</w:t>
            </w:r>
          </w:p>
        </w:tc>
      </w:tr>
      <w:tr w:rsidR="004D1A15" w14:paraId="29786562" w14:textId="77777777" w:rsidTr="00174501">
        <w:trPr>
          <w:trHeight w:val="390"/>
          <w:jc w:val="center"/>
        </w:trPr>
        <w:tc>
          <w:tcPr>
            <w:tcW w:w="0" w:type="auto"/>
            <w:shd w:val="clear" w:color="auto" w:fill="D9D9D9" w:themeFill="background1" w:themeFillShade="D9"/>
            <w:tcMar>
              <w:left w:w="29" w:type="dxa"/>
              <w:right w:w="115" w:type="dxa"/>
            </w:tcMar>
            <w:vAlign w:val="center"/>
          </w:tcPr>
          <w:p w14:paraId="6A0AB9D3" w14:textId="77777777" w:rsidR="004D1A15" w:rsidRPr="007A7447" w:rsidRDefault="004D1A15" w:rsidP="005C0567">
            <w:pPr>
              <w:rPr>
                <w:b/>
                <w:bCs/>
              </w:rPr>
            </w:pPr>
            <w:r w:rsidRPr="007A7447">
              <w:rPr>
                <w:b/>
                <w:bCs/>
              </w:rPr>
              <w:t>Warfarin</w:t>
            </w:r>
          </w:p>
        </w:tc>
        <w:tc>
          <w:tcPr>
            <w:tcW w:w="1296" w:type="dxa"/>
            <w:shd w:val="clear" w:color="auto" w:fill="D9D9D9" w:themeFill="background1" w:themeFillShade="D9"/>
            <w:vAlign w:val="center"/>
          </w:tcPr>
          <w:p w14:paraId="3887B955" w14:textId="77777777" w:rsidR="004D1A15" w:rsidRDefault="004D1A15" w:rsidP="005C0567">
            <w:pPr>
              <w:jc w:val="center"/>
            </w:pPr>
          </w:p>
        </w:tc>
        <w:tc>
          <w:tcPr>
            <w:tcW w:w="1872" w:type="dxa"/>
            <w:shd w:val="clear" w:color="auto" w:fill="D9D9D9" w:themeFill="background1" w:themeFillShade="D9"/>
            <w:vAlign w:val="center"/>
          </w:tcPr>
          <w:p w14:paraId="49DDC37A" w14:textId="77777777" w:rsidR="004D1A15" w:rsidRDefault="004D1A15" w:rsidP="005C0567">
            <w:pPr>
              <w:jc w:val="center"/>
            </w:pPr>
          </w:p>
        </w:tc>
        <w:tc>
          <w:tcPr>
            <w:tcW w:w="1234" w:type="dxa"/>
            <w:shd w:val="clear" w:color="auto" w:fill="D9D9D9" w:themeFill="background1" w:themeFillShade="D9"/>
            <w:vAlign w:val="center"/>
          </w:tcPr>
          <w:p w14:paraId="5BA0F1BD" w14:textId="77777777" w:rsidR="004D1A15" w:rsidRDefault="004D1A15" w:rsidP="005C0567">
            <w:pPr>
              <w:jc w:val="center"/>
            </w:pPr>
          </w:p>
        </w:tc>
        <w:tc>
          <w:tcPr>
            <w:tcW w:w="1251" w:type="dxa"/>
            <w:shd w:val="clear" w:color="auto" w:fill="D9D9D9" w:themeFill="background1" w:themeFillShade="D9"/>
            <w:vAlign w:val="center"/>
          </w:tcPr>
          <w:p w14:paraId="4866D85F" w14:textId="77777777" w:rsidR="004D1A15" w:rsidRDefault="004D1A15" w:rsidP="005C0567">
            <w:pPr>
              <w:jc w:val="center"/>
            </w:pPr>
          </w:p>
        </w:tc>
        <w:tc>
          <w:tcPr>
            <w:tcW w:w="1875" w:type="dxa"/>
            <w:shd w:val="clear" w:color="auto" w:fill="D9D9D9" w:themeFill="background1" w:themeFillShade="D9"/>
            <w:vAlign w:val="center"/>
          </w:tcPr>
          <w:p w14:paraId="2C877FE4" w14:textId="77777777" w:rsidR="004D1A15" w:rsidRDefault="004D1A15" w:rsidP="005C0567">
            <w:pPr>
              <w:jc w:val="center"/>
            </w:pPr>
          </w:p>
        </w:tc>
        <w:tc>
          <w:tcPr>
            <w:tcW w:w="1275" w:type="dxa"/>
            <w:shd w:val="clear" w:color="auto" w:fill="D9D9D9" w:themeFill="background1" w:themeFillShade="D9"/>
            <w:vAlign w:val="center"/>
          </w:tcPr>
          <w:p w14:paraId="65421D53" w14:textId="77777777" w:rsidR="004D1A15" w:rsidRDefault="004D1A15" w:rsidP="005C0567">
            <w:pPr>
              <w:jc w:val="center"/>
            </w:pPr>
          </w:p>
        </w:tc>
        <w:tc>
          <w:tcPr>
            <w:tcW w:w="1440" w:type="dxa"/>
            <w:shd w:val="clear" w:color="auto" w:fill="D9D9D9" w:themeFill="background1" w:themeFillShade="D9"/>
            <w:vAlign w:val="center"/>
          </w:tcPr>
          <w:p w14:paraId="346BEEA4" w14:textId="77777777" w:rsidR="004D1A15" w:rsidRDefault="004D1A15" w:rsidP="005C0567">
            <w:pPr>
              <w:jc w:val="center"/>
            </w:pPr>
          </w:p>
        </w:tc>
        <w:tc>
          <w:tcPr>
            <w:tcW w:w="1763" w:type="dxa"/>
            <w:shd w:val="clear" w:color="auto" w:fill="D9D9D9" w:themeFill="background1" w:themeFillShade="D9"/>
            <w:vAlign w:val="center"/>
          </w:tcPr>
          <w:p w14:paraId="2BAEDC3A" w14:textId="77777777" w:rsidR="004D1A15" w:rsidRDefault="004D1A15" w:rsidP="005C0567">
            <w:pPr>
              <w:jc w:val="center"/>
            </w:pPr>
          </w:p>
        </w:tc>
        <w:tc>
          <w:tcPr>
            <w:tcW w:w="1382" w:type="dxa"/>
            <w:shd w:val="clear" w:color="auto" w:fill="D9D9D9" w:themeFill="background1" w:themeFillShade="D9"/>
            <w:vAlign w:val="center"/>
          </w:tcPr>
          <w:p w14:paraId="6E435DF5" w14:textId="77777777" w:rsidR="004D1A15" w:rsidRDefault="004D1A15" w:rsidP="005C0567">
            <w:pPr>
              <w:jc w:val="center"/>
            </w:pPr>
          </w:p>
        </w:tc>
      </w:tr>
      <w:tr w:rsidR="004D1A15" w14:paraId="739A1B6F" w14:textId="77777777" w:rsidTr="00174501">
        <w:trPr>
          <w:trHeight w:val="390"/>
          <w:jc w:val="center"/>
        </w:trPr>
        <w:tc>
          <w:tcPr>
            <w:tcW w:w="0" w:type="auto"/>
            <w:tcMar>
              <w:left w:w="29" w:type="dxa"/>
              <w:right w:w="115" w:type="dxa"/>
            </w:tcMar>
            <w:vAlign w:val="center"/>
          </w:tcPr>
          <w:p w14:paraId="0AD6314E" w14:textId="77777777" w:rsidR="004D1A15" w:rsidRDefault="004D1A15" w:rsidP="001169AD">
            <w:r>
              <w:t>Cerebral</w:t>
            </w:r>
          </w:p>
        </w:tc>
        <w:tc>
          <w:tcPr>
            <w:tcW w:w="1296" w:type="dxa"/>
            <w:vAlign w:val="center"/>
          </w:tcPr>
          <w:p w14:paraId="562E2280" w14:textId="77777777" w:rsidR="004D1A15" w:rsidRDefault="004D1A15" w:rsidP="001169AD">
            <w:pPr>
              <w:jc w:val="center"/>
            </w:pPr>
            <w:r>
              <w:t>2 (40.0)</w:t>
            </w:r>
          </w:p>
        </w:tc>
        <w:tc>
          <w:tcPr>
            <w:tcW w:w="1872" w:type="dxa"/>
            <w:vAlign w:val="center"/>
          </w:tcPr>
          <w:p w14:paraId="42EE65F0" w14:textId="77777777" w:rsidR="004D1A15" w:rsidRDefault="004D1A15" w:rsidP="001169AD">
            <w:pPr>
              <w:jc w:val="center"/>
            </w:pPr>
            <w:r>
              <w:t>0 (0.0)</w:t>
            </w:r>
          </w:p>
        </w:tc>
        <w:tc>
          <w:tcPr>
            <w:tcW w:w="1234" w:type="dxa"/>
            <w:vAlign w:val="center"/>
          </w:tcPr>
          <w:p w14:paraId="4EC96F12" w14:textId="77777777" w:rsidR="004D1A15" w:rsidRDefault="004D1A15" w:rsidP="001169AD">
            <w:pPr>
              <w:jc w:val="center"/>
            </w:pPr>
            <w:r>
              <w:t>2 (40.0)</w:t>
            </w:r>
          </w:p>
        </w:tc>
        <w:tc>
          <w:tcPr>
            <w:tcW w:w="1251" w:type="dxa"/>
            <w:vAlign w:val="center"/>
          </w:tcPr>
          <w:p w14:paraId="20B6D8F0" w14:textId="77777777" w:rsidR="004D1A15" w:rsidRDefault="004D1A15" w:rsidP="001169AD">
            <w:pPr>
              <w:jc w:val="center"/>
            </w:pPr>
            <w:r>
              <w:t>2 (28.6)</w:t>
            </w:r>
          </w:p>
        </w:tc>
        <w:tc>
          <w:tcPr>
            <w:tcW w:w="1875" w:type="dxa"/>
            <w:vAlign w:val="center"/>
          </w:tcPr>
          <w:p w14:paraId="21AD2909" w14:textId="77777777" w:rsidR="004D1A15" w:rsidRDefault="004D1A15" w:rsidP="001169AD">
            <w:pPr>
              <w:jc w:val="center"/>
            </w:pPr>
            <w:r>
              <w:t>0 (0.0)</w:t>
            </w:r>
          </w:p>
        </w:tc>
        <w:tc>
          <w:tcPr>
            <w:tcW w:w="1275" w:type="dxa"/>
            <w:vAlign w:val="center"/>
          </w:tcPr>
          <w:p w14:paraId="0B0BFA71" w14:textId="77777777" w:rsidR="004D1A15" w:rsidRDefault="004D1A15" w:rsidP="001169AD">
            <w:pPr>
              <w:jc w:val="center"/>
            </w:pPr>
            <w:r>
              <w:t>2 (25.0)</w:t>
            </w:r>
          </w:p>
        </w:tc>
        <w:tc>
          <w:tcPr>
            <w:tcW w:w="1440" w:type="dxa"/>
            <w:shd w:val="clear" w:color="auto" w:fill="FFFFFF" w:themeFill="background1"/>
            <w:vAlign w:val="center"/>
          </w:tcPr>
          <w:p w14:paraId="65936F0E" w14:textId="77777777" w:rsidR="004D1A15" w:rsidRDefault="004D1A15" w:rsidP="001169AD">
            <w:pPr>
              <w:jc w:val="center"/>
            </w:pPr>
            <w:r>
              <w:t>2 (8.0)</w:t>
            </w:r>
          </w:p>
        </w:tc>
        <w:tc>
          <w:tcPr>
            <w:tcW w:w="1763" w:type="dxa"/>
            <w:shd w:val="clear" w:color="auto" w:fill="FFFFFF" w:themeFill="background1"/>
            <w:vAlign w:val="center"/>
          </w:tcPr>
          <w:p w14:paraId="64185A27" w14:textId="77777777" w:rsidR="004D1A15" w:rsidRDefault="004D1A15" w:rsidP="001169AD">
            <w:pPr>
              <w:jc w:val="center"/>
            </w:pPr>
            <w:r>
              <w:t>0 (0.0)</w:t>
            </w:r>
          </w:p>
        </w:tc>
        <w:tc>
          <w:tcPr>
            <w:tcW w:w="1382" w:type="dxa"/>
            <w:shd w:val="clear" w:color="auto" w:fill="FFFFFF" w:themeFill="background1"/>
            <w:vAlign w:val="center"/>
          </w:tcPr>
          <w:p w14:paraId="154783DB" w14:textId="77777777" w:rsidR="004D1A15" w:rsidRDefault="004D1A15" w:rsidP="001169AD">
            <w:pPr>
              <w:jc w:val="center"/>
            </w:pPr>
            <w:r>
              <w:t>2 (6.9)</w:t>
            </w:r>
          </w:p>
        </w:tc>
      </w:tr>
      <w:tr w:rsidR="004D1A15" w14:paraId="06A8872D" w14:textId="77777777" w:rsidTr="00174501">
        <w:trPr>
          <w:trHeight w:val="408"/>
          <w:jc w:val="center"/>
        </w:trPr>
        <w:tc>
          <w:tcPr>
            <w:tcW w:w="0" w:type="auto"/>
            <w:tcMar>
              <w:left w:w="29" w:type="dxa"/>
              <w:right w:w="115" w:type="dxa"/>
            </w:tcMar>
            <w:vAlign w:val="center"/>
          </w:tcPr>
          <w:p w14:paraId="7A1B57F9" w14:textId="77777777" w:rsidR="004D1A15" w:rsidRDefault="004D1A15" w:rsidP="001169AD">
            <w:r>
              <w:t>Gastrointestinal</w:t>
            </w:r>
          </w:p>
        </w:tc>
        <w:tc>
          <w:tcPr>
            <w:tcW w:w="1296" w:type="dxa"/>
            <w:vAlign w:val="center"/>
          </w:tcPr>
          <w:p w14:paraId="060AE5F8" w14:textId="77777777" w:rsidR="004D1A15" w:rsidRPr="000F0F9F" w:rsidRDefault="004D1A15" w:rsidP="001169AD">
            <w:pPr>
              <w:jc w:val="center"/>
              <w:rPr>
                <w:bCs/>
              </w:rPr>
            </w:pPr>
            <w:r>
              <w:rPr>
                <w:bCs/>
              </w:rPr>
              <w:t>1 (20.0)</w:t>
            </w:r>
          </w:p>
        </w:tc>
        <w:tc>
          <w:tcPr>
            <w:tcW w:w="1872" w:type="dxa"/>
            <w:vAlign w:val="center"/>
          </w:tcPr>
          <w:p w14:paraId="6B250DF8" w14:textId="77777777" w:rsidR="004D1A15" w:rsidRPr="000F0F9F" w:rsidRDefault="004D1A15" w:rsidP="001169AD">
            <w:pPr>
              <w:jc w:val="center"/>
              <w:rPr>
                <w:bCs/>
              </w:rPr>
            </w:pPr>
            <w:r>
              <w:t>0 (0.0)</w:t>
            </w:r>
          </w:p>
        </w:tc>
        <w:tc>
          <w:tcPr>
            <w:tcW w:w="1234" w:type="dxa"/>
            <w:vAlign w:val="center"/>
          </w:tcPr>
          <w:p w14:paraId="0795C9C0" w14:textId="77777777" w:rsidR="004D1A15" w:rsidRPr="000F0F9F" w:rsidRDefault="004D1A15" w:rsidP="001169AD">
            <w:pPr>
              <w:jc w:val="center"/>
              <w:rPr>
                <w:bCs/>
              </w:rPr>
            </w:pPr>
            <w:r>
              <w:rPr>
                <w:bCs/>
              </w:rPr>
              <w:t>1 (20.0)</w:t>
            </w:r>
          </w:p>
        </w:tc>
        <w:tc>
          <w:tcPr>
            <w:tcW w:w="1251" w:type="dxa"/>
            <w:vAlign w:val="center"/>
          </w:tcPr>
          <w:p w14:paraId="18697889" w14:textId="77777777" w:rsidR="004D1A15" w:rsidRDefault="004D1A15" w:rsidP="001169AD">
            <w:pPr>
              <w:jc w:val="center"/>
            </w:pPr>
            <w:r>
              <w:t>2 (28.6)</w:t>
            </w:r>
          </w:p>
        </w:tc>
        <w:tc>
          <w:tcPr>
            <w:tcW w:w="1875" w:type="dxa"/>
            <w:vAlign w:val="center"/>
          </w:tcPr>
          <w:p w14:paraId="2141D293" w14:textId="77777777" w:rsidR="004D1A15" w:rsidRPr="000F0F9F" w:rsidRDefault="004D1A15" w:rsidP="001169AD">
            <w:pPr>
              <w:jc w:val="center"/>
              <w:rPr>
                <w:bCs/>
              </w:rPr>
            </w:pPr>
            <w:r>
              <w:t>0 (0.0)</w:t>
            </w:r>
          </w:p>
        </w:tc>
        <w:tc>
          <w:tcPr>
            <w:tcW w:w="1275" w:type="dxa"/>
            <w:vAlign w:val="center"/>
          </w:tcPr>
          <w:p w14:paraId="75380AB8" w14:textId="77777777" w:rsidR="004D1A15" w:rsidRPr="000F0F9F" w:rsidRDefault="004D1A15" w:rsidP="001169AD">
            <w:pPr>
              <w:jc w:val="center"/>
              <w:rPr>
                <w:bCs/>
              </w:rPr>
            </w:pPr>
            <w:r>
              <w:t>2 (25.0)</w:t>
            </w:r>
          </w:p>
        </w:tc>
        <w:tc>
          <w:tcPr>
            <w:tcW w:w="1440" w:type="dxa"/>
            <w:shd w:val="clear" w:color="auto" w:fill="FFFFFF" w:themeFill="background1"/>
            <w:vAlign w:val="center"/>
          </w:tcPr>
          <w:p w14:paraId="02003354" w14:textId="77777777" w:rsidR="004D1A15" w:rsidRPr="000F0F9F" w:rsidRDefault="004D1A15" w:rsidP="001169AD">
            <w:pPr>
              <w:jc w:val="center"/>
              <w:rPr>
                <w:bCs/>
              </w:rPr>
            </w:pPr>
            <w:r>
              <w:rPr>
                <w:bCs/>
              </w:rPr>
              <w:t>5 (20.0)</w:t>
            </w:r>
          </w:p>
        </w:tc>
        <w:tc>
          <w:tcPr>
            <w:tcW w:w="1763" w:type="dxa"/>
            <w:shd w:val="clear" w:color="auto" w:fill="FFFFFF" w:themeFill="background1"/>
            <w:vAlign w:val="center"/>
          </w:tcPr>
          <w:p w14:paraId="5CBDC201" w14:textId="77777777" w:rsidR="004D1A15" w:rsidRPr="000F0F9F" w:rsidRDefault="004D1A15" w:rsidP="001169AD">
            <w:pPr>
              <w:jc w:val="center"/>
              <w:rPr>
                <w:bCs/>
              </w:rPr>
            </w:pPr>
            <w:r>
              <w:t>0 (0.0)</w:t>
            </w:r>
          </w:p>
        </w:tc>
        <w:tc>
          <w:tcPr>
            <w:tcW w:w="1382" w:type="dxa"/>
            <w:shd w:val="clear" w:color="auto" w:fill="FFFFFF" w:themeFill="background1"/>
            <w:vAlign w:val="center"/>
          </w:tcPr>
          <w:p w14:paraId="76C88BCF" w14:textId="77777777" w:rsidR="004D1A15" w:rsidRPr="000F0F9F" w:rsidRDefault="004D1A15" w:rsidP="001169AD">
            <w:pPr>
              <w:jc w:val="center"/>
              <w:rPr>
                <w:bCs/>
              </w:rPr>
            </w:pPr>
            <w:r>
              <w:rPr>
                <w:bCs/>
              </w:rPr>
              <w:t>5 (17.2)</w:t>
            </w:r>
          </w:p>
        </w:tc>
      </w:tr>
      <w:tr w:rsidR="004D1A15" w14:paraId="75072BF9" w14:textId="77777777" w:rsidTr="00174501">
        <w:trPr>
          <w:trHeight w:val="408"/>
          <w:jc w:val="center"/>
        </w:trPr>
        <w:tc>
          <w:tcPr>
            <w:tcW w:w="0" w:type="auto"/>
            <w:tcMar>
              <w:left w:w="29" w:type="dxa"/>
              <w:right w:w="115" w:type="dxa"/>
            </w:tcMar>
            <w:vAlign w:val="center"/>
          </w:tcPr>
          <w:p w14:paraId="0A56904F" w14:textId="77777777" w:rsidR="004D1A15" w:rsidRDefault="004D1A15" w:rsidP="001169AD">
            <w:r>
              <w:t>Genitourinary</w:t>
            </w:r>
          </w:p>
        </w:tc>
        <w:tc>
          <w:tcPr>
            <w:tcW w:w="1296" w:type="dxa"/>
            <w:vAlign w:val="center"/>
          </w:tcPr>
          <w:p w14:paraId="35EADAB3" w14:textId="77777777" w:rsidR="004D1A15" w:rsidRDefault="004D1A15" w:rsidP="001169AD">
            <w:pPr>
              <w:jc w:val="center"/>
            </w:pPr>
            <w:r>
              <w:rPr>
                <w:bCs/>
              </w:rPr>
              <w:t>1 (20.0)</w:t>
            </w:r>
          </w:p>
        </w:tc>
        <w:tc>
          <w:tcPr>
            <w:tcW w:w="1872" w:type="dxa"/>
            <w:vAlign w:val="center"/>
          </w:tcPr>
          <w:p w14:paraId="0DD4E11E" w14:textId="77777777" w:rsidR="004D1A15" w:rsidRDefault="004D1A15" w:rsidP="001169AD">
            <w:pPr>
              <w:jc w:val="center"/>
            </w:pPr>
            <w:r>
              <w:t>0 (0.0)</w:t>
            </w:r>
          </w:p>
        </w:tc>
        <w:tc>
          <w:tcPr>
            <w:tcW w:w="1234" w:type="dxa"/>
            <w:vAlign w:val="center"/>
          </w:tcPr>
          <w:p w14:paraId="3ACCF871" w14:textId="77777777" w:rsidR="004D1A15" w:rsidRDefault="004D1A15" w:rsidP="001169AD">
            <w:pPr>
              <w:jc w:val="center"/>
            </w:pPr>
            <w:r>
              <w:rPr>
                <w:bCs/>
              </w:rPr>
              <w:t>1 (20.0)</w:t>
            </w:r>
          </w:p>
        </w:tc>
        <w:tc>
          <w:tcPr>
            <w:tcW w:w="1251" w:type="dxa"/>
            <w:vAlign w:val="center"/>
          </w:tcPr>
          <w:p w14:paraId="6463D7E6" w14:textId="77777777" w:rsidR="004D1A15" w:rsidRDefault="004D1A15" w:rsidP="001169AD">
            <w:pPr>
              <w:jc w:val="center"/>
            </w:pPr>
            <w:r>
              <w:t>2 (28.6)</w:t>
            </w:r>
          </w:p>
        </w:tc>
        <w:tc>
          <w:tcPr>
            <w:tcW w:w="1875" w:type="dxa"/>
            <w:vAlign w:val="center"/>
          </w:tcPr>
          <w:p w14:paraId="655E6C04" w14:textId="77777777" w:rsidR="004D1A15" w:rsidRDefault="004D1A15" w:rsidP="001169AD">
            <w:pPr>
              <w:jc w:val="center"/>
            </w:pPr>
            <w:r>
              <w:t>1 (100.0)</w:t>
            </w:r>
          </w:p>
        </w:tc>
        <w:tc>
          <w:tcPr>
            <w:tcW w:w="1275" w:type="dxa"/>
            <w:vAlign w:val="center"/>
          </w:tcPr>
          <w:p w14:paraId="7262D102" w14:textId="77777777" w:rsidR="004D1A15" w:rsidRDefault="004D1A15" w:rsidP="001169AD">
            <w:pPr>
              <w:jc w:val="center"/>
            </w:pPr>
            <w:r>
              <w:t>3 (37.5)</w:t>
            </w:r>
          </w:p>
        </w:tc>
        <w:tc>
          <w:tcPr>
            <w:tcW w:w="1440" w:type="dxa"/>
            <w:shd w:val="clear" w:color="auto" w:fill="FFFFFF" w:themeFill="background1"/>
            <w:vAlign w:val="center"/>
          </w:tcPr>
          <w:p w14:paraId="53F927B8" w14:textId="77777777" w:rsidR="004D1A15" w:rsidRDefault="004D1A15" w:rsidP="001169AD">
            <w:pPr>
              <w:jc w:val="center"/>
            </w:pPr>
            <w:r>
              <w:t>6 (24.0)</w:t>
            </w:r>
          </w:p>
        </w:tc>
        <w:tc>
          <w:tcPr>
            <w:tcW w:w="1763" w:type="dxa"/>
            <w:shd w:val="clear" w:color="auto" w:fill="FFFFFF" w:themeFill="background1"/>
            <w:vAlign w:val="center"/>
          </w:tcPr>
          <w:p w14:paraId="1875B090" w14:textId="77777777" w:rsidR="004D1A15" w:rsidRDefault="004D1A15" w:rsidP="001169AD">
            <w:pPr>
              <w:jc w:val="center"/>
            </w:pPr>
            <w:r>
              <w:t>3 (75.0)</w:t>
            </w:r>
          </w:p>
        </w:tc>
        <w:tc>
          <w:tcPr>
            <w:tcW w:w="1382" w:type="dxa"/>
            <w:shd w:val="clear" w:color="auto" w:fill="FFFFFF" w:themeFill="background1"/>
            <w:vAlign w:val="center"/>
          </w:tcPr>
          <w:p w14:paraId="76033B4F" w14:textId="77777777" w:rsidR="004D1A15" w:rsidRDefault="004D1A15" w:rsidP="001169AD">
            <w:pPr>
              <w:jc w:val="center"/>
            </w:pPr>
            <w:r>
              <w:t>9 (31.1)</w:t>
            </w:r>
          </w:p>
        </w:tc>
      </w:tr>
      <w:tr w:rsidR="004D1A15" w14:paraId="6AA35025" w14:textId="77777777" w:rsidTr="00174501">
        <w:trPr>
          <w:trHeight w:val="408"/>
          <w:jc w:val="center"/>
        </w:trPr>
        <w:tc>
          <w:tcPr>
            <w:tcW w:w="0" w:type="auto"/>
            <w:tcMar>
              <w:left w:w="29" w:type="dxa"/>
              <w:right w:w="115" w:type="dxa"/>
            </w:tcMar>
            <w:vAlign w:val="center"/>
          </w:tcPr>
          <w:p w14:paraId="2F2EED6A" w14:textId="77777777" w:rsidR="004D1A15" w:rsidRDefault="004D1A15" w:rsidP="001169AD">
            <w:r>
              <w:t>Other</w:t>
            </w:r>
            <w:r w:rsidRPr="0017667A">
              <w:rPr>
                <w:rFonts w:eastAsia="Calibri"/>
                <w:vertAlign w:val="superscript"/>
              </w:rPr>
              <w:t>†</w:t>
            </w:r>
          </w:p>
        </w:tc>
        <w:tc>
          <w:tcPr>
            <w:tcW w:w="1296" w:type="dxa"/>
            <w:vAlign w:val="center"/>
          </w:tcPr>
          <w:p w14:paraId="3656BC06" w14:textId="77777777" w:rsidR="004D1A15" w:rsidRDefault="004D1A15" w:rsidP="001169AD">
            <w:pPr>
              <w:jc w:val="center"/>
            </w:pPr>
            <w:r>
              <w:rPr>
                <w:bCs/>
              </w:rPr>
              <w:t>1 (20.0)</w:t>
            </w:r>
          </w:p>
        </w:tc>
        <w:tc>
          <w:tcPr>
            <w:tcW w:w="1872" w:type="dxa"/>
            <w:vAlign w:val="center"/>
          </w:tcPr>
          <w:p w14:paraId="3877F4B8" w14:textId="77777777" w:rsidR="004D1A15" w:rsidRDefault="004D1A15" w:rsidP="001169AD">
            <w:pPr>
              <w:jc w:val="center"/>
            </w:pPr>
            <w:r>
              <w:t>0 (0.0)</w:t>
            </w:r>
          </w:p>
        </w:tc>
        <w:tc>
          <w:tcPr>
            <w:tcW w:w="1234" w:type="dxa"/>
            <w:vAlign w:val="center"/>
          </w:tcPr>
          <w:p w14:paraId="6CF3F5B5" w14:textId="77777777" w:rsidR="004D1A15" w:rsidRDefault="004D1A15" w:rsidP="001169AD">
            <w:pPr>
              <w:jc w:val="center"/>
            </w:pPr>
            <w:r>
              <w:rPr>
                <w:bCs/>
              </w:rPr>
              <w:t>1 (20.0)</w:t>
            </w:r>
          </w:p>
        </w:tc>
        <w:tc>
          <w:tcPr>
            <w:tcW w:w="1251" w:type="dxa"/>
            <w:vAlign w:val="center"/>
          </w:tcPr>
          <w:p w14:paraId="662609CD" w14:textId="77777777" w:rsidR="004D1A15" w:rsidRPr="000F0F9F" w:rsidRDefault="004D1A15" w:rsidP="001169AD">
            <w:pPr>
              <w:jc w:val="center"/>
              <w:rPr>
                <w:bCs/>
              </w:rPr>
            </w:pPr>
            <w:r>
              <w:rPr>
                <w:bCs/>
              </w:rPr>
              <w:t>1 (14.2)</w:t>
            </w:r>
          </w:p>
        </w:tc>
        <w:tc>
          <w:tcPr>
            <w:tcW w:w="1875" w:type="dxa"/>
            <w:vAlign w:val="center"/>
          </w:tcPr>
          <w:p w14:paraId="5C52F0C9" w14:textId="77777777" w:rsidR="004D1A15" w:rsidRDefault="004D1A15" w:rsidP="001169AD">
            <w:pPr>
              <w:jc w:val="center"/>
            </w:pPr>
            <w:r>
              <w:t>0 (0.0)</w:t>
            </w:r>
          </w:p>
        </w:tc>
        <w:tc>
          <w:tcPr>
            <w:tcW w:w="1275" w:type="dxa"/>
            <w:vAlign w:val="center"/>
          </w:tcPr>
          <w:p w14:paraId="74EC3DC3" w14:textId="77777777" w:rsidR="004D1A15" w:rsidRDefault="004D1A15" w:rsidP="001169AD">
            <w:pPr>
              <w:jc w:val="center"/>
            </w:pPr>
            <w:r>
              <w:t>1 (12.5)</w:t>
            </w:r>
          </w:p>
        </w:tc>
        <w:tc>
          <w:tcPr>
            <w:tcW w:w="1440" w:type="dxa"/>
            <w:shd w:val="clear" w:color="auto" w:fill="FFFFFF" w:themeFill="background1"/>
            <w:vAlign w:val="center"/>
          </w:tcPr>
          <w:p w14:paraId="260A4D84" w14:textId="77777777" w:rsidR="004D1A15" w:rsidRDefault="004D1A15" w:rsidP="001169AD">
            <w:pPr>
              <w:jc w:val="center"/>
            </w:pPr>
            <w:r>
              <w:t>8 (32.0)</w:t>
            </w:r>
          </w:p>
        </w:tc>
        <w:tc>
          <w:tcPr>
            <w:tcW w:w="1763" w:type="dxa"/>
            <w:shd w:val="clear" w:color="auto" w:fill="FFFFFF" w:themeFill="background1"/>
            <w:vAlign w:val="center"/>
          </w:tcPr>
          <w:p w14:paraId="744C752D" w14:textId="77777777" w:rsidR="004D1A15" w:rsidRDefault="004D1A15" w:rsidP="001169AD">
            <w:pPr>
              <w:jc w:val="center"/>
            </w:pPr>
            <w:r>
              <w:t>0 (0.0)</w:t>
            </w:r>
          </w:p>
        </w:tc>
        <w:tc>
          <w:tcPr>
            <w:tcW w:w="1382" w:type="dxa"/>
            <w:shd w:val="clear" w:color="auto" w:fill="FFFFFF" w:themeFill="background1"/>
            <w:vAlign w:val="center"/>
          </w:tcPr>
          <w:p w14:paraId="34383057" w14:textId="77777777" w:rsidR="004D1A15" w:rsidRDefault="004D1A15" w:rsidP="001169AD">
            <w:pPr>
              <w:jc w:val="center"/>
            </w:pPr>
            <w:r>
              <w:t>8 (27.6)</w:t>
            </w:r>
          </w:p>
        </w:tc>
      </w:tr>
      <w:tr w:rsidR="004D1A15" w14:paraId="4E44FE9C" w14:textId="77777777" w:rsidTr="00174501">
        <w:trPr>
          <w:trHeight w:val="408"/>
          <w:jc w:val="center"/>
        </w:trPr>
        <w:tc>
          <w:tcPr>
            <w:tcW w:w="0" w:type="auto"/>
            <w:tcMar>
              <w:left w:w="29" w:type="dxa"/>
              <w:right w:w="115" w:type="dxa"/>
            </w:tcMar>
            <w:vAlign w:val="center"/>
          </w:tcPr>
          <w:p w14:paraId="164693C7" w14:textId="77777777" w:rsidR="004D1A15" w:rsidRDefault="004D1A15" w:rsidP="001169AD">
            <w:r>
              <w:t>Unspecified</w:t>
            </w:r>
            <w:r w:rsidRPr="0017667A">
              <w:rPr>
                <w:rFonts w:eastAsia="Calibri"/>
                <w:vertAlign w:val="superscript"/>
              </w:rPr>
              <w:t>†</w:t>
            </w:r>
          </w:p>
        </w:tc>
        <w:tc>
          <w:tcPr>
            <w:tcW w:w="1296" w:type="dxa"/>
            <w:vAlign w:val="center"/>
          </w:tcPr>
          <w:p w14:paraId="2CA00832" w14:textId="77777777" w:rsidR="004D1A15" w:rsidRDefault="004D1A15" w:rsidP="001169AD">
            <w:pPr>
              <w:jc w:val="center"/>
            </w:pPr>
            <w:r>
              <w:t>0 (0.0)</w:t>
            </w:r>
          </w:p>
        </w:tc>
        <w:tc>
          <w:tcPr>
            <w:tcW w:w="1872" w:type="dxa"/>
            <w:vAlign w:val="center"/>
          </w:tcPr>
          <w:p w14:paraId="126723E8" w14:textId="77777777" w:rsidR="004D1A15" w:rsidRDefault="004D1A15" w:rsidP="001169AD">
            <w:pPr>
              <w:jc w:val="center"/>
            </w:pPr>
            <w:r>
              <w:t>0 (0.0)</w:t>
            </w:r>
          </w:p>
        </w:tc>
        <w:tc>
          <w:tcPr>
            <w:tcW w:w="1234" w:type="dxa"/>
            <w:vAlign w:val="center"/>
          </w:tcPr>
          <w:p w14:paraId="19D94889" w14:textId="77777777" w:rsidR="004D1A15" w:rsidRDefault="004D1A15" w:rsidP="001169AD">
            <w:pPr>
              <w:jc w:val="center"/>
            </w:pPr>
            <w:r>
              <w:t>0 (0.0)</w:t>
            </w:r>
          </w:p>
        </w:tc>
        <w:tc>
          <w:tcPr>
            <w:tcW w:w="1251" w:type="dxa"/>
            <w:vAlign w:val="center"/>
          </w:tcPr>
          <w:p w14:paraId="3FC06DA9" w14:textId="77777777" w:rsidR="004D1A15" w:rsidRDefault="004D1A15" w:rsidP="001169AD">
            <w:pPr>
              <w:jc w:val="center"/>
            </w:pPr>
            <w:r>
              <w:t>0 (0.0)</w:t>
            </w:r>
          </w:p>
        </w:tc>
        <w:tc>
          <w:tcPr>
            <w:tcW w:w="1875" w:type="dxa"/>
            <w:vAlign w:val="center"/>
          </w:tcPr>
          <w:p w14:paraId="543BC795" w14:textId="77777777" w:rsidR="004D1A15" w:rsidRDefault="004D1A15" w:rsidP="001169AD">
            <w:pPr>
              <w:jc w:val="center"/>
            </w:pPr>
            <w:r>
              <w:t>0 (0.0)</w:t>
            </w:r>
          </w:p>
        </w:tc>
        <w:tc>
          <w:tcPr>
            <w:tcW w:w="1275" w:type="dxa"/>
            <w:vAlign w:val="center"/>
          </w:tcPr>
          <w:p w14:paraId="14647B25" w14:textId="77777777" w:rsidR="004D1A15" w:rsidRDefault="004D1A15" w:rsidP="001169AD">
            <w:pPr>
              <w:jc w:val="center"/>
            </w:pPr>
            <w:r>
              <w:t>0 (0.0)</w:t>
            </w:r>
          </w:p>
        </w:tc>
        <w:tc>
          <w:tcPr>
            <w:tcW w:w="1440" w:type="dxa"/>
            <w:shd w:val="clear" w:color="auto" w:fill="FFFFFF" w:themeFill="background1"/>
            <w:vAlign w:val="center"/>
          </w:tcPr>
          <w:p w14:paraId="6DD4F003" w14:textId="77777777" w:rsidR="004D1A15" w:rsidRDefault="004D1A15" w:rsidP="001169AD">
            <w:pPr>
              <w:jc w:val="center"/>
            </w:pPr>
            <w:r>
              <w:t>4 (16.0)</w:t>
            </w:r>
          </w:p>
        </w:tc>
        <w:tc>
          <w:tcPr>
            <w:tcW w:w="1763" w:type="dxa"/>
            <w:shd w:val="clear" w:color="auto" w:fill="FFFFFF" w:themeFill="background1"/>
            <w:vAlign w:val="center"/>
          </w:tcPr>
          <w:p w14:paraId="1D089E6D" w14:textId="77777777" w:rsidR="004D1A15" w:rsidRDefault="004D1A15" w:rsidP="001169AD">
            <w:pPr>
              <w:jc w:val="center"/>
            </w:pPr>
            <w:r>
              <w:t>1 (25.0)</w:t>
            </w:r>
          </w:p>
        </w:tc>
        <w:tc>
          <w:tcPr>
            <w:tcW w:w="1382" w:type="dxa"/>
            <w:shd w:val="clear" w:color="auto" w:fill="FFFFFF" w:themeFill="background1"/>
            <w:vAlign w:val="center"/>
          </w:tcPr>
          <w:p w14:paraId="6EB26E79" w14:textId="77777777" w:rsidR="004D1A15" w:rsidRDefault="004D1A15" w:rsidP="001169AD">
            <w:pPr>
              <w:jc w:val="center"/>
            </w:pPr>
            <w:r>
              <w:t>5 (17.2)</w:t>
            </w:r>
          </w:p>
        </w:tc>
      </w:tr>
      <w:tr w:rsidR="004D1A15" w14:paraId="19705E42" w14:textId="77777777" w:rsidTr="00174501">
        <w:trPr>
          <w:trHeight w:val="390"/>
          <w:jc w:val="center"/>
        </w:trPr>
        <w:tc>
          <w:tcPr>
            <w:tcW w:w="0" w:type="auto"/>
            <w:tcMar>
              <w:left w:w="29" w:type="dxa"/>
              <w:right w:w="115" w:type="dxa"/>
            </w:tcMar>
            <w:vAlign w:val="center"/>
          </w:tcPr>
          <w:p w14:paraId="47E87AD1" w14:textId="77777777" w:rsidR="004D1A15" w:rsidRDefault="004D1A15" w:rsidP="001169AD">
            <w:r>
              <w:t>Total</w:t>
            </w:r>
          </w:p>
        </w:tc>
        <w:tc>
          <w:tcPr>
            <w:tcW w:w="1296" w:type="dxa"/>
            <w:vAlign w:val="center"/>
          </w:tcPr>
          <w:p w14:paraId="3CBC7D17" w14:textId="77777777" w:rsidR="004D1A15" w:rsidRDefault="004D1A15" w:rsidP="001169AD">
            <w:pPr>
              <w:jc w:val="center"/>
            </w:pPr>
            <w:r>
              <w:t>5 (100.0)</w:t>
            </w:r>
          </w:p>
        </w:tc>
        <w:tc>
          <w:tcPr>
            <w:tcW w:w="1872" w:type="dxa"/>
            <w:vAlign w:val="center"/>
          </w:tcPr>
          <w:p w14:paraId="2617BB0A" w14:textId="77777777" w:rsidR="004D1A15" w:rsidRDefault="004D1A15" w:rsidP="001169AD">
            <w:pPr>
              <w:jc w:val="center"/>
            </w:pPr>
            <w:r>
              <w:t>0 (0.0)</w:t>
            </w:r>
          </w:p>
        </w:tc>
        <w:tc>
          <w:tcPr>
            <w:tcW w:w="1234" w:type="dxa"/>
            <w:vAlign w:val="center"/>
          </w:tcPr>
          <w:p w14:paraId="776F46BF" w14:textId="77777777" w:rsidR="004D1A15" w:rsidRDefault="004D1A15" w:rsidP="001169AD">
            <w:pPr>
              <w:jc w:val="center"/>
            </w:pPr>
            <w:r>
              <w:t>5 (100.0)</w:t>
            </w:r>
          </w:p>
        </w:tc>
        <w:tc>
          <w:tcPr>
            <w:tcW w:w="1251" w:type="dxa"/>
            <w:vAlign w:val="center"/>
          </w:tcPr>
          <w:p w14:paraId="02F9FE9C" w14:textId="77777777" w:rsidR="004D1A15" w:rsidRDefault="004D1A15" w:rsidP="001169AD">
            <w:pPr>
              <w:jc w:val="center"/>
            </w:pPr>
            <w:r>
              <w:t>7 (100.0)</w:t>
            </w:r>
          </w:p>
        </w:tc>
        <w:tc>
          <w:tcPr>
            <w:tcW w:w="1875" w:type="dxa"/>
            <w:vAlign w:val="center"/>
          </w:tcPr>
          <w:p w14:paraId="4BA94578" w14:textId="77777777" w:rsidR="004D1A15" w:rsidRDefault="004D1A15" w:rsidP="001169AD">
            <w:pPr>
              <w:jc w:val="center"/>
            </w:pPr>
            <w:r>
              <w:t>1 (100.0)</w:t>
            </w:r>
          </w:p>
        </w:tc>
        <w:tc>
          <w:tcPr>
            <w:tcW w:w="1275" w:type="dxa"/>
            <w:vAlign w:val="center"/>
          </w:tcPr>
          <w:p w14:paraId="37DAD92C" w14:textId="77777777" w:rsidR="004D1A15" w:rsidRDefault="004D1A15" w:rsidP="001169AD">
            <w:pPr>
              <w:jc w:val="center"/>
            </w:pPr>
            <w:r>
              <w:t>8 (100.0)</w:t>
            </w:r>
          </w:p>
        </w:tc>
        <w:tc>
          <w:tcPr>
            <w:tcW w:w="1440" w:type="dxa"/>
            <w:shd w:val="clear" w:color="auto" w:fill="FFFFFF" w:themeFill="background1"/>
            <w:vAlign w:val="center"/>
          </w:tcPr>
          <w:p w14:paraId="61CA4FE3" w14:textId="77777777" w:rsidR="004D1A15" w:rsidRDefault="004D1A15" w:rsidP="001169AD">
            <w:pPr>
              <w:jc w:val="center"/>
            </w:pPr>
            <w:r>
              <w:t>25 (100.0)</w:t>
            </w:r>
          </w:p>
        </w:tc>
        <w:tc>
          <w:tcPr>
            <w:tcW w:w="1763" w:type="dxa"/>
            <w:shd w:val="clear" w:color="auto" w:fill="FFFFFF" w:themeFill="background1"/>
            <w:vAlign w:val="center"/>
          </w:tcPr>
          <w:p w14:paraId="2967AEAD" w14:textId="77777777" w:rsidR="004D1A15" w:rsidRDefault="004D1A15" w:rsidP="001169AD">
            <w:pPr>
              <w:jc w:val="center"/>
            </w:pPr>
            <w:r>
              <w:t>4 (100.0)</w:t>
            </w:r>
          </w:p>
        </w:tc>
        <w:tc>
          <w:tcPr>
            <w:tcW w:w="1382" w:type="dxa"/>
            <w:shd w:val="clear" w:color="auto" w:fill="FFFFFF" w:themeFill="background1"/>
            <w:vAlign w:val="center"/>
          </w:tcPr>
          <w:p w14:paraId="09A4FC51" w14:textId="77777777" w:rsidR="004D1A15" w:rsidRDefault="004D1A15" w:rsidP="001169AD">
            <w:pPr>
              <w:jc w:val="center"/>
            </w:pPr>
            <w:r>
              <w:t>29 (100.0)</w:t>
            </w:r>
          </w:p>
        </w:tc>
      </w:tr>
      <w:tr w:rsidR="004D1A15" w14:paraId="4ED6A211" w14:textId="77777777" w:rsidTr="00174501">
        <w:trPr>
          <w:trHeight w:val="390"/>
          <w:jc w:val="center"/>
        </w:trPr>
        <w:tc>
          <w:tcPr>
            <w:tcW w:w="0" w:type="auto"/>
            <w:shd w:val="clear" w:color="auto" w:fill="D9D9D9" w:themeFill="background1" w:themeFillShade="D9"/>
            <w:tcMar>
              <w:left w:w="29" w:type="dxa"/>
              <w:right w:w="115" w:type="dxa"/>
            </w:tcMar>
            <w:vAlign w:val="center"/>
          </w:tcPr>
          <w:p w14:paraId="06DCD19D" w14:textId="77777777" w:rsidR="004D1A15" w:rsidRPr="00783551" w:rsidRDefault="004D1A15" w:rsidP="005C0567">
            <w:pPr>
              <w:rPr>
                <w:b/>
                <w:bCs/>
              </w:rPr>
            </w:pPr>
            <w:r w:rsidRPr="00783551">
              <w:rPr>
                <w:b/>
                <w:bCs/>
              </w:rPr>
              <w:t>Rivaroxaban</w:t>
            </w:r>
          </w:p>
        </w:tc>
        <w:tc>
          <w:tcPr>
            <w:tcW w:w="1296" w:type="dxa"/>
            <w:shd w:val="clear" w:color="auto" w:fill="D9D9D9" w:themeFill="background1" w:themeFillShade="D9"/>
            <w:vAlign w:val="center"/>
          </w:tcPr>
          <w:p w14:paraId="60621A06" w14:textId="77777777" w:rsidR="004D1A15" w:rsidRDefault="004D1A15" w:rsidP="005C0567">
            <w:pPr>
              <w:jc w:val="center"/>
            </w:pPr>
          </w:p>
        </w:tc>
        <w:tc>
          <w:tcPr>
            <w:tcW w:w="1872" w:type="dxa"/>
            <w:shd w:val="clear" w:color="auto" w:fill="D9D9D9" w:themeFill="background1" w:themeFillShade="D9"/>
            <w:vAlign w:val="center"/>
          </w:tcPr>
          <w:p w14:paraId="2E8D358B" w14:textId="77777777" w:rsidR="004D1A15" w:rsidRDefault="004D1A15" w:rsidP="005C0567">
            <w:pPr>
              <w:jc w:val="center"/>
            </w:pPr>
          </w:p>
        </w:tc>
        <w:tc>
          <w:tcPr>
            <w:tcW w:w="1234" w:type="dxa"/>
            <w:shd w:val="clear" w:color="auto" w:fill="D9D9D9" w:themeFill="background1" w:themeFillShade="D9"/>
            <w:vAlign w:val="center"/>
          </w:tcPr>
          <w:p w14:paraId="7A4BD568" w14:textId="77777777" w:rsidR="004D1A15" w:rsidRDefault="004D1A15" w:rsidP="005C0567">
            <w:pPr>
              <w:jc w:val="center"/>
            </w:pPr>
          </w:p>
        </w:tc>
        <w:tc>
          <w:tcPr>
            <w:tcW w:w="1251" w:type="dxa"/>
            <w:shd w:val="clear" w:color="auto" w:fill="D9D9D9" w:themeFill="background1" w:themeFillShade="D9"/>
            <w:vAlign w:val="center"/>
          </w:tcPr>
          <w:p w14:paraId="4A46F4A9" w14:textId="77777777" w:rsidR="004D1A15" w:rsidRDefault="004D1A15" w:rsidP="005C0567">
            <w:pPr>
              <w:jc w:val="center"/>
            </w:pPr>
          </w:p>
        </w:tc>
        <w:tc>
          <w:tcPr>
            <w:tcW w:w="1875" w:type="dxa"/>
            <w:shd w:val="clear" w:color="auto" w:fill="D9D9D9" w:themeFill="background1" w:themeFillShade="D9"/>
            <w:vAlign w:val="center"/>
          </w:tcPr>
          <w:p w14:paraId="1F24D73B" w14:textId="77777777" w:rsidR="004D1A15" w:rsidRDefault="004D1A15" w:rsidP="005C0567">
            <w:pPr>
              <w:jc w:val="center"/>
            </w:pPr>
          </w:p>
        </w:tc>
        <w:tc>
          <w:tcPr>
            <w:tcW w:w="1275" w:type="dxa"/>
            <w:shd w:val="clear" w:color="auto" w:fill="D9D9D9" w:themeFill="background1" w:themeFillShade="D9"/>
            <w:vAlign w:val="center"/>
          </w:tcPr>
          <w:p w14:paraId="6361B21F" w14:textId="77777777" w:rsidR="004D1A15" w:rsidRDefault="004D1A15" w:rsidP="005C0567">
            <w:pPr>
              <w:jc w:val="center"/>
            </w:pPr>
          </w:p>
        </w:tc>
        <w:tc>
          <w:tcPr>
            <w:tcW w:w="1440" w:type="dxa"/>
            <w:shd w:val="clear" w:color="auto" w:fill="D9D9D9" w:themeFill="background1" w:themeFillShade="D9"/>
            <w:vAlign w:val="center"/>
          </w:tcPr>
          <w:p w14:paraId="35FB383D" w14:textId="77777777" w:rsidR="004D1A15" w:rsidRDefault="004D1A15" w:rsidP="005C0567">
            <w:pPr>
              <w:jc w:val="center"/>
            </w:pPr>
          </w:p>
        </w:tc>
        <w:tc>
          <w:tcPr>
            <w:tcW w:w="1763" w:type="dxa"/>
            <w:shd w:val="clear" w:color="auto" w:fill="D9D9D9" w:themeFill="background1" w:themeFillShade="D9"/>
            <w:vAlign w:val="center"/>
          </w:tcPr>
          <w:p w14:paraId="01A941FF" w14:textId="77777777" w:rsidR="004D1A15" w:rsidRDefault="004D1A15" w:rsidP="005C0567">
            <w:pPr>
              <w:jc w:val="center"/>
            </w:pPr>
          </w:p>
        </w:tc>
        <w:tc>
          <w:tcPr>
            <w:tcW w:w="1382" w:type="dxa"/>
            <w:shd w:val="clear" w:color="auto" w:fill="D9D9D9" w:themeFill="background1" w:themeFillShade="D9"/>
            <w:vAlign w:val="center"/>
          </w:tcPr>
          <w:p w14:paraId="55559233" w14:textId="77777777" w:rsidR="004D1A15" w:rsidRDefault="004D1A15" w:rsidP="005C0567">
            <w:pPr>
              <w:jc w:val="center"/>
            </w:pPr>
          </w:p>
        </w:tc>
      </w:tr>
      <w:tr w:rsidR="004D1A15" w14:paraId="0EA06012" w14:textId="77777777" w:rsidTr="00174501">
        <w:trPr>
          <w:trHeight w:val="390"/>
          <w:jc w:val="center"/>
        </w:trPr>
        <w:tc>
          <w:tcPr>
            <w:tcW w:w="0" w:type="auto"/>
            <w:tcMar>
              <w:left w:w="29" w:type="dxa"/>
              <w:right w:w="115" w:type="dxa"/>
            </w:tcMar>
            <w:vAlign w:val="center"/>
          </w:tcPr>
          <w:p w14:paraId="1B144EEE" w14:textId="77777777" w:rsidR="004D1A15" w:rsidRDefault="004D1A15" w:rsidP="00EE21F8">
            <w:r>
              <w:t>Cerebral</w:t>
            </w:r>
          </w:p>
        </w:tc>
        <w:tc>
          <w:tcPr>
            <w:tcW w:w="1296" w:type="dxa"/>
            <w:vAlign w:val="center"/>
          </w:tcPr>
          <w:p w14:paraId="7524B163" w14:textId="77777777" w:rsidR="004D1A15" w:rsidRDefault="004D1A15" w:rsidP="00EE21F8">
            <w:pPr>
              <w:jc w:val="center"/>
            </w:pPr>
            <w:r>
              <w:t>1 (50.0)</w:t>
            </w:r>
          </w:p>
        </w:tc>
        <w:tc>
          <w:tcPr>
            <w:tcW w:w="1872" w:type="dxa"/>
            <w:vAlign w:val="center"/>
          </w:tcPr>
          <w:p w14:paraId="1BB61442" w14:textId="77777777" w:rsidR="004D1A15" w:rsidRDefault="004D1A15" w:rsidP="00EE21F8">
            <w:pPr>
              <w:jc w:val="center"/>
            </w:pPr>
            <w:r>
              <w:t>0 (0.0)</w:t>
            </w:r>
          </w:p>
        </w:tc>
        <w:tc>
          <w:tcPr>
            <w:tcW w:w="1234" w:type="dxa"/>
            <w:vAlign w:val="center"/>
          </w:tcPr>
          <w:p w14:paraId="3333F408" w14:textId="77777777" w:rsidR="004D1A15" w:rsidRDefault="004D1A15" w:rsidP="00EE21F8">
            <w:pPr>
              <w:jc w:val="center"/>
            </w:pPr>
            <w:r>
              <w:t>1 (50.0)</w:t>
            </w:r>
          </w:p>
        </w:tc>
        <w:tc>
          <w:tcPr>
            <w:tcW w:w="1251" w:type="dxa"/>
            <w:vAlign w:val="center"/>
          </w:tcPr>
          <w:p w14:paraId="6B259864" w14:textId="77777777" w:rsidR="004D1A15" w:rsidRDefault="004D1A15" w:rsidP="00EE21F8">
            <w:pPr>
              <w:jc w:val="center"/>
            </w:pPr>
            <w:r>
              <w:t>1 (16.7)</w:t>
            </w:r>
          </w:p>
        </w:tc>
        <w:tc>
          <w:tcPr>
            <w:tcW w:w="1875" w:type="dxa"/>
            <w:vAlign w:val="center"/>
          </w:tcPr>
          <w:p w14:paraId="1C542B18" w14:textId="77777777" w:rsidR="004D1A15" w:rsidRDefault="004D1A15" w:rsidP="00EE21F8">
            <w:pPr>
              <w:jc w:val="center"/>
            </w:pPr>
            <w:r>
              <w:t>0 (0.0)</w:t>
            </w:r>
          </w:p>
        </w:tc>
        <w:tc>
          <w:tcPr>
            <w:tcW w:w="1275" w:type="dxa"/>
            <w:vAlign w:val="center"/>
          </w:tcPr>
          <w:p w14:paraId="6405E772" w14:textId="77777777" w:rsidR="004D1A15" w:rsidRDefault="004D1A15" w:rsidP="00EE21F8">
            <w:pPr>
              <w:jc w:val="center"/>
            </w:pPr>
            <w:r>
              <w:t>1 (12.5)</w:t>
            </w:r>
          </w:p>
        </w:tc>
        <w:tc>
          <w:tcPr>
            <w:tcW w:w="1440" w:type="dxa"/>
            <w:shd w:val="clear" w:color="auto" w:fill="FFFFFF" w:themeFill="background1"/>
            <w:vAlign w:val="center"/>
          </w:tcPr>
          <w:p w14:paraId="518CF54D" w14:textId="77777777" w:rsidR="004D1A15" w:rsidRDefault="004D1A15" w:rsidP="00EE21F8">
            <w:pPr>
              <w:jc w:val="center"/>
            </w:pPr>
            <w:r>
              <w:t>1 (4.0)</w:t>
            </w:r>
          </w:p>
        </w:tc>
        <w:tc>
          <w:tcPr>
            <w:tcW w:w="1763" w:type="dxa"/>
            <w:shd w:val="clear" w:color="auto" w:fill="FFFFFF" w:themeFill="background1"/>
            <w:vAlign w:val="center"/>
          </w:tcPr>
          <w:p w14:paraId="27AB729A" w14:textId="77777777" w:rsidR="004D1A15" w:rsidRDefault="004D1A15" w:rsidP="00EE21F8">
            <w:pPr>
              <w:jc w:val="center"/>
            </w:pPr>
            <w:r>
              <w:t>0 (0.0)</w:t>
            </w:r>
          </w:p>
        </w:tc>
        <w:tc>
          <w:tcPr>
            <w:tcW w:w="1382" w:type="dxa"/>
            <w:shd w:val="clear" w:color="auto" w:fill="FFFFFF" w:themeFill="background1"/>
            <w:vAlign w:val="center"/>
          </w:tcPr>
          <w:p w14:paraId="7758396F" w14:textId="77777777" w:rsidR="004D1A15" w:rsidRDefault="004D1A15" w:rsidP="00EE21F8">
            <w:pPr>
              <w:jc w:val="center"/>
            </w:pPr>
            <w:r>
              <w:t>1 (3.2)</w:t>
            </w:r>
          </w:p>
        </w:tc>
      </w:tr>
      <w:tr w:rsidR="004D1A15" w14:paraId="256A1E0A" w14:textId="77777777" w:rsidTr="00174501">
        <w:trPr>
          <w:trHeight w:val="390"/>
          <w:jc w:val="center"/>
        </w:trPr>
        <w:tc>
          <w:tcPr>
            <w:tcW w:w="0" w:type="auto"/>
            <w:tcMar>
              <w:left w:w="29" w:type="dxa"/>
              <w:right w:w="115" w:type="dxa"/>
            </w:tcMar>
            <w:vAlign w:val="center"/>
          </w:tcPr>
          <w:p w14:paraId="3992590C" w14:textId="77777777" w:rsidR="004D1A15" w:rsidRDefault="004D1A15" w:rsidP="00EE21F8">
            <w:r>
              <w:t>Gastrointestinal</w:t>
            </w:r>
          </w:p>
        </w:tc>
        <w:tc>
          <w:tcPr>
            <w:tcW w:w="1296" w:type="dxa"/>
            <w:vAlign w:val="center"/>
          </w:tcPr>
          <w:p w14:paraId="3E6EF847" w14:textId="77777777" w:rsidR="004D1A15" w:rsidRDefault="004D1A15" w:rsidP="00EE21F8">
            <w:pPr>
              <w:jc w:val="center"/>
            </w:pPr>
            <w:r>
              <w:t>0 (0.0)</w:t>
            </w:r>
          </w:p>
        </w:tc>
        <w:tc>
          <w:tcPr>
            <w:tcW w:w="1872" w:type="dxa"/>
            <w:vAlign w:val="center"/>
          </w:tcPr>
          <w:p w14:paraId="42378A3E" w14:textId="77777777" w:rsidR="004D1A15" w:rsidRDefault="004D1A15" w:rsidP="00EE21F8">
            <w:pPr>
              <w:jc w:val="center"/>
            </w:pPr>
            <w:r>
              <w:t>0 (0.0)</w:t>
            </w:r>
          </w:p>
        </w:tc>
        <w:tc>
          <w:tcPr>
            <w:tcW w:w="1234" w:type="dxa"/>
            <w:vAlign w:val="center"/>
          </w:tcPr>
          <w:p w14:paraId="67BF4D2E" w14:textId="77777777" w:rsidR="004D1A15" w:rsidRDefault="004D1A15" w:rsidP="00EE21F8">
            <w:pPr>
              <w:jc w:val="center"/>
            </w:pPr>
            <w:r>
              <w:t>0 (0.0)</w:t>
            </w:r>
          </w:p>
        </w:tc>
        <w:tc>
          <w:tcPr>
            <w:tcW w:w="1251" w:type="dxa"/>
            <w:vAlign w:val="center"/>
          </w:tcPr>
          <w:p w14:paraId="3100C3B1" w14:textId="77777777" w:rsidR="004D1A15" w:rsidRDefault="004D1A15" w:rsidP="00EE21F8">
            <w:pPr>
              <w:jc w:val="center"/>
            </w:pPr>
            <w:r>
              <w:t>0 (0.0)</w:t>
            </w:r>
          </w:p>
        </w:tc>
        <w:tc>
          <w:tcPr>
            <w:tcW w:w="1875" w:type="dxa"/>
            <w:vAlign w:val="center"/>
          </w:tcPr>
          <w:p w14:paraId="056018F3" w14:textId="77777777" w:rsidR="004D1A15" w:rsidRDefault="004D1A15" w:rsidP="00EE21F8">
            <w:pPr>
              <w:jc w:val="center"/>
            </w:pPr>
            <w:r>
              <w:t>1 (50.0)</w:t>
            </w:r>
          </w:p>
        </w:tc>
        <w:tc>
          <w:tcPr>
            <w:tcW w:w="1275" w:type="dxa"/>
            <w:vAlign w:val="center"/>
          </w:tcPr>
          <w:p w14:paraId="52A9C5DE" w14:textId="77777777" w:rsidR="004D1A15" w:rsidRDefault="004D1A15" w:rsidP="00EE21F8">
            <w:pPr>
              <w:jc w:val="center"/>
            </w:pPr>
            <w:r>
              <w:t>1 (12.5)</w:t>
            </w:r>
          </w:p>
        </w:tc>
        <w:tc>
          <w:tcPr>
            <w:tcW w:w="1440" w:type="dxa"/>
            <w:shd w:val="clear" w:color="auto" w:fill="FFFFFF" w:themeFill="background1"/>
            <w:vAlign w:val="center"/>
          </w:tcPr>
          <w:p w14:paraId="5618BA34" w14:textId="77777777" w:rsidR="004D1A15" w:rsidRDefault="004D1A15" w:rsidP="00EE21F8">
            <w:pPr>
              <w:jc w:val="center"/>
            </w:pPr>
            <w:r>
              <w:t>3 (12.0)</w:t>
            </w:r>
          </w:p>
        </w:tc>
        <w:tc>
          <w:tcPr>
            <w:tcW w:w="1763" w:type="dxa"/>
            <w:shd w:val="clear" w:color="auto" w:fill="FFFFFF" w:themeFill="background1"/>
            <w:vAlign w:val="center"/>
          </w:tcPr>
          <w:p w14:paraId="0DAC2D97" w14:textId="77777777" w:rsidR="004D1A15" w:rsidRDefault="004D1A15" w:rsidP="00EE21F8">
            <w:pPr>
              <w:jc w:val="center"/>
            </w:pPr>
            <w:r>
              <w:t>4 (66.6)</w:t>
            </w:r>
          </w:p>
        </w:tc>
        <w:tc>
          <w:tcPr>
            <w:tcW w:w="1382" w:type="dxa"/>
            <w:shd w:val="clear" w:color="auto" w:fill="FFFFFF" w:themeFill="background1"/>
            <w:vAlign w:val="center"/>
          </w:tcPr>
          <w:p w14:paraId="215DC563" w14:textId="77777777" w:rsidR="004D1A15" w:rsidRDefault="004D1A15" w:rsidP="00EE21F8">
            <w:pPr>
              <w:jc w:val="center"/>
            </w:pPr>
            <w:r>
              <w:t>7 (22.6)</w:t>
            </w:r>
          </w:p>
        </w:tc>
      </w:tr>
      <w:tr w:rsidR="004D1A15" w14:paraId="109A1DB6" w14:textId="77777777" w:rsidTr="00174501">
        <w:trPr>
          <w:trHeight w:val="390"/>
          <w:jc w:val="center"/>
        </w:trPr>
        <w:tc>
          <w:tcPr>
            <w:tcW w:w="0" w:type="auto"/>
            <w:tcMar>
              <w:left w:w="29" w:type="dxa"/>
              <w:right w:w="115" w:type="dxa"/>
            </w:tcMar>
            <w:vAlign w:val="center"/>
          </w:tcPr>
          <w:p w14:paraId="730F2C83" w14:textId="77777777" w:rsidR="004D1A15" w:rsidRDefault="004D1A15" w:rsidP="00EE21F8">
            <w:r>
              <w:t>Genitourinary</w:t>
            </w:r>
          </w:p>
        </w:tc>
        <w:tc>
          <w:tcPr>
            <w:tcW w:w="1296" w:type="dxa"/>
            <w:vAlign w:val="center"/>
          </w:tcPr>
          <w:p w14:paraId="282B975A" w14:textId="77777777" w:rsidR="004D1A15" w:rsidRDefault="004D1A15" w:rsidP="00EE21F8">
            <w:pPr>
              <w:jc w:val="center"/>
            </w:pPr>
            <w:r>
              <w:t>0 (0.0)</w:t>
            </w:r>
          </w:p>
        </w:tc>
        <w:tc>
          <w:tcPr>
            <w:tcW w:w="1872" w:type="dxa"/>
            <w:vAlign w:val="center"/>
          </w:tcPr>
          <w:p w14:paraId="2B5A119E" w14:textId="77777777" w:rsidR="004D1A15" w:rsidRDefault="004D1A15" w:rsidP="00EE21F8">
            <w:pPr>
              <w:jc w:val="center"/>
            </w:pPr>
            <w:r>
              <w:t>0 (0.0)</w:t>
            </w:r>
          </w:p>
        </w:tc>
        <w:tc>
          <w:tcPr>
            <w:tcW w:w="1234" w:type="dxa"/>
            <w:vAlign w:val="center"/>
          </w:tcPr>
          <w:p w14:paraId="39629D89" w14:textId="77777777" w:rsidR="004D1A15" w:rsidRDefault="004D1A15" w:rsidP="00EE21F8">
            <w:pPr>
              <w:jc w:val="center"/>
            </w:pPr>
            <w:r>
              <w:t>0 (0.0)</w:t>
            </w:r>
          </w:p>
        </w:tc>
        <w:tc>
          <w:tcPr>
            <w:tcW w:w="1251" w:type="dxa"/>
            <w:vAlign w:val="center"/>
          </w:tcPr>
          <w:p w14:paraId="17426105" w14:textId="77777777" w:rsidR="004D1A15" w:rsidRDefault="004D1A15" w:rsidP="00EE21F8">
            <w:pPr>
              <w:jc w:val="center"/>
            </w:pPr>
            <w:r>
              <w:t>2 (33.3)</w:t>
            </w:r>
          </w:p>
        </w:tc>
        <w:tc>
          <w:tcPr>
            <w:tcW w:w="1875" w:type="dxa"/>
            <w:vAlign w:val="center"/>
          </w:tcPr>
          <w:p w14:paraId="6890C4E5" w14:textId="77777777" w:rsidR="004D1A15" w:rsidRDefault="004D1A15" w:rsidP="00EE21F8">
            <w:pPr>
              <w:jc w:val="center"/>
            </w:pPr>
            <w:r>
              <w:t>1 (50.0)</w:t>
            </w:r>
          </w:p>
        </w:tc>
        <w:tc>
          <w:tcPr>
            <w:tcW w:w="1275" w:type="dxa"/>
            <w:vAlign w:val="center"/>
          </w:tcPr>
          <w:p w14:paraId="14DE7B5B" w14:textId="77777777" w:rsidR="004D1A15" w:rsidRDefault="004D1A15" w:rsidP="00EE21F8">
            <w:pPr>
              <w:jc w:val="center"/>
            </w:pPr>
            <w:r>
              <w:t>3 (37.5)</w:t>
            </w:r>
          </w:p>
        </w:tc>
        <w:tc>
          <w:tcPr>
            <w:tcW w:w="1440" w:type="dxa"/>
            <w:shd w:val="clear" w:color="auto" w:fill="FFFFFF" w:themeFill="background1"/>
            <w:vAlign w:val="center"/>
          </w:tcPr>
          <w:p w14:paraId="362F16B2" w14:textId="77777777" w:rsidR="004D1A15" w:rsidRDefault="004D1A15" w:rsidP="00EE21F8">
            <w:pPr>
              <w:jc w:val="center"/>
            </w:pPr>
            <w:r>
              <w:t>10 (40.0)</w:t>
            </w:r>
          </w:p>
        </w:tc>
        <w:tc>
          <w:tcPr>
            <w:tcW w:w="1763" w:type="dxa"/>
            <w:shd w:val="clear" w:color="auto" w:fill="FFFFFF" w:themeFill="background1"/>
            <w:vAlign w:val="center"/>
          </w:tcPr>
          <w:p w14:paraId="47866CD3" w14:textId="77777777" w:rsidR="004D1A15" w:rsidRDefault="004D1A15" w:rsidP="00EE21F8">
            <w:pPr>
              <w:jc w:val="center"/>
            </w:pPr>
            <w:r>
              <w:t>1 (16.7)</w:t>
            </w:r>
          </w:p>
        </w:tc>
        <w:tc>
          <w:tcPr>
            <w:tcW w:w="1382" w:type="dxa"/>
            <w:shd w:val="clear" w:color="auto" w:fill="FFFFFF" w:themeFill="background1"/>
            <w:vAlign w:val="center"/>
          </w:tcPr>
          <w:p w14:paraId="0B09C368" w14:textId="77777777" w:rsidR="004D1A15" w:rsidRDefault="004D1A15" w:rsidP="00EE21F8">
            <w:pPr>
              <w:jc w:val="center"/>
            </w:pPr>
            <w:r>
              <w:t>11 (35.5)</w:t>
            </w:r>
          </w:p>
        </w:tc>
      </w:tr>
      <w:tr w:rsidR="004D1A15" w14:paraId="20F199B0" w14:textId="77777777" w:rsidTr="00174501">
        <w:trPr>
          <w:trHeight w:val="390"/>
          <w:jc w:val="center"/>
        </w:trPr>
        <w:tc>
          <w:tcPr>
            <w:tcW w:w="0" w:type="auto"/>
            <w:tcMar>
              <w:left w:w="29" w:type="dxa"/>
              <w:right w:w="115" w:type="dxa"/>
            </w:tcMar>
            <w:vAlign w:val="center"/>
          </w:tcPr>
          <w:p w14:paraId="03729A0D" w14:textId="77777777" w:rsidR="004D1A15" w:rsidRDefault="004D1A15" w:rsidP="00EE21F8">
            <w:r>
              <w:t>Other</w:t>
            </w:r>
            <w:r w:rsidRPr="0017667A">
              <w:rPr>
                <w:rFonts w:eastAsia="Calibri"/>
                <w:vertAlign w:val="superscript"/>
              </w:rPr>
              <w:t>†</w:t>
            </w:r>
          </w:p>
        </w:tc>
        <w:tc>
          <w:tcPr>
            <w:tcW w:w="1296" w:type="dxa"/>
            <w:vAlign w:val="center"/>
          </w:tcPr>
          <w:p w14:paraId="5E8C8A69" w14:textId="77777777" w:rsidR="004D1A15" w:rsidRDefault="004D1A15" w:rsidP="00EE21F8">
            <w:pPr>
              <w:jc w:val="center"/>
            </w:pPr>
            <w:r>
              <w:t>0 (0.0)</w:t>
            </w:r>
          </w:p>
        </w:tc>
        <w:tc>
          <w:tcPr>
            <w:tcW w:w="1872" w:type="dxa"/>
            <w:vAlign w:val="center"/>
          </w:tcPr>
          <w:p w14:paraId="50A6C5FF" w14:textId="77777777" w:rsidR="004D1A15" w:rsidRDefault="004D1A15" w:rsidP="00EE21F8">
            <w:pPr>
              <w:jc w:val="center"/>
            </w:pPr>
            <w:r>
              <w:t>0 (0.0)</w:t>
            </w:r>
          </w:p>
        </w:tc>
        <w:tc>
          <w:tcPr>
            <w:tcW w:w="1234" w:type="dxa"/>
            <w:vAlign w:val="center"/>
          </w:tcPr>
          <w:p w14:paraId="29069809" w14:textId="77777777" w:rsidR="004D1A15" w:rsidRDefault="004D1A15" w:rsidP="00EE21F8">
            <w:pPr>
              <w:jc w:val="center"/>
            </w:pPr>
            <w:r>
              <w:t>0 (0.0)</w:t>
            </w:r>
          </w:p>
        </w:tc>
        <w:tc>
          <w:tcPr>
            <w:tcW w:w="1251" w:type="dxa"/>
            <w:vAlign w:val="center"/>
          </w:tcPr>
          <w:p w14:paraId="7D036749" w14:textId="77777777" w:rsidR="004D1A15" w:rsidRDefault="004D1A15" w:rsidP="00EE21F8">
            <w:pPr>
              <w:jc w:val="center"/>
            </w:pPr>
            <w:r>
              <w:t>1 (16.7)</w:t>
            </w:r>
          </w:p>
        </w:tc>
        <w:tc>
          <w:tcPr>
            <w:tcW w:w="1875" w:type="dxa"/>
            <w:vAlign w:val="center"/>
          </w:tcPr>
          <w:p w14:paraId="069E4971" w14:textId="77777777" w:rsidR="004D1A15" w:rsidRDefault="004D1A15" w:rsidP="00EE21F8">
            <w:pPr>
              <w:jc w:val="center"/>
            </w:pPr>
            <w:r>
              <w:t>0 (0.0)</w:t>
            </w:r>
          </w:p>
        </w:tc>
        <w:tc>
          <w:tcPr>
            <w:tcW w:w="1275" w:type="dxa"/>
            <w:vAlign w:val="center"/>
          </w:tcPr>
          <w:p w14:paraId="01743983" w14:textId="77777777" w:rsidR="004D1A15" w:rsidRDefault="004D1A15" w:rsidP="00EE21F8">
            <w:pPr>
              <w:jc w:val="center"/>
            </w:pPr>
            <w:r>
              <w:t>1 (12.5)</w:t>
            </w:r>
          </w:p>
        </w:tc>
        <w:tc>
          <w:tcPr>
            <w:tcW w:w="1440" w:type="dxa"/>
            <w:shd w:val="clear" w:color="auto" w:fill="FFFFFF" w:themeFill="background1"/>
            <w:vAlign w:val="center"/>
          </w:tcPr>
          <w:p w14:paraId="62CF18AD" w14:textId="77777777" w:rsidR="004D1A15" w:rsidRDefault="004D1A15" w:rsidP="00EE21F8">
            <w:pPr>
              <w:jc w:val="center"/>
            </w:pPr>
            <w:r>
              <w:t>5 (20.0)</w:t>
            </w:r>
          </w:p>
        </w:tc>
        <w:tc>
          <w:tcPr>
            <w:tcW w:w="1763" w:type="dxa"/>
            <w:shd w:val="clear" w:color="auto" w:fill="FFFFFF" w:themeFill="background1"/>
            <w:vAlign w:val="center"/>
          </w:tcPr>
          <w:p w14:paraId="3DF286A1" w14:textId="77777777" w:rsidR="004D1A15" w:rsidRDefault="004D1A15" w:rsidP="00EE21F8">
            <w:pPr>
              <w:jc w:val="center"/>
            </w:pPr>
            <w:r>
              <w:t>0 (0.0)</w:t>
            </w:r>
          </w:p>
        </w:tc>
        <w:tc>
          <w:tcPr>
            <w:tcW w:w="1382" w:type="dxa"/>
            <w:shd w:val="clear" w:color="auto" w:fill="FFFFFF" w:themeFill="background1"/>
            <w:vAlign w:val="center"/>
          </w:tcPr>
          <w:p w14:paraId="1C23B55E" w14:textId="77777777" w:rsidR="004D1A15" w:rsidRDefault="004D1A15" w:rsidP="00EE21F8">
            <w:pPr>
              <w:jc w:val="center"/>
            </w:pPr>
            <w:r>
              <w:t>5 (16.1)</w:t>
            </w:r>
          </w:p>
        </w:tc>
      </w:tr>
      <w:tr w:rsidR="004D1A15" w14:paraId="54F4A0D7" w14:textId="77777777" w:rsidTr="00174501">
        <w:trPr>
          <w:trHeight w:val="390"/>
          <w:jc w:val="center"/>
        </w:trPr>
        <w:tc>
          <w:tcPr>
            <w:tcW w:w="0" w:type="auto"/>
            <w:tcMar>
              <w:left w:w="29" w:type="dxa"/>
              <w:right w:w="115" w:type="dxa"/>
            </w:tcMar>
            <w:vAlign w:val="center"/>
          </w:tcPr>
          <w:p w14:paraId="6FA1B3CD" w14:textId="77777777" w:rsidR="004D1A15" w:rsidRDefault="004D1A15" w:rsidP="00EE21F8">
            <w:r>
              <w:t>Unspecified</w:t>
            </w:r>
            <w:r w:rsidRPr="0017667A">
              <w:rPr>
                <w:rFonts w:eastAsia="Calibri"/>
                <w:vertAlign w:val="superscript"/>
              </w:rPr>
              <w:t>†</w:t>
            </w:r>
          </w:p>
        </w:tc>
        <w:tc>
          <w:tcPr>
            <w:tcW w:w="1296" w:type="dxa"/>
            <w:vAlign w:val="center"/>
          </w:tcPr>
          <w:p w14:paraId="297BA886" w14:textId="77777777" w:rsidR="004D1A15" w:rsidRDefault="004D1A15" w:rsidP="00EE21F8">
            <w:pPr>
              <w:jc w:val="center"/>
            </w:pPr>
            <w:r>
              <w:t>1 (50.0)</w:t>
            </w:r>
          </w:p>
        </w:tc>
        <w:tc>
          <w:tcPr>
            <w:tcW w:w="1872" w:type="dxa"/>
            <w:vAlign w:val="center"/>
          </w:tcPr>
          <w:p w14:paraId="07FCE9A3" w14:textId="77777777" w:rsidR="004D1A15" w:rsidRDefault="004D1A15" w:rsidP="00EE21F8">
            <w:pPr>
              <w:jc w:val="center"/>
            </w:pPr>
            <w:r>
              <w:t>0 (0.0)</w:t>
            </w:r>
          </w:p>
        </w:tc>
        <w:tc>
          <w:tcPr>
            <w:tcW w:w="1234" w:type="dxa"/>
            <w:vAlign w:val="center"/>
          </w:tcPr>
          <w:p w14:paraId="0C9BB43C" w14:textId="77777777" w:rsidR="004D1A15" w:rsidRDefault="004D1A15" w:rsidP="00EE21F8">
            <w:pPr>
              <w:jc w:val="center"/>
            </w:pPr>
            <w:r>
              <w:t>1 (50.0)</w:t>
            </w:r>
          </w:p>
        </w:tc>
        <w:tc>
          <w:tcPr>
            <w:tcW w:w="1251" w:type="dxa"/>
            <w:vAlign w:val="center"/>
          </w:tcPr>
          <w:p w14:paraId="4C5E271B" w14:textId="77777777" w:rsidR="004D1A15" w:rsidRDefault="004D1A15" w:rsidP="00EE21F8">
            <w:pPr>
              <w:jc w:val="center"/>
            </w:pPr>
            <w:r>
              <w:t>2 (33.3)</w:t>
            </w:r>
          </w:p>
        </w:tc>
        <w:tc>
          <w:tcPr>
            <w:tcW w:w="1875" w:type="dxa"/>
            <w:vAlign w:val="center"/>
          </w:tcPr>
          <w:p w14:paraId="530F1152" w14:textId="77777777" w:rsidR="004D1A15" w:rsidRDefault="004D1A15" w:rsidP="00EE21F8">
            <w:pPr>
              <w:jc w:val="center"/>
            </w:pPr>
            <w:r>
              <w:t>0 (0.0)</w:t>
            </w:r>
          </w:p>
        </w:tc>
        <w:tc>
          <w:tcPr>
            <w:tcW w:w="1275" w:type="dxa"/>
            <w:vAlign w:val="center"/>
          </w:tcPr>
          <w:p w14:paraId="041860D1" w14:textId="77777777" w:rsidR="004D1A15" w:rsidRDefault="004D1A15" w:rsidP="00EE21F8">
            <w:pPr>
              <w:jc w:val="center"/>
            </w:pPr>
            <w:r>
              <w:t>2 (25.0)</w:t>
            </w:r>
          </w:p>
        </w:tc>
        <w:tc>
          <w:tcPr>
            <w:tcW w:w="1440" w:type="dxa"/>
            <w:shd w:val="clear" w:color="auto" w:fill="FFFFFF" w:themeFill="background1"/>
            <w:vAlign w:val="center"/>
          </w:tcPr>
          <w:p w14:paraId="3646E63A" w14:textId="77777777" w:rsidR="004D1A15" w:rsidRDefault="004D1A15" w:rsidP="00EE21F8">
            <w:pPr>
              <w:jc w:val="center"/>
            </w:pPr>
            <w:r>
              <w:t>6 (24.0)</w:t>
            </w:r>
          </w:p>
        </w:tc>
        <w:tc>
          <w:tcPr>
            <w:tcW w:w="1763" w:type="dxa"/>
            <w:shd w:val="clear" w:color="auto" w:fill="FFFFFF" w:themeFill="background1"/>
            <w:vAlign w:val="center"/>
          </w:tcPr>
          <w:p w14:paraId="58FB10AB" w14:textId="77777777" w:rsidR="004D1A15" w:rsidRDefault="004D1A15" w:rsidP="00EE21F8">
            <w:pPr>
              <w:jc w:val="center"/>
            </w:pPr>
            <w:r>
              <w:t>1 (16.7)</w:t>
            </w:r>
          </w:p>
        </w:tc>
        <w:tc>
          <w:tcPr>
            <w:tcW w:w="1382" w:type="dxa"/>
            <w:shd w:val="clear" w:color="auto" w:fill="FFFFFF" w:themeFill="background1"/>
            <w:vAlign w:val="center"/>
          </w:tcPr>
          <w:p w14:paraId="32BB428B" w14:textId="77777777" w:rsidR="004D1A15" w:rsidRDefault="004D1A15" w:rsidP="00EE21F8">
            <w:pPr>
              <w:jc w:val="center"/>
            </w:pPr>
            <w:r>
              <w:t>7 (22.6)</w:t>
            </w:r>
          </w:p>
        </w:tc>
      </w:tr>
      <w:tr w:rsidR="004D1A15" w14:paraId="1C55CFF2" w14:textId="77777777" w:rsidTr="00174501">
        <w:trPr>
          <w:trHeight w:val="390"/>
          <w:jc w:val="center"/>
        </w:trPr>
        <w:tc>
          <w:tcPr>
            <w:tcW w:w="0" w:type="auto"/>
            <w:tcMar>
              <w:left w:w="29" w:type="dxa"/>
              <w:right w:w="115" w:type="dxa"/>
            </w:tcMar>
            <w:vAlign w:val="center"/>
          </w:tcPr>
          <w:p w14:paraId="47CB49D9" w14:textId="77777777" w:rsidR="004D1A15" w:rsidRDefault="004D1A15" w:rsidP="00EE21F8">
            <w:r>
              <w:t>Total</w:t>
            </w:r>
          </w:p>
        </w:tc>
        <w:tc>
          <w:tcPr>
            <w:tcW w:w="1296" w:type="dxa"/>
            <w:vAlign w:val="center"/>
          </w:tcPr>
          <w:p w14:paraId="5CDCD954" w14:textId="77777777" w:rsidR="004D1A15" w:rsidRDefault="004D1A15" w:rsidP="00EE21F8">
            <w:pPr>
              <w:jc w:val="center"/>
            </w:pPr>
            <w:r>
              <w:t>2 (100.0)</w:t>
            </w:r>
          </w:p>
        </w:tc>
        <w:tc>
          <w:tcPr>
            <w:tcW w:w="1872" w:type="dxa"/>
            <w:vAlign w:val="center"/>
          </w:tcPr>
          <w:p w14:paraId="1F8A6101" w14:textId="77777777" w:rsidR="004D1A15" w:rsidRDefault="004D1A15" w:rsidP="00EE21F8">
            <w:pPr>
              <w:jc w:val="center"/>
            </w:pPr>
            <w:r>
              <w:t>0 (0.0)</w:t>
            </w:r>
          </w:p>
        </w:tc>
        <w:tc>
          <w:tcPr>
            <w:tcW w:w="1234" w:type="dxa"/>
            <w:vAlign w:val="center"/>
          </w:tcPr>
          <w:p w14:paraId="1AB83603" w14:textId="77777777" w:rsidR="004D1A15" w:rsidRDefault="004D1A15" w:rsidP="00EE21F8">
            <w:pPr>
              <w:jc w:val="center"/>
            </w:pPr>
            <w:r>
              <w:t>2 (100.0)</w:t>
            </w:r>
          </w:p>
        </w:tc>
        <w:tc>
          <w:tcPr>
            <w:tcW w:w="1251" w:type="dxa"/>
            <w:vAlign w:val="center"/>
          </w:tcPr>
          <w:p w14:paraId="27FCD1FB" w14:textId="77777777" w:rsidR="004D1A15" w:rsidRDefault="004D1A15" w:rsidP="00EE21F8">
            <w:pPr>
              <w:jc w:val="center"/>
            </w:pPr>
            <w:r>
              <w:t>6 (100.0)</w:t>
            </w:r>
          </w:p>
        </w:tc>
        <w:tc>
          <w:tcPr>
            <w:tcW w:w="1875" w:type="dxa"/>
            <w:vAlign w:val="center"/>
          </w:tcPr>
          <w:p w14:paraId="29104933" w14:textId="77777777" w:rsidR="004D1A15" w:rsidRDefault="004D1A15" w:rsidP="00EE21F8">
            <w:pPr>
              <w:jc w:val="center"/>
            </w:pPr>
            <w:r>
              <w:t>2 (100.0)</w:t>
            </w:r>
          </w:p>
        </w:tc>
        <w:tc>
          <w:tcPr>
            <w:tcW w:w="1275" w:type="dxa"/>
            <w:vAlign w:val="center"/>
          </w:tcPr>
          <w:p w14:paraId="70D4FA26" w14:textId="77777777" w:rsidR="004D1A15" w:rsidRDefault="004D1A15" w:rsidP="00EE21F8">
            <w:pPr>
              <w:jc w:val="center"/>
            </w:pPr>
            <w:r>
              <w:t>8 (100.0)</w:t>
            </w:r>
          </w:p>
        </w:tc>
        <w:tc>
          <w:tcPr>
            <w:tcW w:w="1440" w:type="dxa"/>
            <w:shd w:val="clear" w:color="auto" w:fill="FFFFFF" w:themeFill="background1"/>
            <w:vAlign w:val="center"/>
          </w:tcPr>
          <w:p w14:paraId="358D6EBA" w14:textId="77777777" w:rsidR="004D1A15" w:rsidRDefault="004D1A15" w:rsidP="00EE21F8">
            <w:pPr>
              <w:jc w:val="center"/>
            </w:pPr>
            <w:r>
              <w:t>25 (100.0)</w:t>
            </w:r>
          </w:p>
        </w:tc>
        <w:tc>
          <w:tcPr>
            <w:tcW w:w="1763" w:type="dxa"/>
            <w:shd w:val="clear" w:color="auto" w:fill="FFFFFF" w:themeFill="background1"/>
            <w:vAlign w:val="center"/>
          </w:tcPr>
          <w:p w14:paraId="0DDDB735" w14:textId="77777777" w:rsidR="004D1A15" w:rsidRDefault="004D1A15" w:rsidP="00EE21F8">
            <w:pPr>
              <w:jc w:val="center"/>
            </w:pPr>
            <w:r>
              <w:t>6 (100.0)</w:t>
            </w:r>
          </w:p>
        </w:tc>
        <w:tc>
          <w:tcPr>
            <w:tcW w:w="1382" w:type="dxa"/>
            <w:shd w:val="clear" w:color="auto" w:fill="FFFFFF" w:themeFill="background1"/>
            <w:vAlign w:val="center"/>
          </w:tcPr>
          <w:p w14:paraId="0DCA135F" w14:textId="77777777" w:rsidR="004D1A15" w:rsidRDefault="004D1A15" w:rsidP="00EE21F8">
            <w:pPr>
              <w:jc w:val="center"/>
            </w:pPr>
            <w:r>
              <w:t>31 (100.0)</w:t>
            </w:r>
          </w:p>
        </w:tc>
      </w:tr>
      <w:tr w:rsidR="004D1A15" w14:paraId="49F68118" w14:textId="77777777" w:rsidTr="00174501">
        <w:trPr>
          <w:trHeight w:val="390"/>
          <w:jc w:val="center"/>
        </w:trPr>
        <w:tc>
          <w:tcPr>
            <w:tcW w:w="0" w:type="auto"/>
            <w:shd w:val="clear" w:color="auto" w:fill="D9D9D9" w:themeFill="background1" w:themeFillShade="D9"/>
            <w:tcMar>
              <w:left w:w="29" w:type="dxa"/>
              <w:right w:w="115" w:type="dxa"/>
            </w:tcMar>
            <w:vAlign w:val="center"/>
          </w:tcPr>
          <w:p w14:paraId="231745BE" w14:textId="77777777" w:rsidR="004D1A15" w:rsidRPr="00AA464F" w:rsidRDefault="004D1A15" w:rsidP="005C0567">
            <w:pPr>
              <w:rPr>
                <w:b/>
                <w:bCs/>
              </w:rPr>
            </w:pPr>
            <w:r w:rsidRPr="00AA464F">
              <w:rPr>
                <w:b/>
                <w:bCs/>
              </w:rPr>
              <w:t>Apixaban</w:t>
            </w:r>
          </w:p>
        </w:tc>
        <w:tc>
          <w:tcPr>
            <w:tcW w:w="1296" w:type="dxa"/>
            <w:shd w:val="clear" w:color="auto" w:fill="D9D9D9" w:themeFill="background1" w:themeFillShade="D9"/>
            <w:vAlign w:val="center"/>
          </w:tcPr>
          <w:p w14:paraId="4EDB40CC" w14:textId="77777777" w:rsidR="004D1A15" w:rsidRDefault="004D1A15" w:rsidP="005C0567">
            <w:pPr>
              <w:jc w:val="center"/>
            </w:pPr>
          </w:p>
        </w:tc>
        <w:tc>
          <w:tcPr>
            <w:tcW w:w="1872" w:type="dxa"/>
            <w:shd w:val="clear" w:color="auto" w:fill="D9D9D9" w:themeFill="background1" w:themeFillShade="D9"/>
            <w:vAlign w:val="center"/>
          </w:tcPr>
          <w:p w14:paraId="4C51A37B" w14:textId="77777777" w:rsidR="004D1A15" w:rsidRDefault="004D1A15" w:rsidP="005C0567">
            <w:pPr>
              <w:jc w:val="center"/>
            </w:pPr>
          </w:p>
        </w:tc>
        <w:tc>
          <w:tcPr>
            <w:tcW w:w="1234" w:type="dxa"/>
            <w:shd w:val="clear" w:color="auto" w:fill="D9D9D9" w:themeFill="background1" w:themeFillShade="D9"/>
            <w:vAlign w:val="center"/>
          </w:tcPr>
          <w:p w14:paraId="72F9898F" w14:textId="77777777" w:rsidR="004D1A15" w:rsidRDefault="004D1A15" w:rsidP="005C0567">
            <w:pPr>
              <w:jc w:val="center"/>
            </w:pPr>
          </w:p>
        </w:tc>
        <w:tc>
          <w:tcPr>
            <w:tcW w:w="1251" w:type="dxa"/>
            <w:shd w:val="clear" w:color="auto" w:fill="D9D9D9" w:themeFill="background1" w:themeFillShade="D9"/>
            <w:vAlign w:val="center"/>
          </w:tcPr>
          <w:p w14:paraId="6A1F3805" w14:textId="77777777" w:rsidR="004D1A15" w:rsidRDefault="004D1A15" w:rsidP="005C0567">
            <w:pPr>
              <w:jc w:val="center"/>
            </w:pPr>
          </w:p>
        </w:tc>
        <w:tc>
          <w:tcPr>
            <w:tcW w:w="1875" w:type="dxa"/>
            <w:shd w:val="clear" w:color="auto" w:fill="D9D9D9" w:themeFill="background1" w:themeFillShade="D9"/>
            <w:vAlign w:val="center"/>
          </w:tcPr>
          <w:p w14:paraId="4AB5086F" w14:textId="77777777" w:rsidR="004D1A15" w:rsidRDefault="004D1A15" w:rsidP="005C0567">
            <w:pPr>
              <w:jc w:val="center"/>
            </w:pPr>
          </w:p>
        </w:tc>
        <w:tc>
          <w:tcPr>
            <w:tcW w:w="1275" w:type="dxa"/>
            <w:shd w:val="clear" w:color="auto" w:fill="D9D9D9" w:themeFill="background1" w:themeFillShade="D9"/>
            <w:vAlign w:val="center"/>
          </w:tcPr>
          <w:p w14:paraId="1E116464" w14:textId="77777777" w:rsidR="004D1A15" w:rsidRDefault="004D1A15" w:rsidP="005C0567">
            <w:pPr>
              <w:jc w:val="center"/>
            </w:pPr>
          </w:p>
        </w:tc>
        <w:tc>
          <w:tcPr>
            <w:tcW w:w="1440" w:type="dxa"/>
            <w:shd w:val="clear" w:color="auto" w:fill="D9D9D9" w:themeFill="background1" w:themeFillShade="D9"/>
            <w:vAlign w:val="center"/>
          </w:tcPr>
          <w:p w14:paraId="1C45108B" w14:textId="77777777" w:rsidR="004D1A15" w:rsidRDefault="004D1A15" w:rsidP="005C0567">
            <w:pPr>
              <w:jc w:val="center"/>
            </w:pPr>
          </w:p>
        </w:tc>
        <w:tc>
          <w:tcPr>
            <w:tcW w:w="1763" w:type="dxa"/>
            <w:shd w:val="clear" w:color="auto" w:fill="D9D9D9" w:themeFill="background1" w:themeFillShade="D9"/>
            <w:vAlign w:val="center"/>
          </w:tcPr>
          <w:p w14:paraId="20987186" w14:textId="77777777" w:rsidR="004D1A15" w:rsidRDefault="004D1A15" w:rsidP="005C0567">
            <w:pPr>
              <w:jc w:val="center"/>
            </w:pPr>
          </w:p>
        </w:tc>
        <w:tc>
          <w:tcPr>
            <w:tcW w:w="1382" w:type="dxa"/>
            <w:shd w:val="clear" w:color="auto" w:fill="D9D9D9" w:themeFill="background1" w:themeFillShade="D9"/>
            <w:vAlign w:val="center"/>
          </w:tcPr>
          <w:p w14:paraId="1347F108" w14:textId="77777777" w:rsidR="004D1A15" w:rsidRDefault="004D1A15" w:rsidP="005C0567">
            <w:pPr>
              <w:jc w:val="center"/>
            </w:pPr>
          </w:p>
        </w:tc>
      </w:tr>
      <w:tr w:rsidR="004D1A15" w14:paraId="3BFA8793" w14:textId="77777777" w:rsidTr="000B60BE">
        <w:trPr>
          <w:trHeight w:val="390"/>
          <w:jc w:val="center"/>
        </w:trPr>
        <w:tc>
          <w:tcPr>
            <w:tcW w:w="0" w:type="auto"/>
            <w:tcMar>
              <w:left w:w="29" w:type="dxa"/>
              <w:right w:w="115" w:type="dxa"/>
            </w:tcMar>
            <w:vAlign w:val="center"/>
          </w:tcPr>
          <w:p w14:paraId="10C3509C" w14:textId="77777777" w:rsidR="004D1A15" w:rsidRDefault="004D1A15" w:rsidP="0007040A">
            <w:r>
              <w:t>Cerebral</w:t>
            </w:r>
          </w:p>
        </w:tc>
        <w:tc>
          <w:tcPr>
            <w:tcW w:w="1296" w:type="dxa"/>
            <w:vAlign w:val="center"/>
          </w:tcPr>
          <w:p w14:paraId="2FF830D0" w14:textId="77777777" w:rsidR="004D1A15" w:rsidRDefault="004D1A15" w:rsidP="0007040A">
            <w:pPr>
              <w:jc w:val="center"/>
            </w:pPr>
            <w:r>
              <w:t>0 (0.0)</w:t>
            </w:r>
          </w:p>
        </w:tc>
        <w:tc>
          <w:tcPr>
            <w:tcW w:w="1872" w:type="dxa"/>
            <w:vAlign w:val="center"/>
          </w:tcPr>
          <w:p w14:paraId="5F75619E" w14:textId="77777777" w:rsidR="004D1A15" w:rsidRDefault="004D1A15" w:rsidP="0007040A">
            <w:pPr>
              <w:jc w:val="center"/>
            </w:pPr>
            <w:r>
              <w:t>0 (0.0)</w:t>
            </w:r>
          </w:p>
        </w:tc>
        <w:tc>
          <w:tcPr>
            <w:tcW w:w="1234" w:type="dxa"/>
            <w:vAlign w:val="center"/>
          </w:tcPr>
          <w:p w14:paraId="352EE43C" w14:textId="77777777" w:rsidR="004D1A15" w:rsidRDefault="004D1A15" w:rsidP="0007040A">
            <w:pPr>
              <w:jc w:val="center"/>
            </w:pPr>
            <w:r>
              <w:t>0 (0.0)</w:t>
            </w:r>
          </w:p>
        </w:tc>
        <w:tc>
          <w:tcPr>
            <w:tcW w:w="1251" w:type="dxa"/>
            <w:vAlign w:val="center"/>
          </w:tcPr>
          <w:p w14:paraId="62F6929C" w14:textId="77777777" w:rsidR="004D1A15" w:rsidRDefault="004D1A15" w:rsidP="0007040A">
            <w:pPr>
              <w:jc w:val="center"/>
            </w:pPr>
            <w:r>
              <w:t>1 (16.7)</w:t>
            </w:r>
          </w:p>
        </w:tc>
        <w:tc>
          <w:tcPr>
            <w:tcW w:w="1875" w:type="dxa"/>
          </w:tcPr>
          <w:p w14:paraId="28634915" w14:textId="77777777" w:rsidR="004D1A15" w:rsidRDefault="004D1A15" w:rsidP="0007040A">
            <w:pPr>
              <w:jc w:val="center"/>
            </w:pPr>
            <w:r w:rsidRPr="00AB10B7">
              <w:t>0 (0.0)</w:t>
            </w:r>
          </w:p>
        </w:tc>
        <w:tc>
          <w:tcPr>
            <w:tcW w:w="1275" w:type="dxa"/>
            <w:vAlign w:val="center"/>
          </w:tcPr>
          <w:p w14:paraId="03F77F60" w14:textId="77777777" w:rsidR="004D1A15" w:rsidRDefault="004D1A15" w:rsidP="0007040A">
            <w:pPr>
              <w:jc w:val="center"/>
            </w:pPr>
            <w:r>
              <w:t>1 (16.7)</w:t>
            </w:r>
          </w:p>
        </w:tc>
        <w:tc>
          <w:tcPr>
            <w:tcW w:w="1440" w:type="dxa"/>
            <w:shd w:val="clear" w:color="auto" w:fill="FFFFFF" w:themeFill="background1"/>
            <w:vAlign w:val="center"/>
          </w:tcPr>
          <w:p w14:paraId="48DE4A0F" w14:textId="77777777" w:rsidR="004D1A15" w:rsidRDefault="004D1A15" w:rsidP="0007040A">
            <w:pPr>
              <w:jc w:val="center"/>
            </w:pPr>
            <w:r>
              <w:t>1 (3.1)</w:t>
            </w:r>
          </w:p>
        </w:tc>
        <w:tc>
          <w:tcPr>
            <w:tcW w:w="1763" w:type="dxa"/>
            <w:shd w:val="clear" w:color="auto" w:fill="FFFFFF" w:themeFill="background1"/>
            <w:vAlign w:val="center"/>
          </w:tcPr>
          <w:p w14:paraId="12CC0688" w14:textId="77777777" w:rsidR="004D1A15" w:rsidRDefault="004D1A15" w:rsidP="0007040A">
            <w:pPr>
              <w:jc w:val="center"/>
            </w:pPr>
            <w:r>
              <w:t>0 (0.0)</w:t>
            </w:r>
          </w:p>
        </w:tc>
        <w:tc>
          <w:tcPr>
            <w:tcW w:w="1382" w:type="dxa"/>
            <w:shd w:val="clear" w:color="auto" w:fill="FFFFFF" w:themeFill="background1"/>
            <w:vAlign w:val="center"/>
          </w:tcPr>
          <w:p w14:paraId="38234428" w14:textId="77777777" w:rsidR="004D1A15" w:rsidRDefault="004D1A15" w:rsidP="0007040A">
            <w:pPr>
              <w:jc w:val="center"/>
            </w:pPr>
            <w:r>
              <w:t>1 (2.8)</w:t>
            </w:r>
          </w:p>
        </w:tc>
      </w:tr>
      <w:tr w:rsidR="004D1A15" w14:paraId="56FFE5C6" w14:textId="77777777" w:rsidTr="000B60BE">
        <w:trPr>
          <w:trHeight w:val="390"/>
          <w:jc w:val="center"/>
        </w:trPr>
        <w:tc>
          <w:tcPr>
            <w:tcW w:w="0" w:type="auto"/>
            <w:tcMar>
              <w:left w:w="29" w:type="dxa"/>
              <w:right w:w="115" w:type="dxa"/>
            </w:tcMar>
            <w:vAlign w:val="center"/>
          </w:tcPr>
          <w:p w14:paraId="152FF277" w14:textId="77777777" w:rsidR="004D1A15" w:rsidRDefault="004D1A15" w:rsidP="0007040A">
            <w:r>
              <w:t>Gastrointestinal</w:t>
            </w:r>
          </w:p>
        </w:tc>
        <w:tc>
          <w:tcPr>
            <w:tcW w:w="1296" w:type="dxa"/>
            <w:vAlign w:val="center"/>
          </w:tcPr>
          <w:p w14:paraId="6B756D75" w14:textId="77777777" w:rsidR="004D1A15" w:rsidRDefault="004D1A15" w:rsidP="0007040A">
            <w:pPr>
              <w:jc w:val="center"/>
            </w:pPr>
            <w:r>
              <w:t>2 (100.0)</w:t>
            </w:r>
          </w:p>
        </w:tc>
        <w:tc>
          <w:tcPr>
            <w:tcW w:w="1872" w:type="dxa"/>
            <w:vAlign w:val="center"/>
          </w:tcPr>
          <w:p w14:paraId="12F5247B" w14:textId="77777777" w:rsidR="004D1A15" w:rsidRDefault="004D1A15" w:rsidP="0007040A">
            <w:pPr>
              <w:jc w:val="center"/>
            </w:pPr>
            <w:r>
              <w:t>0 (0.0)</w:t>
            </w:r>
          </w:p>
        </w:tc>
        <w:tc>
          <w:tcPr>
            <w:tcW w:w="1234" w:type="dxa"/>
            <w:vAlign w:val="center"/>
          </w:tcPr>
          <w:p w14:paraId="618549A4" w14:textId="77777777" w:rsidR="004D1A15" w:rsidRDefault="004D1A15" w:rsidP="0007040A">
            <w:pPr>
              <w:jc w:val="center"/>
            </w:pPr>
            <w:r>
              <w:t>2 (100.0)</w:t>
            </w:r>
          </w:p>
        </w:tc>
        <w:tc>
          <w:tcPr>
            <w:tcW w:w="1251" w:type="dxa"/>
            <w:vAlign w:val="center"/>
          </w:tcPr>
          <w:p w14:paraId="5166F2F1" w14:textId="77777777" w:rsidR="004D1A15" w:rsidRDefault="004D1A15" w:rsidP="0007040A">
            <w:pPr>
              <w:jc w:val="center"/>
            </w:pPr>
            <w:r>
              <w:t>4 (66.6)</w:t>
            </w:r>
          </w:p>
        </w:tc>
        <w:tc>
          <w:tcPr>
            <w:tcW w:w="1875" w:type="dxa"/>
          </w:tcPr>
          <w:p w14:paraId="7582E3A2" w14:textId="77777777" w:rsidR="004D1A15" w:rsidRDefault="004D1A15" w:rsidP="0007040A">
            <w:pPr>
              <w:jc w:val="center"/>
            </w:pPr>
            <w:r w:rsidRPr="00AB10B7">
              <w:t>0 (0.0)</w:t>
            </w:r>
          </w:p>
        </w:tc>
        <w:tc>
          <w:tcPr>
            <w:tcW w:w="1275" w:type="dxa"/>
            <w:vAlign w:val="center"/>
          </w:tcPr>
          <w:p w14:paraId="3963C71F" w14:textId="77777777" w:rsidR="004D1A15" w:rsidRDefault="004D1A15" w:rsidP="0007040A">
            <w:pPr>
              <w:jc w:val="center"/>
            </w:pPr>
            <w:r>
              <w:t>4 (66.6)</w:t>
            </w:r>
          </w:p>
        </w:tc>
        <w:tc>
          <w:tcPr>
            <w:tcW w:w="1440" w:type="dxa"/>
            <w:shd w:val="clear" w:color="auto" w:fill="FFFFFF" w:themeFill="background1"/>
            <w:vAlign w:val="center"/>
          </w:tcPr>
          <w:p w14:paraId="43DAC11C" w14:textId="77777777" w:rsidR="004D1A15" w:rsidRDefault="004D1A15" w:rsidP="0007040A">
            <w:pPr>
              <w:jc w:val="center"/>
            </w:pPr>
            <w:r>
              <w:t>10 (31.2)</w:t>
            </w:r>
          </w:p>
        </w:tc>
        <w:tc>
          <w:tcPr>
            <w:tcW w:w="1763" w:type="dxa"/>
            <w:shd w:val="clear" w:color="auto" w:fill="FFFFFF" w:themeFill="background1"/>
            <w:vAlign w:val="center"/>
          </w:tcPr>
          <w:p w14:paraId="3A2F28A3" w14:textId="77777777" w:rsidR="004D1A15" w:rsidRDefault="004D1A15" w:rsidP="0007040A">
            <w:pPr>
              <w:jc w:val="center"/>
            </w:pPr>
            <w:r>
              <w:t>0 (0.0)</w:t>
            </w:r>
          </w:p>
        </w:tc>
        <w:tc>
          <w:tcPr>
            <w:tcW w:w="1382" w:type="dxa"/>
            <w:shd w:val="clear" w:color="auto" w:fill="FFFFFF" w:themeFill="background1"/>
            <w:vAlign w:val="center"/>
          </w:tcPr>
          <w:p w14:paraId="3E36CA69" w14:textId="77777777" w:rsidR="004D1A15" w:rsidRDefault="004D1A15" w:rsidP="0007040A">
            <w:pPr>
              <w:jc w:val="center"/>
            </w:pPr>
            <w:r>
              <w:t>10 (27.8)</w:t>
            </w:r>
          </w:p>
        </w:tc>
      </w:tr>
      <w:tr w:rsidR="004D1A15" w14:paraId="104791FE" w14:textId="77777777" w:rsidTr="000B60BE">
        <w:trPr>
          <w:trHeight w:val="390"/>
          <w:jc w:val="center"/>
        </w:trPr>
        <w:tc>
          <w:tcPr>
            <w:tcW w:w="0" w:type="auto"/>
            <w:tcMar>
              <w:left w:w="29" w:type="dxa"/>
              <w:right w:w="115" w:type="dxa"/>
            </w:tcMar>
            <w:vAlign w:val="center"/>
          </w:tcPr>
          <w:p w14:paraId="321ECFA5" w14:textId="77777777" w:rsidR="004D1A15" w:rsidRDefault="004D1A15" w:rsidP="0007040A">
            <w:r>
              <w:t>Genitourinary</w:t>
            </w:r>
          </w:p>
        </w:tc>
        <w:tc>
          <w:tcPr>
            <w:tcW w:w="1296" w:type="dxa"/>
            <w:vAlign w:val="center"/>
          </w:tcPr>
          <w:p w14:paraId="6310CA4D" w14:textId="77777777" w:rsidR="004D1A15" w:rsidRDefault="004D1A15" w:rsidP="0007040A">
            <w:pPr>
              <w:jc w:val="center"/>
            </w:pPr>
            <w:r>
              <w:t>0 (0.0)</w:t>
            </w:r>
          </w:p>
        </w:tc>
        <w:tc>
          <w:tcPr>
            <w:tcW w:w="1872" w:type="dxa"/>
            <w:vAlign w:val="center"/>
          </w:tcPr>
          <w:p w14:paraId="162DD241" w14:textId="77777777" w:rsidR="004D1A15" w:rsidRDefault="004D1A15" w:rsidP="0007040A">
            <w:pPr>
              <w:jc w:val="center"/>
            </w:pPr>
            <w:r>
              <w:t>0 (0.0)</w:t>
            </w:r>
          </w:p>
        </w:tc>
        <w:tc>
          <w:tcPr>
            <w:tcW w:w="1234" w:type="dxa"/>
            <w:vAlign w:val="center"/>
          </w:tcPr>
          <w:p w14:paraId="76E7B8C3" w14:textId="77777777" w:rsidR="004D1A15" w:rsidRDefault="004D1A15" w:rsidP="0007040A">
            <w:pPr>
              <w:jc w:val="center"/>
            </w:pPr>
            <w:r>
              <w:t>0 (0.0)</w:t>
            </w:r>
          </w:p>
        </w:tc>
        <w:tc>
          <w:tcPr>
            <w:tcW w:w="1251" w:type="dxa"/>
            <w:vAlign w:val="center"/>
          </w:tcPr>
          <w:p w14:paraId="32A8170A" w14:textId="77777777" w:rsidR="004D1A15" w:rsidRDefault="004D1A15" w:rsidP="0007040A">
            <w:pPr>
              <w:jc w:val="center"/>
            </w:pPr>
            <w:r>
              <w:t>0 (0.0)</w:t>
            </w:r>
          </w:p>
        </w:tc>
        <w:tc>
          <w:tcPr>
            <w:tcW w:w="1875" w:type="dxa"/>
          </w:tcPr>
          <w:p w14:paraId="75889A65" w14:textId="77777777" w:rsidR="004D1A15" w:rsidRDefault="004D1A15" w:rsidP="0007040A">
            <w:pPr>
              <w:jc w:val="center"/>
            </w:pPr>
            <w:r w:rsidRPr="00AB10B7">
              <w:t>0 (0.0)</w:t>
            </w:r>
          </w:p>
        </w:tc>
        <w:tc>
          <w:tcPr>
            <w:tcW w:w="1275" w:type="dxa"/>
            <w:vAlign w:val="center"/>
          </w:tcPr>
          <w:p w14:paraId="149804A3" w14:textId="77777777" w:rsidR="004D1A15" w:rsidRDefault="004D1A15" w:rsidP="0007040A">
            <w:pPr>
              <w:jc w:val="center"/>
            </w:pPr>
            <w:r>
              <w:t>0 (0.0)</w:t>
            </w:r>
          </w:p>
        </w:tc>
        <w:tc>
          <w:tcPr>
            <w:tcW w:w="1440" w:type="dxa"/>
            <w:shd w:val="clear" w:color="auto" w:fill="FFFFFF" w:themeFill="background1"/>
            <w:vAlign w:val="center"/>
          </w:tcPr>
          <w:p w14:paraId="26F6A314" w14:textId="77777777" w:rsidR="004D1A15" w:rsidRDefault="004D1A15" w:rsidP="0007040A">
            <w:pPr>
              <w:jc w:val="center"/>
            </w:pPr>
            <w:r>
              <w:t>10 (31.2)</w:t>
            </w:r>
          </w:p>
        </w:tc>
        <w:tc>
          <w:tcPr>
            <w:tcW w:w="1763" w:type="dxa"/>
            <w:shd w:val="clear" w:color="auto" w:fill="FFFFFF" w:themeFill="background1"/>
            <w:vAlign w:val="center"/>
          </w:tcPr>
          <w:p w14:paraId="5EDB0324" w14:textId="77777777" w:rsidR="004D1A15" w:rsidRDefault="004D1A15" w:rsidP="0007040A">
            <w:pPr>
              <w:jc w:val="center"/>
            </w:pPr>
            <w:r>
              <w:t>4 (100.0)</w:t>
            </w:r>
          </w:p>
        </w:tc>
        <w:tc>
          <w:tcPr>
            <w:tcW w:w="1382" w:type="dxa"/>
            <w:shd w:val="clear" w:color="auto" w:fill="FFFFFF" w:themeFill="background1"/>
            <w:vAlign w:val="center"/>
          </w:tcPr>
          <w:p w14:paraId="131463DB" w14:textId="77777777" w:rsidR="004D1A15" w:rsidRDefault="004D1A15" w:rsidP="0007040A">
            <w:pPr>
              <w:jc w:val="center"/>
            </w:pPr>
            <w:r>
              <w:t>14 (38.9)</w:t>
            </w:r>
          </w:p>
        </w:tc>
      </w:tr>
      <w:tr w:rsidR="004D1A15" w14:paraId="4E1D2DC3" w14:textId="77777777" w:rsidTr="000B60BE">
        <w:trPr>
          <w:trHeight w:val="390"/>
          <w:jc w:val="center"/>
        </w:trPr>
        <w:tc>
          <w:tcPr>
            <w:tcW w:w="0" w:type="auto"/>
            <w:tcMar>
              <w:left w:w="29" w:type="dxa"/>
              <w:right w:w="115" w:type="dxa"/>
            </w:tcMar>
            <w:vAlign w:val="center"/>
          </w:tcPr>
          <w:p w14:paraId="24B8710D" w14:textId="77777777" w:rsidR="004D1A15" w:rsidRDefault="004D1A15" w:rsidP="0007040A">
            <w:r>
              <w:lastRenderedPageBreak/>
              <w:t>Other</w:t>
            </w:r>
            <w:r w:rsidRPr="0017667A">
              <w:rPr>
                <w:rFonts w:eastAsia="Calibri"/>
                <w:vertAlign w:val="superscript"/>
              </w:rPr>
              <w:t>†</w:t>
            </w:r>
          </w:p>
        </w:tc>
        <w:tc>
          <w:tcPr>
            <w:tcW w:w="1296" w:type="dxa"/>
            <w:vAlign w:val="center"/>
          </w:tcPr>
          <w:p w14:paraId="52D5C6E7" w14:textId="77777777" w:rsidR="004D1A15" w:rsidRDefault="004D1A15" w:rsidP="0007040A">
            <w:pPr>
              <w:jc w:val="center"/>
            </w:pPr>
            <w:r>
              <w:t>0 (0.0)</w:t>
            </w:r>
          </w:p>
        </w:tc>
        <w:tc>
          <w:tcPr>
            <w:tcW w:w="1872" w:type="dxa"/>
            <w:vAlign w:val="center"/>
          </w:tcPr>
          <w:p w14:paraId="6E3C7B2F" w14:textId="77777777" w:rsidR="004D1A15" w:rsidRDefault="004D1A15" w:rsidP="0007040A">
            <w:pPr>
              <w:jc w:val="center"/>
            </w:pPr>
            <w:r>
              <w:t>0 (0.0)</w:t>
            </w:r>
          </w:p>
        </w:tc>
        <w:tc>
          <w:tcPr>
            <w:tcW w:w="1234" w:type="dxa"/>
            <w:vAlign w:val="center"/>
          </w:tcPr>
          <w:p w14:paraId="214EB02A" w14:textId="77777777" w:rsidR="004D1A15" w:rsidRDefault="004D1A15" w:rsidP="0007040A">
            <w:pPr>
              <w:jc w:val="center"/>
            </w:pPr>
            <w:r>
              <w:t>0 (0.0)</w:t>
            </w:r>
          </w:p>
        </w:tc>
        <w:tc>
          <w:tcPr>
            <w:tcW w:w="1251" w:type="dxa"/>
            <w:vAlign w:val="center"/>
          </w:tcPr>
          <w:p w14:paraId="62C8F8EC" w14:textId="77777777" w:rsidR="004D1A15" w:rsidRDefault="004D1A15" w:rsidP="0007040A">
            <w:pPr>
              <w:jc w:val="center"/>
            </w:pPr>
            <w:r>
              <w:t>1 (16.7)</w:t>
            </w:r>
          </w:p>
        </w:tc>
        <w:tc>
          <w:tcPr>
            <w:tcW w:w="1875" w:type="dxa"/>
          </w:tcPr>
          <w:p w14:paraId="53026261" w14:textId="77777777" w:rsidR="004D1A15" w:rsidRDefault="004D1A15" w:rsidP="0007040A">
            <w:pPr>
              <w:jc w:val="center"/>
            </w:pPr>
            <w:r w:rsidRPr="00AB10B7">
              <w:t>0 (0.0)</w:t>
            </w:r>
          </w:p>
        </w:tc>
        <w:tc>
          <w:tcPr>
            <w:tcW w:w="1275" w:type="dxa"/>
            <w:vAlign w:val="center"/>
          </w:tcPr>
          <w:p w14:paraId="1D850B9E" w14:textId="77777777" w:rsidR="004D1A15" w:rsidRDefault="004D1A15" w:rsidP="0007040A">
            <w:pPr>
              <w:jc w:val="center"/>
            </w:pPr>
            <w:r>
              <w:t>1 (16.7)</w:t>
            </w:r>
          </w:p>
        </w:tc>
        <w:tc>
          <w:tcPr>
            <w:tcW w:w="1440" w:type="dxa"/>
            <w:shd w:val="clear" w:color="auto" w:fill="FFFFFF" w:themeFill="background1"/>
            <w:vAlign w:val="center"/>
          </w:tcPr>
          <w:p w14:paraId="141B60DA" w14:textId="77777777" w:rsidR="004D1A15" w:rsidRDefault="004D1A15" w:rsidP="0007040A">
            <w:pPr>
              <w:jc w:val="center"/>
            </w:pPr>
            <w:r>
              <w:t>9 (28.2)</w:t>
            </w:r>
          </w:p>
        </w:tc>
        <w:tc>
          <w:tcPr>
            <w:tcW w:w="1763" w:type="dxa"/>
            <w:shd w:val="clear" w:color="auto" w:fill="FFFFFF" w:themeFill="background1"/>
            <w:vAlign w:val="center"/>
          </w:tcPr>
          <w:p w14:paraId="795F445D" w14:textId="77777777" w:rsidR="004D1A15" w:rsidRDefault="004D1A15" w:rsidP="0007040A">
            <w:pPr>
              <w:jc w:val="center"/>
            </w:pPr>
            <w:r>
              <w:t>0 (0.0)</w:t>
            </w:r>
          </w:p>
        </w:tc>
        <w:tc>
          <w:tcPr>
            <w:tcW w:w="1382" w:type="dxa"/>
            <w:shd w:val="clear" w:color="auto" w:fill="FFFFFF" w:themeFill="background1"/>
            <w:vAlign w:val="center"/>
          </w:tcPr>
          <w:p w14:paraId="56CE9454" w14:textId="77777777" w:rsidR="004D1A15" w:rsidRDefault="004D1A15" w:rsidP="0007040A">
            <w:pPr>
              <w:jc w:val="center"/>
            </w:pPr>
            <w:r>
              <w:t>9 (25.0)</w:t>
            </w:r>
          </w:p>
        </w:tc>
      </w:tr>
      <w:tr w:rsidR="004D1A15" w14:paraId="6A0F40AE" w14:textId="77777777" w:rsidTr="000B60BE">
        <w:trPr>
          <w:trHeight w:val="390"/>
          <w:jc w:val="center"/>
        </w:trPr>
        <w:tc>
          <w:tcPr>
            <w:tcW w:w="0" w:type="auto"/>
            <w:tcMar>
              <w:left w:w="29" w:type="dxa"/>
              <w:right w:w="115" w:type="dxa"/>
            </w:tcMar>
            <w:vAlign w:val="center"/>
          </w:tcPr>
          <w:p w14:paraId="5071641C" w14:textId="77777777" w:rsidR="004D1A15" w:rsidRDefault="004D1A15" w:rsidP="0007040A">
            <w:r>
              <w:t>Unspecified</w:t>
            </w:r>
            <w:r w:rsidRPr="0017667A">
              <w:rPr>
                <w:rFonts w:eastAsia="Calibri"/>
                <w:vertAlign w:val="superscript"/>
              </w:rPr>
              <w:t>†</w:t>
            </w:r>
          </w:p>
        </w:tc>
        <w:tc>
          <w:tcPr>
            <w:tcW w:w="1296" w:type="dxa"/>
            <w:vAlign w:val="center"/>
          </w:tcPr>
          <w:p w14:paraId="291A70F2" w14:textId="77777777" w:rsidR="004D1A15" w:rsidRDefault="004D1A15" w:rsidP="0007040A">
            <w:pPr>
              <w:jc w:val="center"/>
            </w:pPr>
            <w:r>
              <w:t>0 (0.0)</w:t>
            </w:r>
          </w:p>
        </w:tc>
        <w:tc>
          <w:tcPr>
            <w:tcW w:w="1872" w:type="dxa"/>
            <w:vAlign w:val="center"/>
          </w:tcPr>
          <w:p w14:paraId="766BC788" w14:textId="77777777" w:rsidR="004D1A15" w:rsidRDefault="004D1A15" w:rsidP="0007040A">
            <w:pPr>
              <w:jc w:val="center"/>
            </w:pPr>
            <w:r>
              <w:t>0 (0.0)</w:t>
            </w:r>
          </w:p>
        </w:tc>
        <w:tc>
          <w:tcPr>
            <w:tcW w:w="1234" w:type="dxa"/>
            <w:vAlign w:val="center"/>
          </w:tcPr>
          <w:p w14:paraId="1FD2A185" w14:textId="77777777" w:rsidR="004D1A15" w:rsidRDefault="004D1A15" w:rsidP="0007040A">
            <w:pPr>
              <w:jc w:val="center"/>
            </w:pPr>
            <w:r>
              <w:t>0 (0.0)</w:t>
            </w:r>
          </w:p>
        </w:tc>
        <w:tc>
          <w:tcPr>
            <w:tcW w:w="1251" w:type="dxa"/>
            <w:vAlign w:val="center"/>
          </w:tcPr>
          <w:p w14:paraId="6E8B418E" w14:textId="77777777" w:rsidR="004D1A15" w:rsidRDefault="004D1A15" w:rsidP="0007040A">
            <w:pPr>
              <w:jc w:val="center"/>
            </w:pPr>
            <w:r>
              <w:t>0 (0.0)</w:t>
            </w:r>
          </w:p>
        </w:tc>
        <w:tc>
          <w:tcPr>
            <w:tcW w:w="1875" w:type="dxa"/>
          </w:tcPr>
          <w:p w14:paraId="6F5EE768" w14:textId="77777777" w:rsidR="004D1A15" w:rsidRDefault="004D1A15" w:rsidP="0007040A">
            <w:pPr>
              <w:jc w:val="center"/>
            </w:pPr>
            <w:r w:rsidRPr="00AB10B7">
              <w:t>0 (0.0)</w:t>
            </w:r>
          </w:p>
        </w:tc>
        <w:tc>
          <w:tcPr>
            <w:tcW w:w="1275" w:type="dxa"/>
            <w:vAlign w:val="center"/>
          </w:tcPr>
          <w:p w14:paraId="26E086AE" w14:textId="77777777" w:rsidR="004D1A15" w:rsidRDefault="004D1A15" w:rsidP="0007040A">
            <w:pPr>
              <w:jc w:val="center"/>
            </w:pPr>
            <w:r>
              <w:t>0 (0.0)</w:t>
            </w:r>
          </w:p>
        </w:tc>
        <w:tc>
          <w:tcPr>
            <w:tcW w:w="1440" w:type="dxa"/>
            <w:shd w:val="clear" w:color="auto" w:fill="FFFFFF" w:themeFill="background1"/>
            <w:vAlign w:val="center"/>
          </w:tcPr>
          <w:p w14:paraId="0E9B8B78" w14:textId="77777777" w:rsidR="004D1A15" w:rsidRDefault="004D1A15" w:rsidP="0007040A">
            <w:pPr>
              <w:jc w:val="center"/>
            </w:pPr>
            <w:r>
              <w:t>2 (6.3)</w:t>
            </w:r>
          </w:p>
        </w:tc>
        <w:tc>
          <w:tcPr>
            <w:tcW w:w="1763" w:type="dxa"/>
            <w:shd w:val="clear" w:color="auto" w:fill="FFFFFF" w:themeFill="background1"/>
            <w:vAlign w:val="center"/>
          </w:tcPr>
          <w:p w14:paraId="00422E4C" w14:textId="77777777" w:rsidR="004D1A15" w:rsidRDefault="004D1A15" w:rsidP="0007040A">
            <w:pPr>
              <w:jc w:val="center"/>
            </w:pPr>
            <w:r>
              <w:t>0 (0.0)</w:t>
            </w:r>
          </w:p>
        </w:tc>
        <w:tc>
          <w:tcPr>
            <w:tcW w:w="1382" w:type="dxa"/>
            <w:shd w:val="clear" w:color="auto" w:fill="FFFFFF" w:themeFill="background1"/>
            <w:vAlign w:val="center"/>
          </w:tcPr>
          <w:p w14:paraId="05F6D9D4" w14:textId="77777777" w:rsidR="004D1A15" w:rsidRDefault="004D1A15" w:rsidP="0007040A">
            <w:pPr>
              <w:jc w:val="center"/>
            </w:pPr>
            <w:r>
              <w:t>2 (5.5)</w:t>
            </w:r>
          </w:p>
        </w:tc>
      </w:tr>
      <w:tr w:rsidR="004D1A15" w14:paraId="160EB943" w14:textId="77777777" w:rsidTr="000B60BE">
        <w:trPr>
          <w:trHeight w:val="390"/>
          <w:jc w:val="center"/>
        </w:trPr>
        <w:tc>
          <w:tcPr>
            <w:tcW w:w="0" w:type="auto"/>
            <w:tcMar>
              <w:left w:w="29" w:type="dxa"/>
              <w:right w:w="115" w:type="dxa"/>
            </w:tcMar>
            <w:vAlign w:val="center"/>
          </w:tcPr>
          <w:p w14:paraId="663130EE" w14:textId="77777777" w:rsidR="004D1A15" w:rsidRDefault="004D1A15" w:rsidP="0007040A">
            <w:r>
              <w:t>Total</w:t>
            </w:r>
          </w:p>
        </w:tc>
        <w:tc>
          <w:tcPr>
            <w:tcW w:w="1296" w:type="dxa"/>
            <w:vAlign w:val="center"/>
          </w:tcPr>
          <w:p w14:paraId="082F0CBB" w14:textId="77777777" w:rsidR="004D1A15" w:rsidRDefault="004D1A15" w:rsidP="0007040A">
            <w:pPr>
              <w:jc w:val="center"/>
            </w:pPr>
            <w:r>
              <w:t>2 (100.0)</w:t>
            </w:r>
          </w:p>
        </w:tc>
        <w:tc>
          <w:tcPr>
            <w:tcW w:w="1872" w:type="dxa"/>
            <w:vAlign w:val="center"/>
          </w:tcPr>
          <w:p w14:paraId="1008157D" w14:textId="77777777" w:rsidR="004D1A15" w:rsidRDefault="004D1A15" w:rsidP="0007040A">
            <w:pPr>
              <w:jc w:val="center"/>
            </w:pPr>
            <w:r>
              <w:t>0 (0.0)</w:t>
            </w:r>
          </w:p>
        </w:tc>
        <w:tc>
          <w:tcPr>
            <w:tcW w:w="1234" w:type="dxa"/>
            <w:vAlign w:val="center"/>
          </w:tcPr>
          <w:p w14:paraId="212D0EB0" w14:textId="77777777" w:rsidR="004D1A15" w:rsidRDefault="004D1A15" w:rsidP="0007040A">
            <w:pPr>
              <w:jc w:val="center"/>
            </w:pPr>
            <w:r>
              <w:t>2 (100.0)</w:t>
            </w:r>
          </w:p>
        </w:tc>
        <w:tc>
          <w:tcPr>
            <w:tcW w:w="1251" w:type="dxa"/>
            <w:vAlign w:val="center"/>
          </w:tcPr>
          <w:p w14:paraId="58994B34" w14:textId="77777777" w:rsidR="004D1A15" w:rsidRDefault="004D1A15" w:rsidP="0007040A">
            <w:pPr>
              <w:jc w:val="center"/>
            </w:pPr>
            <w:r>
              <w:t>6 (100.0)</w:t>
            </w:r>
          </w:p>
        </w:tc>
        <w:tc>
          <w:tcPr>
            <w:tcW w:w="1875" w:type="dxa"/>
          </w:tcPr>
          <w:p w14:paraId="0BE6FEDB" w14:textId="77777777" w:rsidR="004D1A15" w:rsidRDefault="004D1A15" w:rsidP="0007040A">
            <w:pPr>
              <w:jc w:val="center"/>
            </w:pPr>
            <w:r w:rsidRPr="00AB10B7">
              <w:t>0 (0.0)</w:t>
            </w:r>
          </w:p>
        </w:tc>
        <w:tc>
          <w:tcPr>
            <w:tcW w:w="1275" w:type="dxa"/>
            <w:vAlign w:val="center"/>
          </w:tcPr>
          <w:p w14:paraId="37CBDFCA" w14:textId="77777777" w:rsidR="004D1A15" w:rsidRDefault="004D1A15" w:rsidP="0007040A">
            <w:pPr>
              <w:jc w:val="center"/>
            </w:pPr>
            <w:r>
              <w:t>6 (100.0)</w:t>
            </w:r>
          </w:p>
        </w:tc>
        <w:tc>
          <w:tcPr>
            <w:tcW w:w="1440" w:type="dxa"/>
            <w:shd w:val="clear" w:color="auto" w:fill="FFFFFF" w:themeFill="background1"/>
            <w:vAlign w:val="center"/>
          </w:tcPr>
          <w:p w14:paraId="2355261F" w14:textId="77777777" w:rsidR="004D1A15" w:rsidRDefault="004D1A15" w:rsidP="0007040A">
            <w:pPr>
              <w:jc w:val="center"/>
            </w:pPr>
            <w:r>
              <w:t>32 (100.0)</w:t>
            </w:r>
          </w:p>
        </w:tc>
        <w:tc>
          <w:tcPr>
            <w:tcW w:w="1763" w:type="dxa"/>
            <w:shd w:val="clear" w:color="auto" w:fill="FFFFFF" w:themeFill="background1"/>
            <w:vAlign w:val="center"/>
          </w:tcPr>
          <w:p w14:paraId="14A42FA8" w14:textId="77777777" w:rsidR="004D1A15" w:rsidRDefault="004D1A15" w:rsidP="0007040A">
            <w:pPr>
              <w:jc w:val="center"/>
            </w:pPr>
            <w:r>
              <w:t>4 (100.0)</w:t>
            </w:r>
          </w:p>
        </w:tc>
        <w:tc>
          <w:tcPr>
            <w:tcW w:w="1382" w:type="dxa"/>
            <w:shd w:val="clear" w:color="auto" w:fill="FFFFFF" w:themeFill="background1"/>
            <w:vAlign w:val="center"/>
          </w:tcPr>
          <w:p w14:paraId="79C502F0" w14:textId="77777777" w:rsidR="004D1A15" w:rsidRDefault="004D1A15" w:rsidP="0007040A">
            <w:pPr>
              <w:jc w:val="center"/>
            </w:pPr>
            <w:r>
              <w:t>36 (100.0)</w:t>
            </w:r>
          </w:p>
        </w:tc>
      </w:tr>
      <w:tr w:rsidR="004D1A15" w14:paraId="14FF4325" w14:textId="77777777" w:rsidTr="00174501">
        <w:trPr>
          <w:trHeight w:val="390"/>
          <w:jc w:val="center"/>
        </w:trPr>
        <w:tc>
          <w:tcPr>
            <w:tcW w:w="0" w:type="auto"/>
            <w:shd w:val="clear" w:color="auto" w:fill="D9D9D9" w:themeFill="background1" w:themeFillShade="D9"/>
            <w:tcMar>
              <w:left w:w="29" w:type="dxa"/>
              <w:right w:w="115" w:type="dxa"/>
            </w:tcMar>
            <w:vAlign w:val="center"/>
          </w:tcPr>
          <w:p w14:paraId="4DE5ED6C" w14:textId="77777777" w:rsidR="004D1A15" w:rsidRPr="00F914C6" w:rsidRDefault="004D1A15" w:rsidP="005C0567">
            <w:pPr>
              <w:rPr>
                <w:b/>
                <w:bCs/>
              </w:rPr>
            </w:pPr>
            <w:r w:rsidRPr="00F914C6">
              <w:rPr>
                <w:b/>
                <w:bCs/>
              </w:rPr>
              <w:t>Dabigatran</w:t>
            </w:r>
          </w:p>
        </w:tc>
        <w:tc>
          <w:tcPr>
            <w:tcW w:w="1296" w:type="dxa"/>
            <w:shd w:val="clear" w:color="auto" w:fill="D9D9D9" w:themeFill="background1" w:themeFillShade="D9"/>
            <w:vAlign w:val="center"/>
          </w:tcPr>
          <w:p w14:paraId="08D216EA" w14:textId="77777777" w:rsidR="004D1A15" w:rsidRDefault="004D1A15" w:rsidP="005C0567">
            <w:pPr>
              <w:jc w:val="center"/>
            </w:pPr>
          </w:p>
        </w:tc>
        <w:tc>
          <w:tcPr>
            <w:tcW w:w="1872" w:type="dxa"/>
            <w:shd w:val="clear" w:color="auto" w:fill="D9D9D9" w:themeFill="background1" w:themeFillShade="D9"/>
            <w:vAlign w:val="center"/>
          </w:tcPr>
          <w:p w14:paraId="7EC5B7D7" w14:textId="77777777" w:rsidR="004D1A15" w:rsidRDefault="004D1A15" w:rsidP="005C0567">
            <w:pPr>
              <w:jc w:val="center"/>
            </w:pPr>
          </w:p>
        </w:tc>
        <w:tc>
          <w:tcPr>
            <w:tcW w:w="1234" w:type="dxa"/>
            <w:shd w:val="clear" w:color="auto" w:fill="D9D9D9" w:themeFill="background1" w:themeFillShade="D9"/>
            <w:vAlign w:val="center"/>
          </w:tcPr>
          <w:p w14:paraId="022AB316" w14:textId="77777777" w:rsidR="004D1A15" w:rsidRDefault="004D1A15" w:rsidP="005C0567">
            <w:pPr>
              <w:jc w:val="center"/>
            </w:pPr>
          </w:p>
        </w:tc>
        <w:tc>
          <w:tcPr>
            <w:tcW w:w="1251" w:type="dxa"/>
            <w:shd w:val="clear" w:color="auto" w:fill="D9D9D9" w:themeFill="background1" w:themeFillShade="D9"/>
            <w:vAlign w:val="center"/>
          </w:tcPr>
          <w:p w14:paraId="3B250FC2" w14:textId="77777777" w:rsidR="004D1A15" w:rsidRDefault="004D1A15" w:rsidP="005C0567">
            <w:pPr>
              <w:jc w:val="center"/>
            </w:pPr>
          </w:p>
        </w:tc>
        <w:tc>
          <w:tcPr>
            <w:tcW w:w="1875" w:type="dxa"/>
            <w:shd w:val="clear" w:color="auto" w:fill="D9D9D9" w:themeFill="background1" w:themeFillShade="D9"/>
            <w:vAlign w:val="center"/>
          </w:tcPr>
          <w:p w14:paraId="17DA6B3C" w14:textId="77777777" w:rsidR="004D1A15" w:rsidRDefault="004D1A15" w:rsidP="005C0567">
            <w:pPr>
              <w:jc w:val="center"/>
            </w:pPr>
          </w:p>
        </w:tc>
        <w:tc>
          <w:tcPr>
            <w:tcW w:w="1275" w:type="dxa"/>
            <w:shd w:val="clear" w:color="auto" w:fill="D9D9D9" w:themeFill="background1" w:themeFillShade="D9"/>
            <w:vAlign w:val="center"/>
          </w:tcPr>
          <w:p w14:paraId="31509A8A" w14:textId="77777777" w:rsidR="004D1A15" w:rsidRDefault="004D1A15" w:rsidP="005C0567">
            <w:pPr>
              <w:jc w:val="center"/>
            </w:pPr>
          </w:p>
        </w:tc>
        <w:tc>
          <w:tcPr>
            <w:tcW w:w="1440" w:type="dxa"/>
            <w:shd w:val="clear" w:color="auto" w:fill="D9D9D9" w:themeFill="background1" w:themeFillShade="D9"/>
            <w:vAlign w:val="center"/>
          </w:tcPr>
          <w:p w14:paraId="7C456D61" w14:textId="77777777" w:rsidR="004D1A15" w:rsidRDefault="004D1A15" w:rsidP="005C0567">
            <w:pPr>
              <w:jc w:val="center"/>
            </w:pPr>
          </w:p>
        </w:tc>
        <w:tc>
          <w:tcPr>
            <w:tcW w:w="1763" w:type="dxa"/>
            <w:shd w:val="clear" w:color="auto" w:fill="D9D9D9" w:themeFill="background1" w:themeFillShade="D9"/>
            <w:vAlign w:val="center"/>
          </w:tcPr>
          <w:p w14:paraId="0E822CDC" w14:textId="77777777" w:rsidR="004D1A15" w:rsidRDefault="004D1A15" w:rsidP="005C0567">
            <w:pPr>
              <w:jc w:val="center"/>
            </w:pPr>
          </w:p>
        </w:tc>
        <w:tc>
          <w:tcPr>
            <w:tcW w:w="1382" w:type="dxa"/>
            <w:shd w:val="clear" w:color="auto" w:fill="D9D9D9" w:themeFill="background1" w:themeFillShade="D9"/>
            <w:vAlign w:val="center"/>
          </w:tcPr>
          <w:p w14:paraId="32FFA8E6" w14:textId="77777777" w:rsidR="004D1A15" w:rsidRDefault="004D1A15" w:rsidP="005C0567">
            <w:pPr>
              <w:jc w:val="center"/>
            </w:pPr>
          </w:p>
        </w:tc>
      </w:tr>
      <w:tr w:rsidR="004D1A15" w14:paraId="2F9B56B9" w14:textId="77777777" w:rsidTr="006E3315">
        <w:trPr>
          <w:trHeight w:val="390"/>
          <w:jc w:val="center"/>
        </w:trPr>
        <w:tc>
          <w:tcPr>
            <w:tcW w:w="0" w:type="auto"/>
            <w:tcMar>
              <w:left w:w="29" w:type="dxa"/>
              <w:right w:w="115" w:type="dxa"/>
            </w:tcMar>
            <w:vAlign w:val="center"/>
          </w:tcPr>
          <w:p w14:paraId="1FBF8FC6" w14:textId="77777777" w:rsidR="004D1A15" w:rsidRDefault="004D1A15" w:rsidP="00CD45FD">
            <w:r>
              <w:t>Cerebral</w:t>
            </w:r>
          </w:p>
        </w:tc>
        <w:tc>
          <w:tcPr>
            <w:tcW w:w="1296" w:type="dxa"/>
            <w:vAlign w:val="center"/>
          </w:tcPr>
          <w:p w14:paraId="12FB74A7" w14:textId="77777777" w:rsidR="004D1A15" w:rsidRDefault="004D1A15" w:rsidP="00CD45FD">
            <w:pPr>
              <w:jc w:val="center"/>
            </w:pPr>
            <w:r>
              <w:t>0 (0.0)</w:t>
            </w:r>
          </w:p>
        </w:tc>
        <w:tc>
          <w:tcPr>
            <w:tcW w:w="1872" w:type="dxa"/>
            <w:vAlign w:val="center"/>
          </w:tcPr>
          <w:p w14:paraId="53B6D65A" w14:textId="77777777" w:rsidR="004D1A15" w:rsidRDefault="004D1A15" w:rsidP="00CD45FD">
            <w:pPr>
              <w:jc w:val="center"/>
            </w:pPr>
            <w:r>
              <w:t>0 (0.0)</w:t>
            </w:r>
          </w:p>
        </w:tc>
        <w:tc>
          <w:tcPr>
            <w:tcW w:w="1234" w:type="dxa"/>
            <w:vAlign w:val="center"/>
          </w:tcPr>
          <w:p w14:paraId="284A1091" w14:textId="77777777" w:rsidR="004D1A15" w:rsidRDefault="004D1A15" w:rsidP="00CD45FD">
            <w:pPr>
              <w:jc w:val="center"/>
            </w:pPr>
            <w:r>
              <w:t>0 (0.0)</w:t>
            </w:r>
          </w:p>
        </w:tc>
        <w:tc>
          <w:tcPr>
            <w:tcW w:w="1251" w:type="dxa"/>
          </w:tcPr>
          <w:p w14:paraId="3C6A444C" w14:textId="77777777" w:rsidR="004D1A15" w:rsidRDefault="004D1A15" w:rsidP="00CD45FD">
            <w:pPr>
              <w:jc w:val="center"/>
            </w:pPr>
            <w:r w:rsidRPr="009D5573">
              <w:t>0 (0.0)</w:t>
            </w:r>
          </w:p>
        </w:tc>
        <w:tc>
          <w:tcPr>
            <w:tcW w:w="1875" w:type="dxa"/>
          </w:tcPr>
          <w:p w14:paraId="53CAE53C" w14:textId="77777777" w:rsidR="004D1A15" w:rsidRDefault="004D1A15" w:rsidP="00CD45FD">
            <w:pPr>
              <w:jc w:val="center"/>
            </w:pPr>
            <w:r w:rsidRPr="00765382">
              <w:t>0 (0.0)</w:t>
            </w:r>
          </w:p>
        </w:tc>
        <w:tc>
          <w:tcPr>
            <w:tcW w:w="1275" w:type="dxa"/>
          </w:tcPr>
          <w:p w14:paraId="29C90F88" w14:textId="77777777" w:rsidR="004D1A15" w:rsidRDefault="004D1A15" w:rsidP="00CD45FD">
            <w:pPr>
              <w:jc w:val="center"/>
            </w:pPr>
            <w:r w:rsidRPr="003D79F1">
              <w:t>0 (0.0)</w:t>
            </w:r>
          </w:p>
        </w:tc>
        <w:tc>
          <w:tcPr>
            <w:tcW w:w="1440" w:type="dxa"/>
            <w:shd w:val="clear" w:color="auto" w:fill="FFFFFF" w:themeFill="background1"/>
            <w:vAlign w:val="center"/>
          </w:tcPr>
          <w:p w14:paraId="21659AFE" w14:textId="77777777" w:rsidR="004D1A15" w:rsidRDefault="004D1A15" w:rsidP="00CD45FD">
            <w:pPr>
              <w:jc w:val="center"/>
            </w:pPr>
            <w:r w:rsidRPr="003D79F1">
              <w:t>0 (0.0)</w:t>
            </w:r>
          </w:p>
        </w:tc>
        <w:tc>
          <w:tcPr>
            <w:tcW w:w="1763" w:type="dxa"/>
            <w:shd w:val="clear" w:color="auto" w:fill="FFFFFF" w:themeFill="background1"/>
            <w:vAlign w:val="center"/>
          </w:tcPr>
          <w:p w14:paraId="51F7B9CB" w14:textId="77777777" w:rsidR="004D1A15" w:rsidRDefault="004D1A15" w:rsidP="00CD45FD">
            <w:pPr>
              <w:jc w:val="center"/>
            </w:pPr>
            <w:r w:rsidRPr="003D79F1">
              <w:t>0 (0.0)</w:t>
            </w:r>
          </w:p>
        </w:tc>
        <w:tc>
          <w:tcPr>
            <w:tcW w:w="1382" w:type="dxa"/>
            <w:shd w:val="clear" w:color="auto" w:fill="FFFFFF" w:themeFill="background1"/>
            <w:vAlign w:val="center"/>
          </w:tcPr>
          <w:p w14:paraId="279F9171" w14:textId="77777777" w:rsidR="004D1A15" w:rsidRDefault="004D1A15" w:rsidP="00CD45FD">
            <w:pPr>
              <w:jc w:val="center"/>
            </w:pPr>
            <w:r w:rsidRPr="003D79F1">
              <w:t>0 (0.0)</w:t>
            </w:r>
          </w:p>
        </w:tc>
      </w:tr>
      <w:tr w:rsidR="004D1A15" w14:paraId="342D4B1E" w14:textId="77777777" w:rsidTr="006E3315">
        <w:trPr>
          <w:trHeight w:val="390"/>
          <w:jc w:val="center"/>
        </w:trPr>
        <w:tc>
          <w:tcPr>
            <w:tcW w:w="0" w:type="auto"/>
            <w:tcMar>
              <w:left w:w="29" w:type="dxa"/>
              <w:right w:w="115" w:type="dxa"/>
            </w:tcMar>
            <w:vAlign w:val="center"/>
          </w:tcPr>
          <w:p w14:paraId="755AB34C" w14:textId="77777777" w:rsidR="004D1A15" w:rsidRDefault="004D1A15" w:rsidP="00CD45FD">
            <w:r>
              <w:t>Gastrointestinal</w:t>
            </w:r>
          </w:p>
        </w:tc>
        <w:tc>
          <w:tcPr>
            <w:tcW w:w="1296" w:type="dxa"/>
            <w:vAlign w:val="center"/>
          </w:tcPr>
          <w:p w14:paraId="339D5E60" w14:textId="77777777" w:rsidR="004D1A15" w:rsidRDefault="004D1A15" w:rsidP="00CD45FD">
            <w:pPr>
              <w:jc w:val="center"/>
            </w:pPr>
            <w:r>
              <w:t>0 (0.0)</w:t>
            </w:r>
          </w:p>
        </w:tc>
        <w:tc>
          <w:tcPr>
            <w:tcW w:w="1872" w:type="dxa"/>
            <w:vAlign w:val="center"/>
          </w:tcPr>
          <w:p w14:paraId="373A54C7" w14:textId="77777777" w:rsidR="004D1A15" w:rsidRDefault="004D1A15" w:rsidP="00CD45FD">
            <w:pPr>
              <w:jc w:val="center"/>
            </w:pPr>
            <w:r>
              <w:t>0 (0.0)</w:t>
            </w:r>
          </w:p>
        </w:tc>
        <w:tc>
          <w:tcPr>
            <w:tcW w:w="1234" w:type="dxa"/>
            <w:vAlign w:val="center"/>
          </w:tcPr>
          <w:p w14:paraId="53D33035" w14:textId="77777777" w:rsidR="004D1A15" w:rsidRDefault="004D1A15" w:rsidP="00CD45FD">
            <w:pPr>
              <w:jc w:val="center"/>
            </w:pPr>
            <w:r>
              <w:t>0 (0.0)</w:t>
            </w:r>
          </w:p>
        </w:tc>
        <w:tc>
          <w:tcPr>
            <w:tcW w:w="1251" w:type="dxa"/>
          </w:tcPr>
          <w:p w14:paraId="67ED39E4" w14:textId="77777777" w:rsidR="004D1A15" w:rsidRDefault="004D1A15" w:rsidP="00CD45FD">
            <w:pPr>
              <w:jc w:val="center"/>
            </w:pPr>
            <w:r w:rsidRPr="009D5573">
              <w:t>0 (0.0)</w:t>
            </w:r>
          </w:p>
        </w:tc>
        <w:tc>
          <w:tcPr>
            <w:tcW w:w="1875" w:type="dxa"/>
          </w:tcPr>
          <w:p w14:paraId="12D2DB76" w14:textId="77777777" w:rsidR="004D1A15" w:rsidRDefault="004D1A15" w:rsidP="00CD45FD">
            <w:pPr>
              <w:jc w:val="center"/>
            </w:pPr>
            <w:r w:rsidRPr="00765382">
              <w:t>0 (0.0)</w:t>
            </w:r>
          </w:p>
        </w:tc>
        <w:tc>
          <w:tcPr>
            <w:tcW w:w="1275" w:type="dxa"/>
          </w:tcPr>
          <w:p w14:paraId="3E3A0C78" w14:textId="77777777" w:rsidR="004D1A15" w:rsidRDefault="004D1A15" w:rsidP="00CD45FD">
            <w:pPr>
              <w:jc w:val="center"/>
            </w:pPr>
            <w:r w:rsidRPr="003D79F1">
              <w:t>0 (0.0)</w:t>
            </w:r>
          </w:p>
        </w:tc>
        <w:tc>
          <w:tcPr>
            <w:tcW w:w="1440" w:type="dxa"/>
            <w:shd w:val="clear" w:color="auto" w:fill="FFFFFF" w:themeFill="background1"/>
            <w:vAlign w:val="center"/>
          </w:tcPr>
          <w:p w14:paraId="53FD1FD3" w14:textId="77777777" w:rsidR="004D1A15" w:rsidRDefault="004D1A15" w:rsidP="00CD45FD">
            <w:pPr>
              <w:jc w:val="center"/>
            </w:pPr>
            <w:r w:rsidRPr="003D79F1">
              <w:t>0 (0.0)</w:t>
            </w:r>
          </w:p>
        </w:tc>
        <w:tc>
          <w:tcPr>
            <w:tcW w:w="1763" w:type="dxa"/>
            <w:shd w:val="clear" w:color="auto" w:fill="FFFFFF" w:themeFill="background1"/>
            <w:vAlign w:val="center"/>
          </w:tcPr>
          <w:p w14:paraId="30BABF64" w14:textId="77777777" w:rsidR="004D1A15" w:rsidRDefault="004D1A15" w:rsidP="00CD45FD">
            <w:pPr>
              <w:jc w:val="center"/>
            </w:pPr>
            <w:r w:rsidRPr="003D79F1">
              <w:t>0 (0.0)</w:t>
            </w:r>
          </w:p>
        </w:tc>
        <w:tc>
          <w:tcPr>
            <w:tcW w:w="1382" w:type="dxa"/>
            <w:shd w:val="clear" w:color="auto" w:fill="FFFFFF" w:themeFill="background1"/>
            <w:vAlign w:val="center"/>
          </w:tcPr>
          <w:p w14:paraId="074D1BB9" w14:textId="77777777" w:rsidR="004D1A15" w:rsidRDefault="004D1A15" w:rsidP="00CD45FD">
            <w:pPr>
              <w:jc w:val="center"/>
            </w:pPr>
            <w:r w:rsidRPr="003D79F1">
              <w:t>0 (0.0)</w:t>
            </w:r>
          </w:p>
        </w:tc>
      </w:tr>
      <w:tr w:rsidR="004D1A15" w14:paraId="05B07001" w14:textId="77777777" w:rsidTr="006E3315">
        <w:trPr>
          <w:trHeight w:val="390"/>
          <w:jc w:val="center"/>
        </w:trPr>
        <w:tc>
          <w:tcPr>
            <w:tcW w:w="0" w:type="auto"/>
            <w:tcMar>
              <w:left w:w="29" w:type="dxa"/>
              <w:right w:w="115" w:type="dxa"/>
            </w:tcMar>
            <w:vAlign w:val="center"/>
          </w:tcPr>
          <w:p w14:paraId="48A79F9B" w14:textId="77777777" w:rsidR="004D1A15" w:rsidRDefault="004D1A15" w:rsidP="00CD45FD">
            <w:r>
              <w:t>Genitourinary</w:t>
            </w:r>
          </w:p>
        </w:tc>
        <w:tc>
          <w:tcPr>
            <w:tcW w:w="1296" w:type="dxa"/>
            <w:vAlign w:val="center"/>
          </w:tcPr>
          <w:p w14:paraId="61A2D1C0" w14:textId="77777777" w:rsidR="004D1A15" w:rsidRDefault="004D1A15" w:rsidP="00CD45FD">
            <w:pPr>
              <w:jc w:val="center"/>
            </w:pPr>
            <w:r>
              <w:t>0 (0.0)</w:t>
            </w:r>
          </w:p>
        </w:tc>
        <w:tc>
          <w:tcPr>
            <w:tcW w:w="1872" w:type="dxa"/>
            <w:vAlign w:val="center"/>
          </w:tcPr>
          <w:p w14:paraId="3E55A7CA" w14:textId="77777777" w:rsidR="004D1A15" w:rsidRDefault="004D1A15" w:rsidP="00CD45FD">
            <w:pPr>
              <w:jc w:val="center"/>
            </w:pPr>
            <w:r>
              <w:t>0 (0.0)</w:t>
            </w:r>
          </w:p>
        </w:tc>
        <w:tc>
          <w:tcPr>
            <w:tcW w:w="1234" w:type="dxa"/>
            <w:vAlign w:val="center"/>
          </w:tcPr>
          <w:p w14:paraId="7712BF94" w14:textId="77777777" w:rsidR="004D1A15" w:rsidRDefault="004D1A15" w:rsidP="00CD45FD">
            <w:pPr>
              <w:jc w:val="center"/>
            </w:pPr>
            <w:r>
              <w:t>0 (0.0)</w:t>
            </w:r>
          </w:p>
        </w:tc>
        <w:tc>
          <w:tcPr>
            <w:tcW w:w="1251" w:type="dxa"/>
          </w:tcPr>
          <w:p w14:paraId="254C90BF" w14:textId="77777777" w:rsidR="004D1A15" w:rsidRDefault="004D1A15" w:rsidP="00CD45FD">
            <w:pPr>
              <w:jc w:val="center"/>
            </w:pPr>
            <w:r w:rsidRPr="009D5573">
              <w:t>0 (0.0)</w:t>
            </w:r>
          </w:p>
        </w:tc>
        <w:tc>
          <w:tcPr>
            <w:tcW w:w="1875" w:type="dxa"/>
          </w:tcPr>
          <w:p w14:paraId="0559AC28" w14:textId="77777777" w:rsidR="004D1A15" w:rsidRDefault="004D1A15" w:rsidP="00CD45FD">
            <w:pPr>
              <w:jc w:val="center"/>
            </w:pPr>
            <w:r w:rsidRPr="00765382">
              <w:t>0 (0.0)</w:t>
            </w:r>
          </w:p>
        </w:tc>
        <w:tc>
          <w:tcPr>
            <w:tcW w:w="1275" w:type="dxa"/>
          </w:tcPr>
          <w:p w14:paraId="5C2E39EB" w14:textId="77777777" w:rsidR="004D1A15" w:rsidRDefault="004D1A15" w:rsidP="00CD45FD">
            <w:pPr>
              <w:jc w:val="center"/>
            </w:pPr>
            <w:r w:rsidRPr="003D79F1">
              <w:t>0 (0.0)</w:t>
            </w:r>
          </w:p>
        </w:tc>
        <w:tc>
          <w:tcPr>
            <w:tcW w:w="1440" w:type="dxa"/>
            <w:shd w:val="clear" w:color="auto" w:fill="FFFFFF" w:themeFill="background1"/>
            <w:vAlign w:val="center"/>
          </w:tcPr>
          <w:p w14:paraId="7470DFD5" w14:textId="77777777" w:rsidR="004D1A15" w:rsidRDefault="004D1A15" w:rsidP="00CD45FD">
            <w:pPr>
              <w:jc w:val="center"/>
            </w:pPr>
            <w:r>
              <w:t>1 (33.3)</w:t>
            </w:r>
          </w:p>
        </w:tc>
        <w:tc>
          <w:tcPr>
            <w:tcW w:w="1763" w:type="dxa"/>
            <w:shd w:val="clear" w:color="auto" w:fill="FFFFFF" w:themeFill="background1"/>
            <w:vAlign w:val="center"/>
          </w:tcPr>
          <w:p w14:paraId="2947EB10" w14:textId="77777777" w:rsidR="004D1A15" w:rsidRDefault="004D1A15" w:rsidP="00CD45FD">
            <w:pPr>
              <w:jc w:val="center"/>
            </w:pPr>
            <w:r w:rsidRPr="003D79F1">
              <w:t>0 (0.0)</w:t>
            </w:r>
          </w:p>
        </w:tc>
        <w:tc>
          <w:tcPr>
            <w:tcW w:w="1382" w:type="dxa"/>
            <w:shd w:val="clear" w:color="auto" w:fill="FFFFFF" w:themeFill="background1"/>
            <w:vAlign w:val="center"/>
          </w:tcPr>
          <w:p w14:paraId="471181E1" w14:textId="77777777" w:rsidR="004D1A15" w:rsidRDefault="004D1A15" w:rsidP="00CD45FD">
            <w:pPr>
              <w:jc w:val="center"/>
            </w:pPr>
            <w:r>
              <w:t>1 (33.3)</w:t>
            </w:r>
          </w:p>
        </w:tc>
      </w:tr>
      <w:tr w:rsidR="004D1A15" w14:paraId="22A053C6" w14:textId="77777777" w:rsidTr="006E3315">
        <w:trPr>
          <w:trHeight w:val="390"/>
          <w:jc w:val="center"/>
        </w:trPr>
        <w:tc>
          <w:tcPr>
            <w:tcW w:w="0" w:type="auto"/>
            <w:tcMar>
              <w:left w:w="29" w:type="dxa"/>
              <w:right w:w="115" w:type="dxa"/>
            </w:tcMar>
            <w:vAlign w:val="center"/>
          </w:tcPr>
          <w:p w14:paraId="5CC592FB" w14:textId="77777777" w:rsidR="004D1A15" w:rsidRDefault="004D1A15" w:rsidP="00CD45FD">
            <w:r>
              <w:t>Other</w:t>
            </w:r>
            <w:r w:rsidRPr="0017667A">
              <w:rPr>
                <w:rFonts w:eastAsia="Calibri"/>
                <w:vertAlign w:val="superscript"/>
              </w:rPr>
              <w:t>†</w:t>
            </w:r>
          </w:p>
        </w:tc>
        <w:tc>
          <w:tcPr>
            <w:tcW w:w="1296" w:type="dxa"/>
            <w:vAlign w:val="center"/>
          </w:tcPr>
          <w:p w14:paraId="22A47F00" w14:textId="77777777" w:rsidR="004D1A15" w:rsidRDefault="004D1A15" w:rsidP="00CD45FD">
            <w:pPr>
              <w:jc w:val="center"/>
            </w:pPr>
            <w:r>
              <w:t>0 (0.0)</w:t>
            </w:r>
          </w:p>
        </w:tc>
        <w:tc>
          <w:tcPr>
            <w:tcW w:w="1872" w:type="dxa"/>
            <w:vAlign w:val="center"/>
          </w:tcPr>
          <w:p w14:paraId="1BA8F859" w14:textId="77777777" w:rsidR="004D1A15" w:rsidRDefault="004D1A15" w:rsidP="00CD45FD">
            <w:pPr>
              <w:jc w:val="center"/>
            </w:pPr>
            <w:r>
              <w:t>0 (0.0)</w:t>
            </w:r>
          </w:p>
        </w:tc>
        <w:tc>
          <w:tcPr>
            <w:tcW w:w="1234" w:type="dxa"/>
            <w:vAlign w:val="center"/>
          </w:tcPr>
          <w:p w14:paraId="3C4C1D8A" w14:textId="77777777" w:rsidR="004D1A15" w:rsidRDefault="004D1A15" w:rsidP="00CD45FD">
            <w:pPr>
              <w:jc w:val="center"/>
            </w:pPr>
            <w:r>
              <w:t>0 (0.0)</w:t>
            </w:r>
          </w:p>
        </w:tc>
        <w:tc>
          <w:tcPr>
            <w:tcW w:w="1251" w:type="dxa"/>
          </w:tcPr>
          <w:p w14:paraId="4F15FB3E" w14:textId="77777777" w:rsidR="004D1A15" w:rsidRDefault="004D1A15" w:rsidP="00CD45FD">
            <w:pPr>
              <w:jc w:val="center"/>
            </w:pPr>
            <w:r w:rsidRPr="009D5573">
              <w:t>0 (0.0)</w:t>
            </w:r>
          </w:p>
        </w:tc>
        <w:tc>
          <w:tcPr>
            <w:tcW w:w="1875" w:type="dxa"/>
          </w:tcPr>
          <w:p w14:paraId="195457A3" w14:textId="77777777" w:rsidR="004D1A15" w:rsidRDefault="004D1A15" w:rsidP="00CD45FD">
            <w:pPr>
              <w:jc w:val="center"/>
            </w:pPr>
            <w:r w:rsidRPr="00765382">
              <w:t>0 (0.0)</w:t>
            </w:r>
          </w:p>
        </w:tc>
        <w:tc>
          <w:tcPr>
            <w:tcW w:w="1275" w:type="dxa"/>
          </w:tcPr>
          <w:p w14:paraId="53B2C116" w14:textId="77777777" w:rsidR="004D1A15" w:rsidRDefault="004D1A15" w:rsidP="00CD45FD">
            <w:pPr>
              <w:jc w:val="center"/>
            </w:pPr>
            <w:r w:rsidRPr="003D79F1">
              <w:t>0 (0.0)</w:t>
            </w:r>
          </w:p>
        </w:tc>
        <w:tc>
          <w:tcPr>
            <w:tcW w:w="1440" w:type="dxa"/>
            <w:shd w:val="clear" w:color="auto" w:fill="FFFFFF" w:themeFill="background1"/>
            <w:vAlign w:val="center"/>
          </w:tcPr>
          <w:p w14:paraId="0BA63DAA" w14:textId="77777777" w:rsidR="004D1A15" w:rsidRDefault="004D1A15" w:rsidP="00CD45FD">
            <w:pPr>
              <w:jc w:val="center"/>
            </w:pPr>
            <w:r w:rsidRPr="003D79F1">
              <w:t>0 (0.0)</w:t>
            </w:r>
          </w:p>
        </w:tc>
        <w:tc>
          <w:tcPr>
            <w:tcW w:w="1763" w:type="dxa"/>
            <w:shd w:val="clear" w:color="auto" w:fill="FFFFFF" w:themeFill="background1"/>
            <w:vAlign w:val="center"/>
          </w:tcPr>
          <w:p w14:paraId="03985FFA" w14:textId="77777777" w:rsidR="004D1A15" w:rsidRDefault="004D1A15" w:rsidP="00CD45FD">
            <w:pPr>
              <w:jc w:val="center"/>
            </w:pPr>
            <w:r w:rsidRPr="003D79F1">
              <w:t>0 (0.0)</w:t>
            </w:r>
          </w:p>
        </w:tc>
        <w:tc>
          <w:tcPr>
            <w:tcW w:w="1382" w:type="dxa"/>
            <w:shd w:val="clear" w:color="auto" w:fill="FFFFFF" w:themeFill="background1"/>
            <w:vAlign w:val="center"/>
          </w:tcPr>
          <w:p w14:paraId="07A6BCA9" w14:textId="77777777" w:rsidR="004D1A15" w:rsidRDefault="004D1A15" w:rsidP="00CD45FD">
            <w:pPr>
              <w:jc w:val="center"/>
            </w:pPr>
            <w:r w:rsidRPr="003D79F1">
              <w:t>0 (0.0)</w:t>
            </w:r>
          </w:p>
        </w:tc>
      </w:tr>
      <w:tr w:rsidR="004D1A15" w14:paraId="5AAECEEC" w14:textId="77777777" w:rsidTr="006E3315">
        <w:trPr>
          <w:trHeight w:val="390"/>
          <w:jc w:val="center"/>
        </w:trPr>
        <w:tc>
          <w:tcPr>
            <w:tcW w:w="0" w:type="auto"/>
            <w:tcMar>
              <w:left w:w="29" w:type="dxa"/>
              <w:right w:w="115" w:type="dxa"/>
            </w:tcMar>
            <w:vAlign w:val="center"/>
          </w:tcPr>
          <w:p w14:paraId="7BBA8521" w14:textId="77777777" w:rsidR="004D1A15" w:rsidRDefault="004D1A15" w:rsidP="00CD45FD">
            <w:r>
              <w:t>Unspecified</w:t>
            </w:r>
            <w:r w:rsidRPr="0017667A">
              <w:rPr>
                <w:rFonts w:eastAsia="Calibri"/>
                <w:vertAlign w:val="superscript"/>
              </w:rPr>
              <w:t>†</w:t>
            </w:r>
          </w:p>
        </w:tc>
        <w:tc>
          <w:tcPr>
            <w:tcW w:w="1296" w:type="dxa"/>
            <w:vAlign w:val="center"/>
          </w:tcPr>
          <w:p w14:paraId="3D9237A7" w14:textId="77777777" w:rsidR="004D1A15" w:rsidRDefault="004D1A15" w:rsidP="00CD45FD">
            <w:pPr>
              <w:jc w:val="center"/>
            </w:pPr>
            <w:r>
              <w:t>0 (0.0)</w:t>
            </w:r>
          </w:p>
        </w:tc>
        <w:tc>
          <w:tcPr>
            <w:tcW w:w="1872" w:type="dxa"/>
            <w:vAlign w:val="center"/>
          </w:tcPr>
          <w:p w14:paraId="2D6DD477" w14:textId="77777777" w:rsidR="004D1A15" w:rsidRDefault="004D1A15" w:rsidP="00CD45FD">
            <w:pPr>
              <w:jc w:val="center"/>
            </w:pPr>
            <w:r>
              <w:t>0 (0.0)</w:t>
            </w:r>
          </w:p>
        </w:tc>
        <w:tc>
          <w:tcPr>
            <w:tcW w:w="1234" w:type="dxa"/>
            <w:vAlign w:val="center"/>
          </w:tcPr>
          <w:p w14:paraId="697CA80E" w14:textId="77777777" w:rsidR="004D1A15" w:rsidRDefault="004D1A15" w:rsidP="00CD45FD">
            <w:pPr>
              <w:jc w:val="center"/>
            </w:pPr>
            <w:r>
              <w:t>0 (0.0)</w:t>
            </w:r>
          </w:p>
        </w:tc>
        <w:tc>
          <w:tcPr>
            <w:tcW w:w="1251" w:type="dxa"/>
          </w:tcPr>
          <w:p w14:paraId="6E47FE38" w14:textId="77777777" w:rsidR="004D1A15" w:rsidRDefault="004D1A15" w:rsidP="00CD45FD">
            <w:pPr>
              <w:jc w:val="center"/>
            </w:pPr>
            <w:r w:rsidRPr="009D5573">
              <w:t>0 (0.0)</w:t>
            </w:r>
          </w:p>
        </w:tc>
        <w:tc>
          <w:tcPr>
            <w:tcW w:w="1875" w:type="dxa"/>
          </w:tcPr>
          <w:p w14:paraId="5AF0A214" w14:textId="77777777" w:rsidR="004D1A15" w:rsidRDefault="004D1A15" w:rsidP="00CD45FD">
            <w:pPr>
              <w:jc w:val="center"/>
            </w:pPr>
            <w:r w:rsidRPr="00765382">
              <w:t>0 (0.0)</w:t>
            </w:r>
          </w:p>
        </w:tc>
        <w:tc>
          <w:tcPr>
            <w:tcW w:w="1275" w:type="dxa"/>
          </w:tcPr>
          <w:p w14:paraId="5C86BD4B" w14:textId="77777777" w:rsidR="004D1A15" w:rsidRDefault="004D1A15" w:rsidP="00CD45FD">
            <w:pPr>
              <w:jc w:val="center"/>
            </w:pPr>
            <w:r w:rsidRPr="003D79F1">
              <w:t>0 (0.0)</w:t>
            </w:r>
          </w:p>
        </w:tc>
        <w:tc>
          <w:tcPr>
            <w:tcW w:w="1440" w:type="dxa"/>
            <w:shd w:val="clear" w:color="auto" w:fill="FFFFFF" w:themeFill="background1"/>
            <w:vAlign w:val="center"/>
          </w:tcPr>
          <w:p w14:paraId="3818D2E5" w14:textId="77777777" w:rsidR="004D1A15" w:rsidRDefault="004D1A15" w:rsidP="00CD45FD">
            <w:pPr>
              <w:jc w:val="center"/>
            </w:pPr>
            <w:r>
              <w:t>2 (66.7)</w:t>
            </w:r>
          </w:p>
        </w:tc>
        <w:tc>
          <w:tcPr>
            <w:tcW w:w="1763" w:type="dxa"/>
            <w:shd w:val="clear" w:color="auto" w:fill="FFFFFF" w:themeFill="background1"/>
            <w:vAlign w:val="center"/>
          </w:tcPr>
          <w:p w14:paraId="2B5F5D34" w14:textId="77777777" w:rsidR="004D1A15" w:rsidRDefault="004D1A15" w:rsidP="00CD45FD">
            <w:pPr>
              <w:jc w:val="center"/>
            </w:pPr>
            <w:r w:rsidRPr="003D79F1">
              <w:t>0 (0.0)</w:t>
            </w:r>
          </w:p>
        </w:tc>
        <w:tc>
          <w:tcPr>
            <w:tcW w:w="1382" w:type="dxa"/>
            <w:shd w:val="clear" w:color="auto" w:fill="FFFFFF" w:themeFill="background1"/>
            <w:vAlign w:val="center"/>
          </w:tcPr>
          <w:p w14:paraId="04876EB5" w14:textId="77777777" w:rsidR="004D1A15" w:rsidRDefault="004D1A15" w:rsidP="00CD45FD">
            <w:pPr>
              <w:jc w:val="center"/>
            </w:pPr>
            <w:r>
              <w:t>2 (66.7)</w:t>
            </w:r>
          </w:p>
        </w:tc>
      </w:tr>
      <w:tr w:rsidR="004D1A15" w14:paraId="3E43A3CA" w14:textId="77777777" w:rsidTr="006E3315">
        <w:trPr>
          <w:trHeight w:val="390"/>
          <w:jc w:val="center"/>
        </w:trPr>
        <w:tc>
          <w:tcPr>
            <w:tcW w:w="0" w:type="auto"/>
            <w:tcMar>
              <w:left w:w="29" w:type="dxa"/>
              <w:right w:w="115" w:type="dxa"/>
            </w:tcMar>
            <w:vAlign w:val="center"/>
          </w:tcPr>
          <w:p w14:paraId="7F452446" w14:textId="77777777" w:rsidR="004D1A15" w:rsidRDefault="004D1A15" w:rsidP="00CD45FD">
            <w:r>
              <w:t>Total</w:t>
            </w:r>
          </w:p>
        </w:tc>
        <w:tc>
          <w:tcPr>
            <w:tcW w:w="1296" w:type="dxa"/>
            <w:vAlign w:val="center"/>
          </w:tcPr>
          <w:p w14:paraId="1A8D8AE4" w14:textId="77777777" w:rsidR="004D1A15" w:rsidRDefault="004D1A15" w:rsidP="00CD45FD">
            <w:pPr>
              <w:jc w:val="center"/>
            </w:pPr>
            <w:r>
              <w:t>0 (0.0)</w:t>
            </w:r>
          </w:p>
        </w:tc>
        <w:tc>
          <w:tcPr>
            <w:tcW w:w="1872" w:type="dxa"/>
            <w:vAlign w:val="center"/>
          </w:tcPr>
          <w:p w14:paraId="4316113D" w14:textId="77777777" w:rsidR="004D1A15" w:rsidRDefault="004D1A15" w:rsidP="00CD45FD">
            <w:pPr>
              <w:jc w:val="center"/>
            </w:pPr>
            <w:r>
              <w:t>0 (0.0)</w:t>
            </w:r>
          </w:p>
        </w:tc>
        <w:tc>
          <w:tcPr>
            <w:tcW w:w="1234" w:type="dxa"/>
            <w:vAlign w:val="center"/>
          </w:tcPr>
          <w:p w14:paraId="40A024C8" w14:textId="77777777" w:rsidR="004D1A15" w:rsidRDefault="004D1A15" w:rsidP="00CD45FD">
            <w:pPr>
              <w:jc w:val="center"/>
            </w:pPr>
            <w:r>
              <w:t>0 (0.0)</w:t>
            </w:r>
          </w:p>
        </w:tc>
        <w:tc>
          <w:tcPr>
            <w:tcW w:w="1251" w:type="dxa"/>
          </w:tcPr>
          <w:p w14:paraId="5AAFDB68" w14:textId="77777777" w:rsidR="004D1A15" w:rsidRDefault="004D1A15" w:rsidP="00CD45FD">
            <w:pPr>
              <w:jc w:val="center"/>
            </w:pPr>
            <w:r w:rsidRPr="009D5573">
              <w:t>0 (0.0)</w:t>
            </w:r>
          </w:p>
        </w:tc>
        <w:tc>
          <w:tcPr>
            <w:tcW w:w="1875" w:type="dxa"/>
          </w:tcPr>
          <w:p w14:paraId="2780FAF3" w14:textId="77777777" w:rsidR="004D1A15" w:rsidRDefault="004D1A15" w:rsidP="00CD45FD">
            <w:pPr>
              <w:jc w:val="center"/>
            </w:pPr>
            <w:r w:rsidRPr="00765382">
              <w:t>0 (0.0)</w:t>
            </w:r>
          </w:p>
        </w:tc>
        <w:tc>
          <w:tcPr>
            <w:tcW w:w="1275" w:type="dxa"/>
          </w:tcPr>
          <w:p w14:paraId="1A2811C6" w14:textId="77777777" w:rsidR="004D1A15" w:rsidRDefault="004D1A15" w:rsidP="00CD45FD">
            <w:pPr>
              <w:jc w:val="center"/>
            </w:pPr>
            <w:r w:rsidRPr="003D79F1">
              <w:t>0 (0.0)</w:t>
            </w:r>
          </w:p>
        </w:tc>
        <w:tc>
          <w:tcPr>
            <w:tcW w:w="1440" w:type="dxa"/>
            <w:shd w:val="clear" w:color="auto" w:fill="FFFFFF" w:themeFill="background1"/>
            <w:vAlign w:val="center"/>
          </w:tcPr>
          <w:p w14:paraId="0E3E9613" w14:textId="77777777" w:rsidR="004D1A15" w:rsidRDefault="004D1A15" w:rsidP="00CD45FD">
            <w:pPr>
              <w:jc w:val="center"/>
            </w:pPr>
            <w:r>
              <w:t>3 (100.0)</w:t>
            </w:r>
          </w:p>
        </w:tc>
        <w:tc>
          <w:tcPr>
            <w:tcW w:w="1763" w:type="dxa"/>
            <w:shd w:val="clear" w:color="auto" w:fill="FFFFFF" w:themeFill="background1"/>
            <w:vAlign w:val="center"/>
          </w:tcPr>
          <w:p w14:paraId="121012C6" w14:textId="77777777" w:rsidR="004D1A15" w:rsidRDefault="004D1A15" w:rsidP="00CD45FD">
            <w:pPr>
              <w:jc w:val="center"/>
            </w:pPr>
            <w:r>
              <w:t>0 (100.0)</w:t>
            </w:r>
          </w:p>
        </w:tc>
        <w:tc>
          <w:tcPr>
            <w:tcW w:w="1382" w:type="dxa"/>
            <w:shd w:val="clear" w:color="auto" w:fill="FFFFFF" w:themeFill="background1"/>
            <w:vAlign w:val="center"/>
          </w:tcPr>
          <w:p w14:paraId="0DACEE6E" w14:textId="77777777" w:rsidR="004D1A15" w:rsidRDefault="004D1A15" w:rsidP="00CD45FD">
            <w:pPr>
              <w:jc w:val="center"/>
            </w:pPr>
            <w:r>
              <w:t>3 (100.0)</w:t>
            </w:r>
          </w:p>
        </w:tc>
      </w:tr>
      <w:tr w:rsidR="004D1A15" w14:paraId="014BED06" w14:textId="77777777" w:rsidTr="00DC1F8D">
        <w:trPr>
          <w:trHeight w:val="390"/>
          <w:jc w:val="center"/>
        </w:trPr>
        <w:tc>
          <w:tcPr>
            <w:tcW w:w="0" w:type="auto"/>
            <w:gridSpan w:val="10"/>
            <w:tcMar>
              <w:left w:w="29" w:type="dxa"/>
              <w:right w:w="115" w:type="dxa"/>
            </w:tcMar>
          </w:tcPr>
          <w:p w14:paraId="43EF4E34" w14:textId="77777777" w:rsidR="004D1A15" w:rsidRPr="00F676AC" w:rsidRDefault="004D1A15" w:rsidP="005C0567">
            <w:pPr>
              <w:rPr>
                <w:sz w:val="20"/>
                <w:szCs w:val="20"/>
              </w:rPr>
            </w:pPr>
            <w:r w:rsidRPr="00F676AC">
              <w:rPr>
                <w:sz w:val="20"/>
                <w:szCs w:val="20"/>
              </w:rPr>
              <w:t>OAC = oral anticoagulant</w:t>
            </w:r>
          </w:p>
          <w:p w14:paraId="4E980837" w14:textId="77777777" w:rsidR="004D1A15" w:rsidRDefault="004D1A15" w:rsidP="005C0567">
            <w:pPr>
              <w:rPr>
                <w:sz w:val="20"/>
              </w:rPr>
            </w:pPr>
            <w:r>
              <w:br/>
            </w:r>
            <w:r>
              <w:rPr>
                <w:sz w:val="20"/>
              </w:rPr>
              <w:t xml:space="preserve">* No individuals in the cohort were co-exposed to </w:t>
            </w:r>
            <w:proofErr w:type="spellStart"/>
            <w:r>
              <w:rPr>
                <w:sz w:val="20"/>
              </w:rPr>
              <w:t>edoxaban</w:t>
            </w:r>
            <w:proofErr w:type="spellEnd"/>
          </w:p>
          <w:p w14:paraId="39801254" w14:textId="77777777" w:rsidR="004D1A15" w:rsidRDefault="004D1A15" w:rsidP="005C0567">
            <w:r w:rsidRPr="00043D18">
              <w:rPr>
                <w:rFonts w:eastAsia="Calibri"/>
                <w:sz w:val="20"/>
                <w:szCs w:val="20"/>
              </w:rPr>
              <w:t>†</w:t>
            </w:r>
            <w:r>
              <w:rPr>
                <w:rFonts w:eastAsia="Calibri"/>
                <w:sz w:val="20"/>
                <w:szCs w:val="20"/>
              </w:rPr>
              <w:t xml:space="preserve"> </w:t>
            </w:r>
            <w:r>
              <w:rPr>
                <w:sz w:val="20"/>
              </w:rPr>
              <w:t xml:space="preserve">See </w:t>
            </w:r>
            <w:r w:rsidRPr="00DE559D">
              <w:rPr>
                <w:b/>
                <w:sz w:val="20"/>
              </w:rPr>
              <w:t>Supplementary Table 2</w:t>
            </w:r>
            <w:r>
              <w:rPr>
                <w:sz w:val="20"/>
              </w:rPr>
              <w:t xml:space="preserve"> for bleed types in Other and Unspecified sites of bleed</w:t>
            </w:r>
          </w:p>
        </w:tc>
      </w:tr>
    </w:tbl>
    <w:p w14:paraId="58D09DC0" w14:textId="77777777" w:rsidR="004D1A15" w:rsidRDefault="004D1A15">
      <w:pPr>
        <w:rPr>
          <w:rFonts w:cs="Times New Roman"/>
          <w:b/>
          <w:bCs/>
          <w:szCs w:val="24"/>
        </w:rPr>
      </w:pPr>
    </w:p>
    <w:p w14:paraId="5640ACC9" w14:textId="77777777" w:rsidR="004D1A15" w:rsidRDefault="004D1A15">
      <w:pPr>
        <w:rPr>
          <w:rFonts w:cs="Times New Roman"/>
          <w:b/>
          <w:bCs/>
          <w:szCs w:val="24"/>
        </w:rPr>
      </w:pPr>
      <w:r>
        <w:rPr>
          <w:rFonts w:cs="Times New Roman"/>
          <w:b/>
          <w:bCs/>
          <w:szCs w:val="24"/>
        </w:rPr>
        <w:br w:type="page"/>
      </w:r>
    </w:p>
    <w:p w14:paraId="0A317EC1" w14:textId="77777777" w:rsidR="004D1A15" w:rsidRDefault="004D1A15">
      <w:pPr>
        <w:rPr>
          <w:rFonts w:cs="Times New Roman"/>
          <w:b/>
          <w:bCs/>
          <w:szCs w:val="24"/>
        </w:rPr>
        <w:sectPr w:rsidR="004D1A15" w:rsidSect="00603CED">
          <w:pgSz w:w="15840" w:h="12240" w:orient="landscape"/>
          <w:pgMar w:top="1440" w:right="1440" w:bottom="1440" w:left="1440" w:header="720" w:footer="720" w:gutter="0"/>
          <w:cols w:space="720"/>
          <w:docGrid w:linePitch="360"/>
        </w:sectPr>
      </w:pPr>
    </w:p>
    <w:p w14:paraId="27D85C86" w14:textId="77777777" w:rsidR="004D1A15" w:rsidRDefault="004D1A15" w:rsidP="0065057A">
      <w:pPr>
        <w:spacing w:after="0"/>
        <w:rPr>
          <w:rFonts w:cs="Times New Roman"/>
          <w:b/>
          <w:bCs/>
          <w:szCs w:val="24"/>
        </w:rPr>
      </w:pPr>
      <w:r>
        <w:rPr>
          <w:rFonts w:cs="Times New Roman"/>
          <w:b/>
          <w:bCs/>
          <w:szCs w:val="24"/>
        </w:rPr>
        <w:lastRenderedPageBreak/>
        <w:t>Supplementary Table 11. Bleed types for provider-diagnosed bleeds of other and unspecified bleed sites.</w:t>
      </w:r>
    </w:p>
    <w:tbl>
      <w:tblPr>
        <w:tblStyle w:val="TableGrid"/>
        <w:tblW w:w="0" w:type="auto"/>
        <w:tblLook w:val="04A0" w:firstRow="1" w:lastRow="0" w:firstColumn="1" w:lastColumn="0" w:noHBand="0" w:noVBand="1"/>
      </w:tblPr>
      <w:tblGrid>
        <w:gridCol w:w="3116"/>
        <w:gridCol w:w="3117"/>
        <w:gridCol w:w="3117"/>
      </w:tblGrid>
      <w:tr w:rsidR="004D1A15" w14:paraId="3D393454" w14:textId="77777777" w:rsidTr="00174501">
        <w:tc>
          <w:tcPr>
            <w:tcW w:w="3116" w:type="dxa"/>
            <w:shd w:val="clear" w:color="auto" w:fill="D9D9D9" w:themeFill="background1" w:themeFillShade="D9"/>
            <w:tcMar>
              <w:left w:w="29" w:type="dxa"/>
              <w:right w:w="115" w:type="dxa"/>
            </w:tcMar>
            <w:vAlign w:val="center"/>
          </w:tcPr>
          <w:p w14:paraId="3262532D" w14:textId="77777777" w:rsidR="004D1A15" w:rsidRDefault="004D1A15" w:rsidP="0065057A">
            <w:pPr>
              <w:rPr>
                <w:b/>
                <w:bCs/>
              </w:rPr>
            </w:pPr>
            <w:r>
              <w:rPr>
                <w:b/>
                <w:bCs/>
              </w:rPr>
              <w:t>Bleed type</w:t>
            </w:r>
            <w:r w:rsidRPr="00F041E6">
              <w:rPr>
                <w:b/>
                <w:bCs/>
                <w:vertAlign w:val="superscript"/>
              </w:rPr>
              <w:t>*</w:t>
            </w:r>
            <w:r>
              <w:rPr>
                <w:b/>
                <w:bCs/>
              </w:rPr>
              <w:t>, N (%)</w:t>
            </w:r>
          </w:p>
        </w:tc>
        <w:tc>
          <w:tcPr>
            <w:tcW w:w="3117" w:type="dxa"/>
            <w:shd w:val="clear" w:color="auto" w:fill="D9D9D9" w:themeFill="background1" w:themeFillShade="D9"/>
            <w:vAlign w:val="center"/>
          </w:tcPr>
          <w:p w14:paraId="011DBEAB" w14:textId="77777777" w:rsidR="004D1A15" w:rsidRDefault="004D1A15" w:rsidP="0065057A">
            <w:pPr>
              <w:jc w:val="center"/>
              <w:rPr>
                <w:b/>
                <w:bCs/>
              </w:rPr>
            </w:pPr>
            <w:r>
              <w:rPr>
                <w:b/>
                <w:bCs/>
              </w:rPr>
              <w:t>Ibrutinib + OAC</w:t>
            </w:r>
          </w:p>
        </w:tc>
        <w:tc>
          <w:tcPr>
            <w:tcW w:w="3117" w:type="dxa"/>
            <w:shd w:val="clear" w:color="auto" w:fill="D9D9D9" w:themeFill="background1" w:themeFillShade="D9"/>
            <w:vAlign w:val="center"/>
          </w:tcPr>
          <w:p w14:paraId="6D284703" w14:textId="77777777" w:rsidR="004D1A15" w:rsidRDefault="004D1A15" w:rsidP="0065057A">
            <w:pPr>
              <w:jc w:val="center"/>
              <w:rPr>
                <w:b/>
                <w:bCs/>
              </w:rPr>
            </w:pPr>
            <w:proofErr w:type="spellStart"/>
            <w:r>
              <w:rPr>
                <w:b/>
                <w:bCs/>
              </w:rPr>
              <w:t>Bendamustine</w:t>
            </w:r>
            <w:proofErr w:type="spellEnd"/>
            <w:r>
              <w:rPr>
                <w:b/>
                <w:bCs/>
              </w:rPr>
              <w:t>-Rituximab + OAC</w:t>
            </w:r>
          </w:p>
        </w:tc>
      </w:tr>
      <w:tr w:rsidR="004D1A15" w14:paraId="2558B214" w14:textId="77777777" w:rsidTr="00174501">
        <w:tc>
          <w:tcPr>
            <w:tcW w:w="3116" w:type="dxa"/>
            <w:shd w:val="clear" w:color="auto" w:fill="D9D9D9" w:themeFill="background1" w:themeFillShade="D9"/>
            <w:tcMar>
              <w:left w:w="29" w:type="dxa"/>
              <w:right w:w="115" w:type="dxa"/>
            </w:tcMar>
            <w:vAlign w:val="center"/>
          </w:tcPr>
          <w:p w14:paraId="569951A8" w14:textId="77777777" w:rsidR="004D1A15" w:rsidRDefault="004D1A15" w:rsidP="0065057A">
            <w:pPr>
              <w:rPr>
                <w:b/>
                <w:bCs/>
              </w:rPr>
            </w:pPr>
            <w:r>
              <w:rPr>
                <w:b/>
                <w:bCs/>
              </w:rPr>
              <w:t>Other</w:t>
            </w:r>
          </w:p>
        </w:tc>
        <w:tc>
          <w:tcPr>
            <w:tcW w:w="3117" w:type="dxa"/>
            <w:shd w:val="clear" w:color="auto" w:fill="D9D9D9" w:themeFill="background1" w:themeFillShade="D9"/>
            <w:vAlign w:val="center"/>
          </w:tcPr>
          <w:p w14:paraId="52DE7D63" w14:textId="77777777" w:rsidR="004D1A15" w:rsidRDefault="004D1A15" w:rsidP="0065057A">
            <w:pPr>
              <w:jc w:val="center"/>
              <w:rPr>
                <w:b/>
                <w:bCs/>
              </w:rPr>
            </w:pPr>
          </w:p>
        </w:tc>
        <w:tc>
          <w:tcPr>
            <w:tcW w:w="3117" w:type="dxa"/>
            <w:shd w:val="clear" w:color="auto" w:fill="D9D9D9" w:themeFill="background1" w:themeFillShade="D9"/>
            <w:vAlign w:val="center"/>
          </w:tcPr>
          <w:p w14:paraId="3C7D1342" w14:textId="77777777" w:rsidR="004D1A15" w:rsidRDefault="004D1A15" w:rsidP="0065057A">
            <w:pPr>
              <w:jc w:val="center"/>
              <w:rPr>
                <w:b/>
                <w:bCs/>
              </w:rPr>
            </w:pPr>
          </w:p>
        </w:tc>
      </w:tr>
      <w:tr w:rsidR="004D1A15" w14:paraId="77D7DCA3" w14:textId="77777777" w:rsidTr="00174501">
        <w:tc>
          <w:tcPr>
            <w:tcW w:w="3116" w:type="dxa"/>
            <w:tcMar>
              <w:left w:w="29" w:type="dxa"/>
              <w:right w:w="115" w:type="dxa"/>
            </w:tcMar>
            <w:vAlign w:val="center"/>
          </w:tcPr>
          <w:p w14:paraId="56B480B5" w14:textId="77777777" w:rsidR="004D1A15" w:rsidRPr="00E45051" w:rsidRDefault="004D1A15" w:rsidP="0065057A">
            <w:r w:rsidRPr="00E45051">
              <w:t>Epistaxis</w:t>
            </w:r>
          </w:p>
        </w:tc>
        <w:tc>
          <w:tcPr>
            <w:tcW w:w="3117" w:type="dxa"/>
            <w:vAlign w:val="center"/>
          </w:tcPr>
          <w:p w14:paraId="65BA789E" w14:textId="77777777" w:rsidR="004D1A15" w:rsidRPr="002D4C6A" w:rsidRDefault="004D1A15" w:rsidP="0065057A">
            <w:pPr>
              <w:jc w:val="center"/>
            </w:pPr>
            <w:r w:rsidRPr="002D4C6A">
              <w:t>10</w:t>
            </w:r>
            <w:r>
              <w:t xml:space="preserve"> (45.5)</w:t>
            </w:r>
          </w:p>
        </w:tc>
        <w:tc>
          <w:tcPr>
            <w:tcW w:w="3117" w:type="dxa"/>
            <w:vAlign w:val="center"/>
          </w:tcPr>
          <w:p w14:paraId="3DB22F93" w14:textId="77777777" w:rsidR="004D1A15" w:rsidRPr="002D4C6A" w:rsidRDefault="004D1A15" w:rsidP="0065057A">
            <w:pPr>
              <w:jc w:val="center"/>
            </w:pPr>
            <w:r w:rsidRPr="002D4C6A">
              <w:t>0</w:t>
            </w:r>
            <w:r>
              <w:t xml:space="preserve"> (0.0)</w:t>
            </w:r>
          </w:p>
        </w:tc>
      </w:tr>
      <w:tr w:rsidR="004D1A15" w14:paraId="18050FFA" w14:textId="77777777" w:rsidTr="00174501">
        <w:tc>
          <w:tcPr>
            <w:tcW w:w="3116" w:type="dxa"/>
            <w:tcMar>
              <w:left w:w="29" w:type="dxa"/>
              <w:right w:w="115" w:type="dxa"/>
            </w:tcMar>
            <w:vAlign w:val="center"/>
          </w:tcPr>
          <w:p w14:paraId="2F3848EF" w14:textId="77777777" w:rsidR="004D1A15" w:rsidRPr="00E45051" w:rsidRDefault="004D1A15" w:rsidP="0065057A">
            <w:r w:rsidRPr="00E45051">
              <w:t>Hemarthrosis</w:t>
            </w:r>
          </w:p>
        </w:tc>
        <w:tc>
          <w:tcPr>
            <w:tcW w:w="3117" w:type="dxa"/>
            <w:vAlign w:val="center"/>
          </w:tcPr>
          <w:p w14:paraId="1D52CC12" w14:textId="77777777" w:rsidR="004D1A15" w:rsidRPr="002D4C6A" w:rsidRDefault="004D1A15" w:rsidP="0065057A">
            <w:pPr>
              <w:jc w:val="center"/>
            </w:pPr>
            <w:r w:rsidRPr="002D4C6A">
              <w:t>2</w:t>
            </w:r>
            <w:r>
              <w:t xml:space="preserve"> (9.0)</w:t>
            </w:r>
          </w:p>
        </w:tc>
        <w:tc>
          <w:tcPr>
            <w:tcW w:w="3117" w:type="dxa"/>
            <w:vAlign w:val="center"/>
          </w:tcPr>
          <w:p w14:paraId="0C6BA0D0" w14:textId="77777777" w:rsidR="004D1A15" w:rsidRPr="002D4C6A" w:rsidRDefault="004D1A15" w:rsidP="0065057A">
            <w:pPr>
              <w:jc w:val="center"/>
            </w:pPr>
            <w:r w:rsidRPr="002D4C6A">
              <w:t>0</w:t>
            </w:r>
            <w:r>
              <w:t xml:space="preserve"> (0.0)</w:t>
            </w:r>
          </w:p>
        </w:tc>
      </w:tr>
      <w:tr w:rsidR="004D1A15" w14:paraId="6F43AD41" w14:textId="77777777" w:rsidTr="00174501">
        <w:tc>
          <w:tcPr>
            <w:tcW w:w="3116" w:type="dxa"/>
            <w:tcMar>
              <w:left w:w="29" w:type="dxa"/>
              <w:right w:w="115" w:type="dxa"/>
            </w:tcMar>
            <w:vAlign w:val="center"/>
          </w:tcPr>
          <w:p w14:paraId="15429714" w14:textId="77777777" w:rsidR="004D1A15" w:rsidRPr="00E45051" w:rsidRDefault="004D1A15" w:rsidP="0065057A">
            <w:r w:rsidRPr="00E45051">
              <w:t>Hemoptysis</w:t>
            </w:r>
          </w:p>
        </w:tc>
        <w:tc>
          <w:tcPr>
            <w:tcW w:w="3117" w:type="dxa"/>
            <w:vAlign w:val="center"/>
          </w:tcPr>
          <w:p w14:paraId="36AAA904" w14:textId="77777777" w:rsidR="004D1A15" w:rsidRPr="002D4C6A" w:rsidRDefault="004D1A15" w:rsidP="0065057A">
            <w:pPr>
              <w:jc w:val="center"/>
            </w:pPr>
            <w:r w:rsidRPr="002D4C6A">
              <w:t>10</w:t>
            </w:r>
            <w:r>
              <w:t xml:space="preserve"> (45.5)</w:t>
            </w:r>
          </w:p>
        </w:tc>
        <w:tc>
          <w:tcPr>
            <w:tcW w:w="3117" w:type="dxa"/>
            <w:vAlign w:val="center"/>
          </w:tcPr>
          <w:p w14:paraId="4C22D49F" w14:textId="77777777" w:rsidR="004D1A15" w:rsidRPr="002D4C6A" w:rsidRDefault="004D1A15" w:rsidP="0065057A">
            <w:pPr>
              <w:jc w:val="center"/>
            </w:pPr>
            <w:r w:rsidRPr="002D4C6A">
              <w:t>0</w:t>
            </w:r>
            <w:r>
              <w:t xml:space="preserve"> (0.0)</w:t>
            </w:r>
          </w:p>
        </w:tc>
      </w:tr>
      <w:tr w:rsidR="004D1A15" w14:paraId="22DC7806" w14:textId="77777777" w:rsidTr="00174501">
        <w:tc>
          <w:tcPr>
            <w:tcW w:w="3116" w:type="dxa"/>
            <w:tcMar>
              <w:left w:w="29" w:type="dxa"/>
              <w:right w:w="115" w:type="dxa"/>
            </w:tcMar>
            <w:vAlign w:val="center"/>
          </w:tcPr>
          <w:p w14:paraId="125A7A1F" w14:textId="77777777" w:rsidR="004D1A15" w:rsidRPr="00E45051" w:rsidRDefault="004D1A15" w:rsidP="0065057A">
            <w:r>
              <w:t>Total</w:t>
            </w:r>
          </w:p>
        </w:tc>
        <w:tc>
          <w:tcPr>
            <w:tcW w:w="3117" w:type="dxa"/>
            <w:vAlign w:val="center"/>
          </w:tcPr>
          <w:p w14:paraId="340BB321" w14:textId="77777777" w:rsidR="004D1A15" w:rsidRPr="002D4C6A" w:rsidRDefault="004D1A15" w:rsidP="0065057A">
            <w:pPr>
              <w:jc w:val="center"/>
            </w:pPr>
            <w:r w:rsidRPr="002D4C6A">
              <w:t>22</w:t>
            </w:r>
            <w:r>
              <w:t xml:space="preserve"> (100.0)</w:t>
            </w:r>
          </w:p>
        </w:tc>
        <w:tc>
          <w:tcPr>
            <w:tcW w:w="3117" w:type="dxa"/>
            <w:vAlign w:val="center"/>
          </w:tcPr>
          <w:p w14:paraId="3FE3D7D9" w14:textId="77777777" w:rsidR="004D1A15" w:rsidRPr="002D4C6A" w:rsidRDefault="004D1A15" w:rsidP="0065057A">
            <w:pPr>
              <w:jc w:val="center"/>
            </w:pPr>
            <w:r w:rsidRPr="002D4C6A">
              <w:t>0</w:t>
            </w:r>
            <w:r>
              <w:t xml:space="preserve"> (0.0)</w:t>
            </w:r>
          </w:p>
        </w:tc>
      </w:tr>
      <w:tr w:rsidR="004D1A15" w14:paraId="64F835DF" w14:textId="77777777" w:rsidTr="00174501">
        <w:tc>
          <w:tcPr>
            <w:tcW w:w="3116" w:type="dxa"/>
            <w:shd w:val="clear" w:color="auto" w:fill="D9D9D9" w:themeFill="background1" w:themeFillShade="D9"/>
            <w:tcMar>
              <w:left w:w="29" w:type="dxa"/>
              <w:right w:w="115" w:type="dxa"/>
            </w:tcMar>
            <w:vAlign w:val="center"/>
          </w:tcPr>
          <w:p w14:paraId="7EF54FFF" w14:textId="77777777" w:rsidR="004D1A15" w:rsidRDefault="004D1A15" w:rsidP="0065057A">
            <w:pPr>
              <w:rPr>
                <w:b/>
                <w:bCs/>
              </w:rPr>
            </w:pPr>
            <w:r>
              <w:rPr>
                <w:b/>
                <w:bCs/>
              </w:rPr>
              <w:t>Unspecified</w:t>
            </w:r>
          </w:p>
        </w:tc>
        <w:tc>
          <w:tcPr>
            <w:tcW w:w="3117" w:type="dxa"/>
            <w:shd w:val="clear" w:color="auto" w:fill="D9D9D9" w:themeFill="background1" w:themeFillShade="D9"/>
            <w:vAlign w:val="center"/>
          </w:tcPr>
          <w:p w14:paraId="240AF754" w14:textId="77777777" w:rsidR="004D1A15" w:rsidRPr="002D4C6A" w:rsidRDefault="004D1A15" w:rsidP="0065057A">
            <w:pPr>
              <w:jc w:val="center"/>
            </w:pPr>
          </w:p>
        </w:tc>
        <w:tc>
          <w:tcPr>
            <w:tcW w:w="3117" w:type="dxa"/>
            <w:shd w:val="clear" w:color="auto" w:fill="D9D9D9" w:themeFill="background1" w:themeFillShade="D9"/>
            <w:vAlign w:val="center"/>
          </w:tcPr>
          <w:p w14:paraId="53BF1793" w14:textId="77777777" w:rsidR="004D1A15" w:rsidRPr="002D4C6A" w:rsidRDefault="004D1A15" w:rsidP="0065057A">
            <w:pPr>
              <w:jc w:val="center"/>
            </w:pPr>
          </w:p>
        </w:tc>
      </w:tr>
      <w:tr w:rsidR="004D1A15" w14:paraId="3292ED07" w14:textId="77777777" w:rsidTr="00174501">
        <w:tc>
          <w:tcPr>
            <w:tcW w:w="3116" w:type="dxa"/>
            <w:tcMar>
              <w:left w:w="29" w:type="dxa"/>
              <w:right w:w="115" w:type="dxa"/>
            </w:tcMar>
            <w:vAlign w:val="center"/>
          </w:tcPr>
          <w:p w14:paraId="21379331" w14:textId="77777777" w:rsidR="004D1A15" w:rsidRPr="00E45051" w:rsidRDefault="004D1A15" w:rsidP="0065057A">
            <w:r w:rsidRPr="00E45051">
              <w:t>Acute posthemorrhagic anemia</w:t>
            </w:r>
          </w:p>
        </w:tc>
        <w:tc>
          <w:tcPr>
            <w:tcW w:w="3117" w:type="dxa"/>
            <w:vAlign w:val="center"/>
          </w:tcPr>
          <w:p w14:paraId="6C1676D8" w14:textId="77777777" w:rsidR="004D1A15" w:rsidRPr="002D4C6A" w:rsidRDefault="004D1A15" w:rsidP="0065057A">
            <w:pPr>
              <w:jc w:val="center"/>
            </w:pPr>
            <w:r w:rsidRPr="002D4C6A">
              <w:t>6</w:t>
            </w:r>
            <w:r>
              <w:t xml:space="preserve"> (42.9)</w:t>
            </w:r>
          </w:p>
        </w:tc>
        <w:tc>
          <w:tcPr>
            <w:tcW w:w="3117" w:type="dxa"/>
            <w:vAlign w:val="center"/>
          </w:tcPr>
          <w:p w14:paraId="34DA3794" w14:textId="77777777" w:rsidR="004D1A15" w:rsidRPr="002D4C6A" w:rsidRDefault="004D1A15" w:rsidP="0065057A">
            <w:pPr>
              <w:jc w:val="center"/>
            </w:pPr>
            <w:r w:rsidRPr="002D4C6A">
              <w:t>2</w:t>
            </w:r>
            <w:r>
              <w:t xml:space="preserve"> (100.0)</w:t>
            </w:r>
          </w:p>
        </w:tc>
      </w:tr>
      <w:tr w:rsidR="004D1A15" w14:paraId="445381F8" w14:textId="77777777" w:rsidTr="00174501">
        <w:tc>
          <w:tcPr>
            <w:tcW w:w="3116" w:type="dxa"/>
            <w:tcMar>
              <w:left w:w="29" w:type="dxa"/>
              <w:right w:w="115" w:type="dxa"/>
            </w:tcMar>
            <w:vAlign w:val="center"/>
          </w:tcPr>
          <w:p w14:paraId="499BEB3A" w14:textId="77777777" w:rsidR="004D1A15" w:rsidRPr="00E45051" w:rsidRDefault="004D1A15" w:rsidP="0065057A">
            <w:r w:rsidRPr="00E45051">
              <w:t>Hemorrhage, not elsewhere classified</w:t>
            </w:r>
          </w:p>
        </w:tc>
        <w:tc>
          <w:tcPr>
            <w:tcW w:w="3117" w:type="dxa"/>
            <w:vAlign w:val="center"/>
          </w:tcPr>
          <w:p w14:paraId="7D9BE70F" w14:textId="77777777" w:rsidR="004D1A15" w:rsidRPr="002D4C6A" w:rsidRDefault="004D1A15" w:rsidP="0065057A">
            <w:pPr>
              <w:jc w:val="center"/>
            </w:pPr>
            <w:r w:rsidRPr="002D4C6A">
              <w:t>8</w:t>
            </w:r>
            <w:r>
              <w:t xml:space="preserve"> (57.1)</w:t>
            </w:r>
          </w:p>
        </w:tc>
        <w:tc>
          <w:tcPr>
            <w:tcW w:w="3117" w:type="dxa"/>
            <w:vAlign w:val="center"/>
          </w:tcPr>
          <w:p w14:paraId="60FC263B" w14:textId="77777777" w:rsidR="004D1A15" w:rsidRPr="002D4C6A" w:rsidRDefault="004D1A15" w:rsidP="0065057A">
            <w:pPr>
              <w:jc w:val="center"/>
            </w:pPr>
            <w:r w:rsidRPr="002D4C6A">
              <w:t>0</w:t>
            </w:r>
            <w:r>
              <w:t xml:space="preserve"> (0.0)</w:t>
            </w:r>
          </w:p>
        </w:tc>
      </w:tr>
      <w:tr w:rsidR="004D1A15" w14:paraId="0B12AA22" w14:textId="77777777" w:rsidTr="00174501">
        <w:tc>
          <w:tcPr>
            <w:tcW w:w="3116" w:type="dxa"/>
            <w:tcMar>
              <w:left w:w="29" w:type="dxa"/>
              <w:right w:w="115" w:type="dxa"/>
            </w:tcMar>
            <w:vAlign w:val="center"/>
          </w:tcPr>
          <w:p w14:paraId="52ADED72" w14:textId="77777777" w:rsidR="004D1A15" w:rsidRPr="00E45051" w:rsidRDefault="004D1A15" w:rsidP="0065057A">
            <w:r>
              <w:t>Total</w:t>
            </w:r>
          </w:p>
        </w:tc>
        <w:tc>
          <w:tcPr>
            <w:tcW w:w="3117" w:type="dxa"/>
            <w:vAlign w:val="center"/>
          </w:tcPr>
          <w:p w14:paraId="757B0CE5" w14:textId="77777777" w:rsidR="004D1A15" w:rsidRPr="002D4C6A" w:rsidRDefault="004D1A15" w:rsidP="0065057A">
            <w:pPr>
              <w:jc w:val="center"/>
            </w:pPr>
            <w:r w:rsidRPr="002D4C6A">
              <w:t>14</w:t>
            </w:r>
            <w:r>
              <w:t xml:space="preserve"> (100.0)</w:t>
            </w:r>
          </w:p>
        </w:tc>
        <w:tc>
          <w:tcPr>
            <w:tcW w:w="3117" w:type="dxa"/>
            <w:vAlign w:val="center"/>
          </w:tcPr>
          <w:p w14:paraId="0CAAAF45" w14:textId="77777777" w:rsidR="004D1A15" w:rsidRPr="002D4C6A" w:rsidRDefault="004D1A15" w:rsidP="0065057A">
            <w:pPr>
              <w:jc w:val="center"/>
            </w:pPr>
            <w:r w:rsidRPr="002D4C6A">
              <w:t>2</w:t>
            </w:r>
            <w:r>
              <w:t xml:space="preserve"> (100.0)</w:t>
            </w:r>
          </w:p>
        </w:tc>
      </w:tr>
      <w:tr w:rsidR="004D1A15" w14:paraId="0057302C" w14:textId="77777777" w:rsidTr="00DC1F8D">
        <w:tc>
          <w:tcPr>
            <w:tcW w:w="9350" w:type="dxa"/>
            <w:gridSpan w:val="3"/>
            <w:tcMar>
              <w:left w:w="29" w:type="dxa"/>
              <w:right w:w="115" w:type="dxa"/>
            </w:tcMar>
          </w:tcPr>
          <w:p w14:paraId="66159970" w14:textId="77777777" w:rsidR="004D1A15" w:rsidRDefault="004D1A15" w:rsidP="002D4C6A">
            <w:pPr>
              <w:rPr>
                <w:rFonts w:eastAsia="Times New Roman"/>
                <w:color w:val="000000"/>
                <w:sz w:val="20"/>
                <w:szCs w:val="20"/>
              </w:rPr>
            </w:pPr>
            <w:r>
              <w:rPr>
                <w:rFonts w:eastAsia="Times New Roman"/>
                <w:color w:val="000000"/>
                <w:sz w:val="20"/>
                <w:szCs w:val="20"/>
              </w:rPr>
              <w:t>CM = clinical modification; ICD = International Classification of Diseases; OAC = oral anticoagulant</w:t>
            </w:r>
          </w:p>
          <w:p w14:paraId="65AC5BA4" w14:textId="77777777" w:rsidR="004D1A15" w:rsidRDefault="004D1A15" w:rsidP="002D4C6A">
            <w:pPr>
              <w:rPr>
                <w:b/>
                <w:bCs/>
              </w:rPr>
            </w:pPr>
          </w:p>
          <w:p w14:paraId="20448962" w14:textId="77777777" w:rsidR="004D1A15" w:rsidRPr="00F041E6" w:rsidRDefault="004D1A15" w:rsidP="00F041E6">
            <w:pPr>
              <w:rPr>
                <w:sz w:val="20"/>
                <w:szCs w:val="20"/>
              </w:rPr>
            </w:pPr>
            <w:r w:rsidRPr="00F041E6">
              <w:rPr>
                <w:sz w:val="20"/>
                <w:szCs w:val="20"/>
              </w:rPr>
              <w:t xml:space="preserve">* Bleed type </w:t>
            </w:r>
            <w:r>
              <w:rPr>
                <w:sz w:val="20"/>
                <w:szCs w:val="20"/>
              </w:rPr>
              <w:t>based on</w:t>
            </w:r>
            <w:r w:rsidRPr="00F041E6">
              <w:rPr>
                <w:sz w:val="20"/>
                <w:szCs w:val="20"/>
              </w:rPr>
              <w:t xml:space="preserve"> ICD-10-CM diagnosis code description</w:t>
            </w:r>
            <w:r>
              <w:rPr>
                <w:sz w:val="20"/>
                <w:szCs w:val="20"/>
              </w:rPr>
              <w:t>s</w:t>
            </w:r>
          </w:p>
        </w:tc>
      </w:tr>
    </w:tbl>
    <w:p w14:paraId="2BDFCAF9" w14:textId="77777777" w:rsidR="004D1A15" w:rsidRDefault="004D1A15">
      <w:pPr>
        <w:rPr>
          <w:rFonts w:eastAsiaTheme="majorEastAsia" w:cs="Times New Roman"/>
          <w:b/>
          <w:bCs/>
          <w:szCs w:val="24"/>
        </w:rPr>
      </w:pPr>
      <w:r>
        <w:rPr>
          <w:rFonts w:cs="Times New Roman"/>
          <w:b/>
          <w:bCs/>
          <w:szCs w:val="24"/>
        </w:rPr>
        <w:br w:type="page"/>
      </w:r>
    </w:p>
    <w:p w14:paraId="437A74C5" w14:textId="77777777" w:rsidR="004D1A15" w:rsidRPr="00E75620" w:rsidRDefault="004D1A15" w:rsidP="00E75620">
      <w:pPr>
        <w:pStyle w:val="Heading1"/>
        <w:rPr>
          <w:rFonts w:ascii="Times New Roman" w:hAnsi="Times New Roman" w:cs="Times New Roman"/>
          <w:b/>
          <w:bCs/>
          <w:color w:val="auto"/>
          <w:sz w:val="24"/>
          <w:szCs w:val="24"/>
        </w:rPr>
      </w:pPr>
      <w:r w:rsidRPr="00E75620">
        <w:rPr>
          <w:rFonts w:ascii="Times New Roman" w:hAnsi="Times New Roman" w:cs="Times New Roman"/>
          <w:b/>
          <w:bCs/>
          <w:color w:val="auto"/>
          <w:sz w:val="24"/>
          <w:szCs w:val="24"/>
        </w:rPr>
        <w:lastRenderedPageBreak/>
        <w:t xml:space="preserve">Supplementary Table </w:t>
      </w:r>
      <w:r>
        <w:rPr>
          <w:rFonts w:ascii="Times New Roman" w:hAnsi="Times New Roman" w:cs="Times New Roman"/>
          <w:b/>
          <w:bCs/>
          <w:color w:val="auto"/>
          <w:sz w:val="24"/>
          <w:szCs w:val="24"/>
        </w:rPr>
        <w:t>12</w:t>
      </w:r>
      <w:r w:rsidRPr="00E75620">
        <w:rPr>
          <w:rFonts w:ascii="Times New Roman" w:hAnsi="Times New Roman" w:cs="Times New Roman"/>
          <w:b/>
          <w:bCs/>
          <w:color w:val="auto"/>
          <w:sz w:val="24"/>
          <w:szCs w:val="24"/>
        </w:rPr>
        <w:t>. Results from sensitivity analyses.</w:t>
      </w:r>
    </w:p>
    <w:tbl>
      <w:tblPr>
        <w:tblStyle w:val="TableGrid"/>
        <w:tblW w:w="0" w:type="auto"/>
        <w:tblLook w:val="0420" w:firstRow="1" w:lastRow="0" w:firstColumn="0" w:lastColumn="0" w:noHBand="0" w:noVBand="1"/>
      </w:tblPr>
      <w:tblGrid>
        <w:gridCol w:w="4490"/>
        <w:gridCol w:w="2481"/>
        <w:gridCol w:w="2379"/>
      </w:tblGrid>
      <w:tr w:rsidR="004D1A15" w:rsidRPr="002A0528" w14:paraId="2D4769D0" w14:textId="77777777" w:rsidTr="00344392">
        <w:trPr>
          <w:trHeight w:val="325"/>
        </w:trPr>
        <w:tc>
          <w:tcPr>
            <w:tcW w:w="0" w:type="auto"/>
            <w:shd w:val="clear" w:color="auto" w:fill="D9D9D9" w:themeFill="background1" w:themeFillShade="D9"/>
            <w:vAlign w:val="center"/>
            <w:hideMark/>
          </w:tcPr>
          <w:p w14:paraId="4BDE8846" w14:textId="77777777" w:rsidR="004D1A15" w:rsidRPr="002A0528" w:rsidRDefault="004D1A15" w:rsidP="008332DF">
            <w:pPr>
              <w:rPr>
                <w:rFonts w:eastAsia="Times New Roman"/>
              </w:rPr>
            </w:pPr>
            <w:r>
              <w:br w:type="page"/>
            </w:r>
          </w:p>
        </w:tc>
        <w:tc>
          <w:tcPr>
            <w:tcW w:w="0" w:type="auto"/>
            <w:shd w:val="clear" w:color="auto" w:fill="D9D9D9" w:themeFill="background1" w:themeFillShade="D9"/>
            <w:vAlign w:val="center"/>
          </w:tcPr>
          <w:p w14:paraId="331ED60C" w14:textId="77777777" w:rsidR="004D1A15" w:rsidRPr="002A0528" w:rsidRDefault="004D1A15" w:rsidP="008332DF">
            <w:pPr>
              <w:jc w:val="center"/>
              <w:rPr>
                <w:rFonts w:eastAsia="Times New Roman"/>
                <w:b/>
                <w:bCs/>
                <w:kern w:val="24"/>
              </w:rPr>
            </w:pPr>
            <w:r>
              <w:rPr>
                <w:rFonts w:eastAsia="Times New Roman"/>
                <w:b/>
                <w:bCs/>
                <w:kern w:val="24"/>
              </w:rPr>
              <w:t>Number of Provider-diagnosed Bleeding Events</w:t>
            </w:r>
          </w:p>
        </w:tc>
        <w:tc>
          <w:tcPr>
            <w:tcW w:w="0" w:type="auto"/>
            <w:shd w:val="clear" w:color="auto" w:fill="D9D9D9" w:themeFill="background1" w:themeFillShade="D9"/>
            <w:vAlign w:val="center"/>
            <w:hideMark/>
          </w:tcPr>
          <w:p w14:paraId="4106646C" w14:textId="77777777" w:rsidR="004D1A15" w:rsidRPr="002A0528" w:rsidRDefault="004D1A15" w:rsidP="008332DF">
            <w:pPr>
              <w:jc w:val="center"/>
              <w:rPr>
                <w:rFonts w:eastAsia="Times New Roman"/>
              </w:rPr>
            </w:pPr>
            <w:r w:rsidRPr="002A0528">
              <w:rPr>
                <w:rFonts w:eastAsia="Times New Roman"/>
                <w:b/>
                <w:bCs/>
                <w:kern w:val="24"/>
              </w:rPr>
              <w:t>H</w:t>
            </w:r>
            <w:r>
              <w:rPr>
                <w:rFonts w:eastAsia="Times New Roman"/>
                <w:b/>
                <w:bCs/>
                <w:kern w:val="24"/>
              </w:rPr>
              <w:t xml:space="preserve">azard </w:t>
            </w:r>
            <w:r w:rsidRPr="002A0528">
              <w:rPr>
                <w:rFonts w:eastAsia="Times New Roman"/>
                <w:b/>
                <w:bCs/>
                <w:kern w:val="24"/>
              </w:rPr>
              <w:t>R</w:t>
            </w:r>
            <w:r>
              <w:rPr>
                <w:rFonts w:eastAsia="Times New Roman"/>
                <w:b/>
                <w:bCs/>
                <w:kern w:val="24"/>
              </w:rPr>
              <w:t>atio</w:t>
            </w:r>
            <w:r w:rsidRPr="002A0528">
              <w:rPr>
                <w:rFonts w:eastAsia="Times New Roman"/>
                <w:b/>
                <w:bCs/>
                <w:kern w:val="24"/>
              </w:rPr>
              <w:t xml:space="preserve"> (95% C</w:t>
            </w:r>
            <w:r>
              <w:rPr>
                <w:rFonts w:eastAsia="Times New Roman"/>
                <w:b/>
                <w:bCs/>
                <w:kern w:val="24"/>
              </w:rPr>
              <w:t>onfidence Interval</w:t>
            </w:r>
            <w:r w:rsidRPr="002A0528">
              <w:rPr>
                <w:rFonts w:eastAsia="Times New Roman"/>
                <w:b/>
                <w:bCs/>
                <w:kern w:val="24"/>
              </w:rPr>
              <w:t>)</w:t>
            </w:r>
            <w:r w:rsidRPr="005F7AB1">
              <w:rPr>
                <w:rFonts w:eastAsia="Times New Roman"/>
                <w:b/>
                <w:bCs/>
                <w:kern w:val="24"/>
                <w:vertAlign w:val="superscript"/>
              </w:rPr>
              <w:t>*</w:t>
            </w:r>
          </w:p>
        </w:tc>
      </w:tr>
      <w:tr w:rsidR="004D1A15" w:rsidRPr="002A0528" w14:paraId="28B8F4F1" w14:textId="77777777" w:rsidTr="00DC1F8D">
        <w:trPr>
          <w:trHeight w:val="805"/>
        </w:trPr>
        <w:tc>
          <w:tcPr>
            <w:tcW w:w="0" w:type="auto"/>
            <w:tcMar>
              <w:left w:w="29" w:type="dxa"/>
              <w:right w:w="115" w:type="dxa"/>
            </w:tcMar>
            <w:vAlign w:val="center"/>
            <w:hideMark/>
          </w:tcPr>
          <w:p w14:paraId="27B31D97" w14:textId="77777777" w:rsidR="004D1A15" w:rsidRPr="002A0528" w:rsidRDefault="004D1A15" w:rsidP="008332DF">
            <w:pPr>
              <w:rPr>
                <w:rFonts w:eastAsia="Times New Roman"/>
              </w:rPr>
            </w:pPr>
            <w:r>
              <w:t xml:space="preserve">Depleting days’ supply of ibrutinib </w:t>
            </w:r>
            <w:proofErr w:type="spellStart"/>
            <w:r>
              <w:t>dispensings</w:t>
            </w:r>
            <w:proofErr w:type="spellEnd"/>
            <w:r>
              <w:t xml:space="preserve"> during hospitalizations</w:t>
            </w:r>
          </w:p>
        </w:tc>
        <w:tc>
          <w:tcPr>
            <w:tcW w:w="0" w:type="auto"/>
            <w:vAlign w:val="center"/>
          </w:tcPr>
          <w:p w14:paraId="1D82F935" w14:textId="77777777" w:rsidR="004D1A15" w:rsidRPr="002A0528" w:rsidRDefault="004D1A15" w:rsidP="008332DF">
            <w:pPr>
              <w:jc w:val="center"/>
              <w:rPr>
                <w:rFonts w:eastAsia="Times New Roman"/>
                <w:color w:val="000000" w:themeColor="dark1"/>
                <w:kern w:val="24"/>
              </w:rPr>
            </w:pPr>
            <w:r>
              <w:rPr>
                <w:rFonts w:eastAsia="Times New Roman"/>
                <w:color w:val="000000" w:themeColor="dark1"/>
                <w:kern w:val="24"/>
              </w:rPr>
              <w:t>99</w:t>
            </w:r>
          </w:p>
        </w:tc>
        <w:tc>
          <w:tcPr>
            <w:tcW w:w="0" w:type="auto"/>
            <w:vAlign w:val="center"/>
            <w:hideMark/>
          </w:tcPr>
          <w:p w14:paraId="449F2771" w14:textId="77777777" w:rsidR="004D1A15" w:rsidRPr="002A0528" w:rsidRDefault="004D1A15" w:rsidP="008332DF">
            <w:pPr>
              <w:jc w:val="center"/>
              <w:rPr>
                <w:rFonts w:eastAsia="Times New Roman"/>
              </w:rPr>
            </w:pPr>
            <w:r>
              <w:rPr>
                <w:rFonts w:eastAsia="Times New Roman"/>
              </w:rPr>
              <w:t>2.75 (1.28 – 5.94)</w:t>
            </w:r>
          </w:p>
        </w:tc>
      </w:tr>
      <w:tr w:rsidR="004D1A15" w:rsidRPr="002A0528" w14:paraId="74BFEF00" w14:textId="77777777" w:rsidTr="00DC1F8D">
        <w:trPr>
          <w:trHeight w:val="621"/>
        </w:trPr>
        <w:tc>
          <w:tcPr>
            <w:tcW w:w="0" w:type="auto"/>
            <w:tcMar>
              <w:left w:w="29" w:type="dxa"/>
              <w:right w:w="115" w:type="dxa"/>
            </w:tcMar>
            <w:vAlign w:val="center"/>
            <w:hideMark/>
          </w:tcPr>
          <w:p w14:paraId="5A9981B0" w14:textId="77777777" w:rsidR="004D1A15" w:rsidRPr="002A0528" w:rsidRDefault="004D1A15" w:rsidP="008332DF">
            <w:pPr>
              <w:rPr>
                <w:rFonts w:eastAsia="Times New Roman"/>
              </w:rPr>
            </w:pPr>
            <w:r>
              <w:t xml:space="preserve">Increasing permissible therapy gap of ibrutinib </w:t>
            </w:r>
            <w:proofErr w:type="spellStart"/>
            <w:r>
              <w:t>dispensings</w:t>
            </w:r>
            <w:proofErr w:type="spellEnd"/>
            <w:r>
              <w:t xml:space="preserve"> from 7 to 14 days</w:t>
            </w:r>
          </w:p>
        </w:tc>
        <w:tc>
          <w:tcPr>
            <w:tcW w:w="0" w:type="auto"/>
            <w:vAlign w:val="center"/>
          </w:tcPr>
          <w:p w14:paraId="4E11295C" w14:textId="77777777" w:rsidR="004D1A15" w:rsidRPr="002A0528" w:rsidRDefault="004D1A15" w:rsidP="008332DF">
            <w:pPr>
              <w:jc w:val="center"/>
              <w:rPr>
                <w:rFonts w:eastAsia="Times New Roman"/>
                <w:color w:val="000000" w:themeColor="dark1"/>
                <w:kern w:val="24"/>
              </w:rPr>
            </w:pPr>
            <w:r>
              <w:rPr>
                <w:rFonts w:eastAsia="Times New Roman"/>
                <w:color w:val="000000" w:themeColor="dark1"/>
                <w:kern w:val="24"/>
              </w:rPr>
              <w:t>104</w:t>
            </w:r>
          </w:p>
        </w:tc>
        <w:tc>
          <w:tcPr>
            <w:tcW w:w="0" w:type="auto"/>
            <w:vAlign w:val="center"/>
            <w:hideMark/>
          </w:tcPr>
          <w:p w14:paraId="036C81E5" w14:textId="77777777" w:rsidR="004D1A15" w:rsidRPr="002A0528" w:rsidRDefault="004D1A15" w:rsidP="008332DF">
            <w:pPr>
              <w:jc w:val="center"/>
              <w:rPr>
                <w:rFonts w:eastAsia="Times New Roman"/>
              </w:rPr>
            </w:pPr>
            <w:r w:rsidRPr="002A0528">
              <w:rPr>
                <w:rFonts w:eastAsia="Times New Roman"/>
                <w:color w:val="000000" w:themeColor="dark1"/>
                <w:kern w:val="24"/>
              </w:rPr>
              <w:t>2.63 (1.22 – 5.67)</w:t>
            </w:r>
          </w:p>
        </w:tc>
      </w:tr>
      <w:tr w:rsidR="004D1A15" w:rsidRPr="002A0528" w14:paraId="537D2EFA" w14:textId="77777777" w:rsidTr="00DC1F8D">
        <w:trPr>
          <w:trHeight w:val="989"/>
        </w:trPr>
        <w:tc>
          <w:tcPr>
            <w:tcW w:w="0" w:type="auto"/>
            <w:tcMar>
              <w:left w:w="29" w:type="dxa"/>
              <w:right w:w="115" w:type="dxa"/>
            </w:tcMar>
            <w:vAlign w:val="center"/>
            <w:hideMark/>
          </w:tcPr>
          <w:p w14:paraId="0240D7C7" w14:textId="77777777" w:rsidR="004D1A15" w:rsidRPr="002A0528" w:rsidRDefault="004D1A15" w:rsidP="008332DF">
            <w:pPr>
              <w:rPr>
                <w:rFonts w:eastAsia="Times New Roman"/>
              </w:rPr>
            </w:pPr>
            <w:r>
              <w:t xml:space="preserve">Decreasing permissible therapy gap between </w:t>
            </w:r>
            <w:proofErr w:type="spellStart"/>
            <w:r>
              <w:t>bendamustine</w:t>
            </w:r>
            <w:proofErr w:type="spellEnd"/>
            <w:r>
              <w:t xml:space="preserve"> administrations from 56 to 42 days</w:t>
            </w:r>
          </w:p>
        </w:tc>
        <w:tc>
          <w:tcPr>
            <w:tcW w:w="0" w:type="auto"/>
            <w:vAlign w:val="center"/>
          </w:tcPr>
          <w:p w14:paraId="0CA29BAD" w14:textId="77777777" w:rsidR="004D1A15" w:rsidRPr="002A0528" w:rsidRDefault="004D1A15" w:rsidP="008332DF">
            <w:pPr>
              <w:jc w:val="center"/>
              <w:rPr>
                <w:rFonts w:eastAsia="Times New Roman"/>
                <w:color w:val="000000" w:themeColor="dark1"/>
                <w:kern w:val="24"/>
              </w:rPr>
            </w:pPr>
            <w:r>
              <w:rPr>
                <w:rFonts w:eastAsia="Times New Roman"/>
                <w:color w:val="000000" w:themeColor="dark1"/>
                <w:kern w:val="24"/>
              </w:rPr>
              <w:t>97</w:t>
            </w:r>
          </w:p>
        </w:tc>
        <w:tc>
          <w:tcPr>
            <w:tcW w:w="0" w:type="auto"/>
            <w:vAlign w:val="center"/>
            <w:hideMark/>
          </w:tcPr>
          <w:p w14:paraId="553B0009" w14:textId="77777777" w:rsidR="004D1A15" w:rsidRPr="002A0528" w:rsidRDefault="004D1A15" w:rsidP="008332DF">
            <w:pPr>
              <w:jc w:val="center"/>
              <w:rPr>
                <w:rFonts w:eastAsia="Times New Roman"/>
              </w:rPr>
            </w:pPr>
            <w:r>
              <w:rPr>
                <w:rFonts w:eastAsia="Times New Roman"/>
              </w:rPr>
              <w:t>2.79 (1.26 – 6.20)</w:t>
            </w:r>
          </w:p>
        </w:tc>
      </w:tr>
      <w:tr w:rsidR="004D1A15" w:rsidRPr="002A0528" w14:paraId="7BFC4E43" w14:textId="77777777" w:rsidTr="00DC1F8D">
        <w:trPr>
          <w:trHeight w:val="989"/>
        </w:trPr>
        <w:tc>
          <w:tcPr>
            <w:tcW w:w="0" w:type="auto"/>
            <w:tcMar>
              <w:left w:w="29" w:type="dxa"/>
              <w:right w:w="115" w:type="dxa"/>
            </w:tcMar>
            <w:vAlign w:val="center"/>
            <w:hideMark/>
          </w:tcPr>
          <w:p w14:paraId="048015F3" w14:textId="77777777" w:rsidR="004D1A15" w:rsidRPr="002A0528" w:rsidRDefault="004D1A15" w:rsidP="008332DF">
            <w:pPr>
              <w:rPr>
                <w:rFonts w:eastAsia="Times New Roman"/>
              </w:rPr>
            </w:pPr>
            <w:r>
              <w:t xml:space="preserve">Increasing permissible therapy gap between OAC </w:t>
            </w:r>
            <w:proofErr w:type="spellStart"/>
            <w:r>
              <w:t>dispensings</w:t>
            </w:r>
            <w:proofErr w:type="spellEnd"/>
            <w:r>
              <w:t xml:space="preserve"> from 7 to 14 days</w:t>
            </w:r>
          </w:p>
        </w:tc>
        <w:tc>
          <w:tcPr>
            <w:tcW w:w="0" w:type="auto"/>
            <w:vAlign w:val="center"/>
          </w:tcPr>
          <w:p w14:paraId="40D6B8AF" w14:textId="77777777" w:rsidR="004D1A15" w:rsidRPr="002A0528" w:rsidRDefault="004D1A15" w:rsidP="008332DF">
            <w:pPr>
              <w:jc w:val="center"/>
              <w:rPr>
                <w:rFonts w:eastAsia="Times New Roman"/>
                <w:color w:val="000000" w:themeColor="dark1"/>
                <w:kern w:val="24"/>
              </w:rPr>
            </w:pPr>
            <w:r>
              <w:rPr>
                <w:rFonts w:eastAsia="Times New Roman"/>
                <w:color w:val="000000" w:themeColor="dark1"/>
                <w:kern w:val="24"/>
              </w:rPr>
              <w:t>107</w:t>
            </w:r>
          </w:p>
        </w:tc>
        <w:tc>
          <w:tcPr>
            <w:tcW w:w="0" w:type="auto"/>
            <w:vAlign w:val="center"/>
            <w:hideMark/>
          </w:tcPr>
          <w:p w14:paraId="0877EE44" w14:textId="77777777" w:rsidR="004D1A15" w:rsidRPr="002A0528" w:rsidRDefault="004D1A15" w:rsidP="008332DF">
            <w:pPr>
              <w:jc w:val="center"/>
              <w:rPr>
                <w:rFonts w:eastAsia="Times New Roman"/>
              </w:rPr>
            </w:pPr>
            <w:r w:rsidRPr="002A0528">
              <w:rPr>
                <w:rFonts w:eastAsia="Times New Roman"/>
                <w:color w:val="000000" w:themeColor="dark1"/>
                <w:kern w:val="24"/>
              </w:rPr>
              <w:t>2.82 (1.39 – 5.69)</w:t>
            </w:r>
          </w:p>
        </w:tc>
      </w:tr>
      <w:tr w:rsidR="004D1A15" w:rsidRPr="002A0528" w14:paraId="5EC31679" w14:textId="77777777" w:rsidTr="00DC1F8D">
        <w:trPr>
          <w:trHeight w:val="989"/>
        </w:trPr>
        <w:tc>
          <w:tcPr>
            <w:tcW w:w="0" w:type="auto"/>
            <w:tcMar>
              <w:left w:w="29" w:type="dxa"/>
              <w:right w:w="115" w:type="dxa"/>
            </w:tcMar>
            <w:vAlign w:val="center"/>
          </w:tcPr>
          <w:p w14:paraId="19535CF3" w14:textId="77777777" w:rsidR="004D1A15" w:rsidRDefault="004D1A15" w:rsidP="005F7AB1">
            <w:r>
              <w:t>Adjusting for cancer type (CLL, MCL, or MZL) in the Cox proportional hazards regression outcome model</w:t>
            </w:r>
          </w:p>
        </w:tc>
        <w:tc>
          <w:tcPr>
            <w:tcW w:w="0" w:type="auto"/>
            <w:vAlign w:val="center"/>
          </w:tcPr>
          <w:p w14:paraId="2E218C74" w14:textId="77777777" w:rsidR="004D1A15" w:rsidRDefault="004D1A15" w:rsidP="005F7AB1">
            <w:pPr>
              <w:jc w:val="center"/>
              <w:rPr>
                <w:rFonts w:eastAsia="Times New Roman"/>
                <w:color w:val="000000" w:themeColor="dark1"/>
                <w:kern w:val="24"/>
              </w:rPr>
            </w:pPr>
            <w:r>
              <w:rPr>
                <w:rFonts w:eastAsia="Times New Roman"/>
                <w:color w:val="000000" w:themeColor="dark1"/>
                <w:kern w:val="24"/>
              </w:rPr>
              <w:t>99</w:t>
            </w:r>
          </w:p>
        </w:tc>
        <w:tc>
          <w:tcPr>
            <w:tcW w:w="0" w:type="auto"/>
            <w:vAlign w:val="center"/>
          </w:tcPr>
          <w:p w14:paraId="5815FE21" w14:textId="77777777" w:rsidR="004D1A15" w:rsidRPr="002A0528" w:rsidRDefault="004D1A15" w:rsidP="005F7AB1">
            <w:pPr>
              <w:jc w:val="center"/>
              <w:rPr>
                <w:rFonts w:eastAsia="Times New Roman"/>
                <w:color w:val="000000" w:themeColor="dark1"/>
                <w:kern w:val="24"/>
              </w:rPr>
            </w:pPr>
            <w:r w:rsidRPr="002A0528">
              <w:rPr>
                <w:rFonts w:eastAsia="Times New Roman"/>
                <w:color w:val="000000" w:themeColor="dark1"/>
                <w:kern w:val="24"/>
              </w:rPr>
              <w:t>2.9</w:t>
            </w:r>
            <w:r>
              <w:rPr>
                <w:rFonts w:eastAsia="Times New Roman"/>
                <w:color w:val="000000" w:themeColor="dark1"/>
                <w:kern w:val="24"/>
              </w:rPr>
              <w:t>2</w:t>
            </w:r>
            <w:r w:rsidRPr="002A0528">
              <w:rPr>
                <w:rFonts w:eastAsia="Times New Roman"/>
                <w:color w:val="000000" w:themeColor="dark1"/>
                <w:kern w:val="24"/>
              </w:rPr>
              <w:t xml:space="preserve"> (1.3</w:t>
            </w:r>
            <w:r>
              <w:rPr>
                <w:rFonts w:eastAsia="Times New Roman"/>
                <w:color w:val="000000" w:themeColor="dark1"/>
                <w:kern w:val="24"/>
              </w:rPr>
              <w:t>9</w:t>
            </w:r>
            <w:r w:rsidRPr="002A0528">
              <w:rPr>
                <w:rFonts w:eastAsia="Times New Roman"/>
                <w:color w:val="000000" w:themeColor="dark1"/>
                <w:kern w:val="24"/>
              </w:rPr>
              <w:t xml:space="preserve"> – 6.</w:t>
            </w:r>
            <w:r>
              <w:rPr>
                <w:rFonts w:eastAsia="Times New Roman"/>
                <w:color w:val="000000" w:themeColor="dark1"/>
                <w:kern w:val="24"/>
              </w:rPr>
              <w:t>15</w:t>
            </w:r>
            <w:r w:rsidRPr="002A0528">
              <w:rPr>
                <w:rFonts w:eastAsia="Times New Roman"/>
                <w:color w:val="000000" w:themeColor="dark1"/>
                <w:kern w:val="24"/>
              </w:rPr>
              <w:t>)</w:t>
            </w:r>
          </w:p>
        </w:tc>
      </w:tr>
      <w:tr w:rsidR="004D1A15" w:rsidRPr="002A0528" w14:paraId="19393187" w14:textId="77777777" w:rsidTr="00DC1F8D">
        <w:trPr>
          <w:trHeight w:val="989"/>
        </w:trPr>
        <w:tc>
          <w:tcPr>
            <w:tcW w:w="0" w:type="auto"/>
            <w:tcMar>
              <w:left w:w="29" w:type="dxa"/>
              <w:right w:w="115" w:type="dxa"/>
            </w:tcMar>
            <w:vAlign w:val="center"/>
          </w:tcPr>
          <w:p w14:paraId="7D41FBAA" w14:textId="77777777" w:rsidR="004D1A15" w:rsidRPr="002A0528" w:rsidRDefault="004D1A15" w:rsidP="005F7AB1">
            <w:pPr>
              <w:rPr>
                <w:rFonts w:eastAsia="Times New Roman"/>
                <w:color w:val="000000" w:themeColor="dark1"/>
                <w:kern w:val="24"/>
              </w:rPr>
            </w:pPr>
            <w:r>
              <w:t>Competing risk analysis with disenrollment as competing event</w:t>
            </w:r>
          </w:p>
        </w:tc>
        <w:tc>
          <w:tcPr>
            <w:tcW w:w="0" w:type="auto"/>
            <w:vAlign w:val="center"/>
          </w:tcPr>
          <w:p w14:paraId="6760B58C" w14:textId="77777777" w:rsidR="004D1A15" w:rsidRDefault="004D1A15" w:rsidP="005F7AB1">
            <w:pPr>
              <w:jc w:val="center"/>
              <w:rPr>
                <w:rFonts w:eastAsia="Times New Roman"/>
                <w:color w:val="000000" w:themeColor="dark1"/>
                <w:kern w:val="24"/>
              </w:rPr>
            </w:pPr>
            <w:r>
              <w:rPr>
                <w:rFonts w:eastAsia="Times New Roman"/>
                <w:color w:val="000000" w:themeColor="dark1"/>
                <w:kern w:val="24"/>
              </w:rPr>
              <w:t>99</w:t>
            </w:r>
          </w:p>
        </w:tc>
        <w:tc>
          <w:tcPr>
            <w:tcW w:w="0" w:type="auto"/>
            <w:vAlign w:val="center"/>
          </w:tcPr>
          <w:p w14:paraId="0421A164" w14:textId="77777777" w:rsidR="004D1A15" w:rsidRPr="002A0528" w:rsidRDefault="004D1A15" w:rsidP="005F7AB1">
            <w:pPr>
              <w:jc w:val="center"/>
              <w:rPr>
                <w:rFonts w:eastAsia="Times New Roman"/>
                <w:color w:val="000000" w:themeColor="dark1"/>
                <w:kern w:val="24"/>
              </w:rPr>
            </w:pPr>
            <w:r>
              <w:rPr>
                <w:rFonts w:eastAsia="Times New Roman"/>
                <w:color w:val="000000" w:themeColor="dark1"/>
                <w:kern w:val="24"/>
              </w:rPr>
              <w:t>2.70 (1.25 – 5.82)</w:t>
            </w:r>
          </w:p>
        </w:tc>
      </w:tr>
      <w:tr w:rsidR="004D1A15" w:rsidRPr="002A0528" w14:paraId="2B5DC533" w14:textId="77777777" w:rsidTr="00DC1F8D">
        <w:trPr>
          <w:trHeight w:val="989"/>
        </w:trPr>
        <w:tc>
          <w:tcPr>
            <w:tcW w:w="0" w:type="auto"/>
            <w:tcMar>
              <w:left w:w="29" w:type="dxa"/>
              <w:right w:w="115" w:type="dxa"/>
            </w:tcMar>
            <w:vAlign w:val="center"/>
          </w:tcPr>
          <w:p w14:paraId="422DC45C" w14:textId="77777777" w:rsidR="004D1A15" w:rsidRDefault="004D1A15" w:rsidP="005F7AB1">
            <w:r>
              <w:t>Excluding individuals with bleeding during the baseline period</w:t>
            </w:r>
          </w:p>
        </w:tc>
        <w:tc>
          <w:tcPr>
            <w:tcW w:w="0" w:type="auto"/>
            <w:vAlign w:val="center"/>
          </w:tcPr>
          <w:p w14:paraId="70D2DFBA" w14:textId="77777777" w:rsidR="004D1A15" w:rsidRDefault="004D1A15" w:rsidP="005F7AB1">
            <w:pPr>
              <w:jc w:val="center"/>
              <w:rPr>
                <w:rFonts w:eastAsia="Times New Roman"/>
                <w:color w:val="000000" w:themeColor="dark1"/>
                <w:kern w:val="24"/>
              </w:rPr>
            </w:pPr>
            <w:r>
              <w:rPr>
                <w:rFonts w:eastAsia="Times New Roman"/>
                <w:color w:val="000000" w:themeColor="dark1"/>
                <w:kern w:val="24"/>
              </w:rPr>
              <w:t>83</w:t>
            </w:r>
          </w:p>
        </w:tc>
        <w:tc>
          <w:tcPr>
            <w:tcW w:w="0" w:type="auto"/>
            <w:vAlign w:val="center"/>
          </w:tcPr>
          <w:p w14:paraId="64DDC865" w14:textId="77777777" w:rsidR="004D1A15" w:rsidRDefault="004D1A15" w:rsidP="005F7AB1">
            <w:pPr>
              <w:jc w:val="center"/>
              <w:rPr>
                <w:rFonts w:eastAsia="Times New Roman"/>
                <w:color w:val="000000" w:themeColor="dark1"/>
                <w:kern w:val="24"/>
              </w:rPr>
            </w:pPr>
            <w:r>
              <w:rPr>
                <w:rFonts w:eastAsia="Times New Roman"/>
                <w:color w:val="000000" w:themeColor="dark1"/>
                <w:kern w:val="24"/>
              </w:rPr>
              <w:t>2.28 (1.03 – 5.03)</w:t>
            </w:r>
          </w:p>
        </w:tc>
      </w:tr>
      <w:tr w:rsidR="004D1A15" w:rsidRPr="002A0528" w14:paraId="13E9269D" w14:textId="77777777" w:rsidTr="00DC1F8D">
        <w:trPr>
          <w:trHeight w:val="989"/>
        </w:trPr>
        <w:tc>
          <w:tcPr>
            <w:tcW w:w="0" w:type="auto"/>
            <w:gridSpan w:val="3"/>
            <w:tcMar>
              <w:left w:w="29" w:type="dxa"/>
              <w:right w:w="115" w:type="dxa"/>
            </w:tcMar>
          </w:tcPr>
          <w:p w14:paraId="47630EB1" w14:textId="77777777" w:rsidR="004D1A15" w:rsidRPr="00843797" w:rsidRDefault="004D1A15" w:rsidP="005F7AB1">
            <w:pPr>
              <w:rPr>
                <w:rFonts w:eastAsia="Times New Roman"/>
                <w:color w:val="000000" w:themeColor="dark1"/>
                <w:kern w:val="24"/>
                <w:sz w:val="20"/>
                <w:szCs w:val="20"/>
              </w:rPr>
            </w:pPr>
            <w:r w:rsidRPr="00843797">
              <w:rPr>
                <w:rFonts w:eastAsia="Times New Roman"/>
                <w:color w:val="000000" w:themeColor="dark1"/>
                <w:kern w:val="24"/>
                <w:sz w:val="20"/>
                <w:szCs w:val="20"/>
              </w:rPr>
              <w:t>CLL = chronic lymphocytic leukemia; MCL = mantle cell lymphoma; MZL = marginal zone lymphoma</w:t>
            </w:r>
            <w:r>
              <w:rPr>
                <w:rFonts w:eastAsia="Times New Roman"/>
                <w:color w:val="000000" w:themeColor="dark1"/>
                <w:kern w:val="24"/>
                <w:sz w:val="20"/>
                <w:szCs w:val="20"/>
              </w:rPr>
              <w:t>; OAC = oral anticoagulant</w:t>
            </w:r>
          </w:p>
          <w:p w14:paraId="3E377BFC" w14:textId="77777777" w:rsidR="004D1A15" w:rsidRPr="00843797" w:rsidRDefault="004D1A15" w:rsidP="005F7AB1">
            <w:pPr>
              <w:rPr>
                <w:rFonts w:eastAsia="Times New Roman"/>
                <w:color w:val="000000" w:themeColor="dark1"/>
                <w:kern w:val="24"/>
                <w:sz w:val="20"/>
                <w:szCs w:val="20"/>
              </w:rPr>
            </w:pPr>
          </w:p>
          <w:p w14:paraId="719C4AA9" w14:textId="77777777" w:rsidR="004D1A15" w:rsidRDefault="004D1A15" w:rsidP="005F7AB1">
            <w:pPr>
              <w:rPr>
                <w:rFonts w:eastAsia="Times New Roman"/>
                <w:color w:val="000000" w:themeColor="dark1"/>
                <w:kern w:val="24"/>
              </w:rPr>
            </w:pPr>
            <w:r w:rsidRPr="00843797">
              <w:rPr>
                <w:rFonts w:eastAsia="Times New Roman"/>
                <w:color w:val="000000" w:themeColor="dark1"/>
                <w:kern w:val="24"/>
                <w:sz w:val="20"/>
                <w:szCs w:val="20"/>
              </w:rPr>
              <w:t>*</w:t>
            </w:r>
            <w:r w:rsidRPr="00843797">
              <w:rPr>
                <w:rFonts w:eastAsia="Calibri"/>
                <w:sz w:val="20"/>
                <w:szCs w:val="20"/>
              </w:rPr>
              <w:t xml:space="preserve">  Model </w:t>
            </w:r>
            <w:r w:rsidRPr="00843797">
              <w:rPr>
                <w:sz w:val="20"/>
                <w:szCs w:val="20"/>
              </w:rPr>
              <w:t>weighted based on stabilized inverse probability of treatment weights and adjusted for cohort entry year and household income</w:t>
            </w:r>
          </w:p>
        </w:tc>
      </w:tr>
    </w:tbl>
    <w:p w14:paraId="727B1A31" w14:textId="77777777" w:rsidR="004D1A15" w:rsidRDefault="004D1A15"/>
    <w:p w14:paraId="77A8BCBD" w14:textId="77777777" w:rsidR="004D1A15" w:rsidRDefault="004D1A15">
      <w:r>
        <w:br w:type="page"/>
      </w:r>
    </w:p>
    <w:p w14:paraId="1F5D9114" w14:textId="77777777" w:rsidR="004D1A15" w:rsidRPr="00E75620" w:rsidRDefault="004D1A15" w:rsidP="00E75620">
      <w:pPr>
        <w:pStyle w:val="Heading1"/>
        <w:rPr>
          <w:rFonts w:ascii="Times New Roman" w:hAnsi="Times New Roman" w:cs="Times New Roman"/>
          <w:b/>
          <w:bCs/>
          <w:color w:val="auto"/>
          <w:sz w:val="24"/>
          <w:szCs w:val="24"/>
        </w:rPr>
      </w:pPr>
      <w:r w:rsidRPr="00E75620">
        <w:rPr>
          <w:rFonts w:ascii="Times New Roman" w:hAnsi="Times New Roman" w:cs="Times New Roman"/>
          <w:b/>
          <w:bCs/>
          <w:color w:val="auto"/>
          <w:sz w:val="24"/>
          <w:szCs w:val="24"/>
        </w:rPr>
        <w:lastRenderedPageBreak/>
        <w:t xml:space="preserve">Supplementary Table </w:t>
      </w:r>
      <w:r>
        <w:rPr>
          <w:rFonts w:ascii="Times New Roman" w:hAnsi="Times New Roman" w:cs="Times New Roman"/>
          <w:b/>
          <w:bCs/>
          <w:color w:val="auto"/>
          <w:sz w:val="24"/>
          <w:szCs w:val="24"/>
        </w:rPr>
        <w:t>13</w:t>
      </w:r>
      <w:r w:rsidRPr="00E75620">
        <w:rPr>
          <w:rFonts w:ascii="Times New Roman" w:hAnsi="Times New Roman" w:cs="Times New Roman"/>
          <w:b/>
          <w:bCs/>
          <w:color w:val="auto"/>
          <w:sz w:val="24"/>
          <w:szCs w:val="24"/>
        </w:rPr>
        <w:t>. Results from effect modification analyses.</w:t>
      </w:r>
    </w:p>
    <w:tbl>
      <w:tblPr>
        <w:tblStyle w:val="TableGrid"/>
        <w:tblW w:w="0" w:type="auto"/>
        <w:jc w:val="center"/>
        <w:tblLook w:val="04A0" w:firstRow="1" w:lastRow="0" w:firstColumn="1" w:lastColumn="0" w:noHBand="0" w:noVBand="1"/>
      </w:tblPr>
      <w:tblGrid>
        <w:gridCol w:w="3467"/>
        <w:gridCol w:w="1178"/>
        <w:gridCol w:w="4705"/>
      </w:tblGrid>
      <w:tr w:rsidR="004D1A15" w14:paraId="287F706F" w14:textId="77777777" w:rsidTr="0032470C">
        <w:trPr>
          <w:trHeight w:val="672"/>
          <w:jc w:val="center"/>
        </w:trPr>
        <w:tc>
          <w:tcPr>
            <w:tcW w:w="3055" w:type="dxa"/>
            <w:shd w:val="clear" w:color="auto" w:fill="D9D9D9" w:themeFill="background1" w:themeFillShade="D9"/>
            <w:vAlign w:val="center"/>
          </w:tcPr>
          <w:p w14:paraId="63936DD3" w14:textId="77777777" w:rsidR="004D1A15" w:rsidRPr="004A463E" w:rsidRDefault="004D1A15" w:rsidP="0084455F">
            <w:pPr>
              <w:rPr>
                <w:b/>
              </w:rPr>
            </w:pPr>
            <w:r>
              <w:br w:type="page"/>
            </w:r>
          </w:p>
        </w:tc>
        <w:tc>
          <w:tcPr>
            <w:tcW w:w="1038" w:type="dxa"/>
            <w:shd w:val="clear" w:color="auto" w:fill="D9D9D9" w:themeFill="background1" w:themeFillShade="D9"/>
            <w:vAlign w:val="center"/>
          </w:tcPr>
          <w:p w14:paraId="29E93562" w14:textId="77777777" w:rsidR="004D1A15" w:rsidRPr="004A463E" w:rsidRDefault="004D1A15" w:rsidP="0084455F">
            <w:pPr>
              <w:jc w:val="center"/>
              <w:rPr>
                <w:b/>
              </w:rPr>
            </w:pPr>
            <w:r w:rsidRPr="004A463E">
              <w:rPr>
                <w:b/>
              </w:rPr>
              <w:t>P-value</w:t>
            </w:r>
          </w:p>
        </w:tc>
        <w:tc>
          <w:tcPr>
            <w:tcW w:w="0" w:type="auto"/>
            <w:shd w:val="clear" w:color="auto" w:fill="D9D9D9" w:themeFill="background1" w:themeFillShade="D9"/>
            <w:vAlign w:val="center"/>
          </w:tcPr>
          <w:p w14:paraId="72B1C27F" w14:textId="77777777" w:rsidR="004D1A15" w:rsidRPr="004A463E" w:rsidRDefault="004D1A15" w:rsidP="0084455F">
            <w:pPr>
              <w:jc w:val="center"/>
              <w:rPr>
                <w:b/>
              </w:rPr>
            </w:pPr>
            <w:r w:rsidRPr="004A463E">
              <w:rPr>
                <w:b/>
              </w:rPr>
              <w:t>Hazard Ratio (95% Confidence Interval)</w:t>
            </w:r>
          </w:p>
        </w:tc>
      </w:tr>
      <w:tr w:rsidR="004D1A15" w14:paraId="6C15A788" w14:textId="77777777" w:rsidTr="00DC1F8D">
        <w:trPr>
          <w:trHeight w:val="1008"/>
          <w:jc w:val="center"/>
        </w:trPr>
        <w:tc>
          <w:tcPr>
            <w:tcW w:w="3055" w:type="dxa"/>
            <w:tcMar>
              <w:left w:w="29" w:type="dxa"/>
              <w:right w:w="115" w:type="dxa"/>
            </w:tcMar>
            <w:vAlign w:val="center"/>
          </w:tcPr>
          <w:p w14:paraId="3C091430" w14:textId="77777777" w:rsidR="004D1A15" w:rsidRDefault="004D1A15" w:rsidP="0084455F">
            <w:r>
              <w:t>CYP3A4 inhibitors</w:t>
            </w:r>
          </w:p>
        </w:tc>
        <w:tc>
          <w:tcPr>
            <w:tcW w:w="1038" w:type="dxa"/>
            <w:vAlign w:val="center"/>
          </w:tcPr>
          <w:p w14:paraId="43584250" w14:textId="77777777" w:rsidR="004D1A15" w:rsidRDefault="004D1A15" w:rsidP="0084455F">
            <w:pPr>
              <w:jc w:val="center"/>
            </w:pPr>
            <w:r>
              <w:t>0.55</w:t>
            </w:r>
          </w:p>
        </w:tc>
        <w:tc>
          <w:tcPr>
            <w:tcW w:w="0" w:type="auto"/>
            <w:vAlign w:val="center"/>
          </w:tcPr>
          <w:p w14:paraId="2BF4DED7" w14:textId="77777777" w:rsidR="004D1A15" w:rsidRDefault="004D1A15" w:rsidP="0084455F">
            <w:pPr>
              <w:jc w:val="center"/>
            </w:pPr>
            <w:r>
              <w:t>Not displayed because p-value is not significant</w:t>
            </w:r>
          </w:p>
        </w:tc>
      </w:tr>
      <w:tr w:rsidR="004D1A15" w14:paraId="0500055A" w14:textId="77777777" w:rsidTr="00DC1F8D">
        <w:trPr>
          <w:trHeight w:val="881"/>
          <w:jc w:val="center"/>
        </w:trPr>
        <w:tc>
          <w:tcPr>
            <w:tcW w:w="3055" w:type="dxa"/>
            <w:tcMar>
              <w:left w:w="29" w:type="dxa"/>
              <w:right w:w="115" w:type="dxa"/>
            </w:tcMar>
            <w:vAlign w:val="center"/>
          </w:tcPr>
          <w:p w14:paraId="15C90CE9" w14:textId="77777777" w:rsidR="004D1A15" w:rsidRDefault="004D1A15" w:rsidP="0084455F">
            <w:r>
              <w:t>CYP3A4 inducers</w:t>
            </w:r>
          </w:p>
        </w:tc>
        <w:tc>
          <w:tcPr>
            <w:tcW w:w="1038" w:type="dxa"/>
            <w:vAlign w:val="center"/>
          </w:tcPr>
          <w:p w14:paraId="5D010DE6" w14:textId="77777777" w:rsidR="004D1A15" w:rsidRDefault="004D1A15" w:rsidP="0084455F">
            <w:pPr>
              <w:jc w:val="center"/>
            </w:pPr>
            <w:r>
              <w:t>&lt;0.01</w:t>
            </w:r>
          </w:p>
        </w:tc>
        <w:tc>
          <w:tcPr>
            <w:tcW w:w="0" w:type="auto"/>
            <w:vAlign w:val="center"/>
          </w:tcPr>
          <w:p w14:paraId="0C7F26CC" w14:textId="77777777" w:rsidR="004D1A15" w:rsidRDefault="004D1A15" w:rsidP="0084455F">
            <w:pPr>
              <w:jc w:val="center"/>
            </w:pPr>
            <w:r>
              <w:t>Not displayed because of unstable hazard ratio estimate</w:t>
            </w:r>
            <w:r w:rsidRPr="00D30CAC">
              <w:rPr>
                <w:vertAlign w:val="superscript"/>
              </w:rPr>
              <w:t>*</w:t>
            </w:r>
          </w:p>
        </w:tc>
      </w:tr>
      <w:tr w:rsidR="004D1A15" w14:paraId="1FA8ADEC" w14:textId="77777777" w:rsidTr="00DC1F8D">
        <w:trPr>
          <w:trHeight w:val="881"/>
          <w:jc w:val="center"/>
        </w:trPr>
        <w:tc>
          <w:tcPr>
            <w:tcW w:w="3055" w:type="dxa"/>
            <w:tcMar>
              <w:left w:w="29" w:type="dxa"/>
              <w:right w:w="115" w:type="dxa"/>
            </w:tcMar>
            <w:vAlign w:val="center"/>
          </w:tcPr>
          <w:p w14:paraId="6CDA0BBC" w14:textId="77777777" w:rsidR="004D1A15" w:rsidRDefault="004D1A15" w:rsidP="0084455F">
            <w:r>
              <w:t>CYP2D6 inhibitors</w:t>
            </w:r>
          </w:p>
        </w:tc>
        <w:tc>
          <w:tcPr>
            <w:tcW w:w="1038" w:type="dxa"/>
            <w:vAlign w:val="center"/>
          </w:tcPr>
          <w:p w14:paraId="0401146D" w14:textId="77777777" w:rsidR="004D1A15" w:rsidRDefault="004D1A15" w:rsidP="0084455F">
            <w:pPr>
              <w:jc w:val="center"/>
            </w:pPr>
            <w:r>
              <w:t>0.11</w:t>
            </w:r>
          </w:p>
        </w:tc>
        <w:tc>
          <w:tcPr>
            <w:tcW w:w="0" w:type="auto"/>
            <w:vAlign w:val="center"/>
          </w:tcPr>
          <w:p w14:paraId="38794714" w14:textId="77777777" w:rsidR="004D1A15" w:rsidRDefault="004D1A15" w:rsidP="0084455F">
            <w:pPr>
              <w:jc w:val="center"/>
            </w:pPr>
            <w:r>
              <w:t>Not displayed because p-value is not significant</w:t>
            </w:r>
          </w:p>
        </w:tc>
      </w:tr>
      <w:tr w:rsidR="004D1A15" w14:paraId="50375B14" w14:textId="77777777" w:rsidTr="00DC1F8D">
        <w:trPr>
          <w:trHeight w:val="881"/>
          <w:jc w:val="center"/>
        </w:trPr>
        <w:tc>
          <w:tcPr>
            <w:tcW w:w="3055" w:type="dxa"/>
            <w:tcMar>
              <w:left w:w="29" w:type="dxa"/>
              <w:right w:w="115" w:type="dxa"/>
            </w:tcMar>
            <w:vAlign w:val="center"/>
          </w:tcPr>
          <w:p w14:paraId="2525008A" w14:textId="77777777" w:rsidR="004D1A15" w:rsidRDefault="004D1A15" w:rsidP="0084455F">
            <w:r>
              <w:t>CYP2D6 inducers</w:t>
            </w:r>
          </w:p>
        </w:tc>
        <w:tc>
          <w:tcPr>
            <w:tcW w:w="1038" w:type="dxa"/>
            <w:vAlign w:val="center"/>
          </w:tcPr>
          <w:p w14:paraId="179284C1" w14:textId="77777777" w:rsidR="004D1A15" w:rsidRDefault="004D1A15" w:rsidP="0084455F">
            <w:pPr>
              <w:jc w:val="center"/>
            </w:pPr>
            <w:r>
              <w:t>-</w:t>
            </w:r>
          </w:p>
        </w:tc>
        <w:tc>
          <w:tcPr>
            <w:tcW w:w="0" w:type="auto"/>
            <w:vAlign w:val="center"/>
          </w:tcPr>
          <w:p w14:paraId="6AFB92B0" w14:textId="77777777" w:rsidR="004D1A15" w:rsidRDefault="004D1A15" w:rsidP="0084455F">
            <w:pPr>
              <w:jc w:val="center"/>
            </w:pPr>
            <w:r>
              <w:t>Not displayed because interaction term could not be included in model</w:t>
            </w:r>
            <w:r w:rsidRPr="00EE605F">
              <w:rPr>
                <w:rFonts w:eastAsia="Times New Roman"/>
                <w:kern w:val="24"/>
                <w:position w:val="11"/>
                <w:vertAlign w:val="superscript"/>
              </w:rPr>
              <w:t>†</w:t>
            </w:r>
          </w:p>
        </w:tc>
      </w:tr>
      <w:tr w:rsidR="004D1A15" w14:paraId="721BB911" w14:textId="77777777" w:rsidTr="00DC1F8D">
        <w:trPr>
          <w:trHeight w:val="881"/>
          <w:jc w:val="center"/>
        </w:trPr>
        <w:tc>
          <w:tcPr>
            <w:tcW w:w="3055" w:type="dxa"/>
            <w:tcMar>
              <w:left w:w="29" w:type="dxa"/>
              <w:right w:w="115" w:type="dxa"/>
            </w:tcMar>
            <w:vAlign w:val="center"/>
          </w:tcPr>
          <w:p w14:paraId="76ADF2E4" w14:textId="77777777" w:rsidR="004D1A15" w:rsidRDefault="004D1A15" w:rsidP="0084455F">
            <w:r>
              <w:t>CYP1A2 inhibitors</w:t>
            </w:r>
          </w:p>
        </w:tc>
        <w:tc>
          <w:tcPr>
            <w:tcW w:w="1038" w:type="dxa"/>
            <w:vAlign w:val="center"/>
          </w:tcPr>
          <w:p w14:paraId="0A4C12DC" w14:textId="77777777" w:rsidR="004D1A15" w:rsidRDefault="004D1A15" w:rsidP="0084455F">
            <w:pPr>
              <w:jc w:val="center"/>
            </w:pPr>
            <w:r>
              <w:t>0.82</w:t>
            </w:r>
          </w:p>
        </w:tc>
        <w:tc>
          <w:tcPr>
            <w:tcW w:w="0" w:type="auto"/>
            <w:vMerge w:val="restart"/>
            <w:vAlign w:val="center"/>
          </w:tcPr>
          <w:p w14:paraId="237C497B" w14:textId="77777777" w:rsidR="004D1A15" w:rsidRDefault="004D1A15" w:rsidP="0084455F">
            <w:pPr>
              <w:jc w:val="center"/>
            </w:pPr>
            <w:r>
              <w:t>Not displayed because p-value is not significant</w:t>
            </w:r>
          </w:p>
        </w:tc>
      </w:tr>
      <w:tr w:rsidR="004D1A15" w14:paraId="5938C140" w14:textId="77777777" w:rsidTr="00DC1F8D">
        <w:trPr>
          <w:trHeight w:val="881"/>
          <w:jc w:val="center"/>
        </w:trPr>
        <w:tc>
          <w:tcPr>
            <w:tcW w:w="3055" w:type="dxa"/>
            <w:tcMar>
              <w:left w:w="29" w:type="dxa"/>
              <w:right w:w="115" w:type="dxa"/>
            </w:tcMar>
            <w:vAlign w:val="center"/>
          </w:tcPr>
          <w:p w14:paraId="2C97A2A9" w14:textId="77777777" w:rsidR="004D1A15" w:rsidRDefault="004D1A15" w:rsidP="0084455F">
            <w:r>
              <w:t>CYP1A2 inducers</w:t>
            </w:r>
          </w:p>
        </w:tc>
        <w:tc>
          <w:tcPr>
            <w:tcW w:w="1038" w:type="dxa"/>
            <w:vAlign w:val="center"/>
          </w:tcPr>
          <w:p w14:paraId="5047ED02" w14:textId="77777777" w:rsidR="004D1A15" w:rsidRDefault="004D1A15" w:rsidP="0084455F">
            <w:pPr>
              <w:jc w:val="center"/>
            </w:pPr>
            <w:r>
              <w:t>0.23</w:t>
            </w:r>
          </w:p>
        </w:tc>
        <w:tc>
          <w:tcPr>
            <w:tcW w:w="0" w:type="auto"/>
            <w:vMerge/>
            <w:vAlign w:val="center"/>
          </w:tcPr>
          <w:p w14:paraId="725C47BB" w14:textId="77777777" w:rsidR="004D1A15" w:rsidRDefault="004D1A15" w:rsidP="0084455F">
            <w:pPr>
              <w:jc w:val="center"/>
            </w:pPr>
          </w:p>
        </w:tc>
      </w:tr>
      <w:tr w:rsidR="004D1A15" w14:paraId="57DBD6FD" w14:textId="77777777" w:rsidTr="00DC1F8D">
        <w:trPr>
          <w:trHeight w:val="881"/>
          <w:jc w:val="center"/>
        </w:trPr>
        <w:tc>
          <w:tcPr>
            <w:tcW w:w="3055" w:type="dxa"/>
            <w:tcMar>
              <w:left w:w="29" w:type="dxa"/>
              <w:right w:w="115" w:type="dxa"/>
            </w:tcMar>
            <w:vAlign w:val="center"/>
          </w:tcPr>
          <w:p w14:paraId="715A98E0" w14:textId="77777777" w:rsidR="004D1A15" w:rsidRDefault="004D1A15" w:rsidP="0084455F">
            <w:r>
              <w:t>P-</w:t>
            </w:r>
            <w:proofErr w:type="spellStart"/>
            <w:r>
              <w:t>gp</w:t>
            </w:r>
            <w:proofErr w:type="spellEnd"/>
            <w:r>
              <w:t xml:space="preserve"> inhibitors</w:t>
            </w:r>
          </w:p>
        </w:tc>
        <w:tc>
          <w:tcPr>
            <w:tcW w:w="1038" w:type="dxa"/>
            <w:vAlign w:val="center"/>
          </w:tcPr>
          <w:p w14:paraId="3BA7C768" w14:textId="77777777" w:rsidR="004D1A15" w:rsidRDefault="004D1A15" w:rsidP="0084455F">
            <w:pPr>
              <w:jc w:val="center"/>
            </w:pPr>
            <w:r>
              <w:t>0.31</w:t>
            </w:r>
          </w:p>
        </w:tc>
        <w:tc>
          <w:tcPr>
            <w:tcW w:w="0" w:type="auto"/>
            <w:vMerge/>
            <w:vAlign w:val="center"/>
          </w:tcPr>
          <w:p w14:paraId="2E99A857" w14:textId="77777777" w:rsidR="004D1A15" w:rsidRDefault="004D1A15" w:rsidP="0084455F">
            <w:pPr>
              <w:jc w:val="center"/>
            </w:pPr>
          </w:p>
        </w:tc>
      </w:tr>
      <w:tr w:rsidR="004D1A15" w14:paraId="1C54B91C" w14:textId="77777777" w:rsidTr="00DC1F8D">
        <w:trPr>
          <w:trHeight w:val="881"/>
          <w:jc w:val="center"/>
        </w:trPr>
        <w:tc>
          <w:tcPr>
            <w:tcW w:w="3055" w:type="dxa"/>
            <w:tcMar>
              <w:left w:w="29" w:type="dxa"/>
              <w:right w:w="115" w:type="dxa"/>
            </w:tcMar>
            <w:vAlign w:val="center"/>
          </w:tcPr>
          <w:p w14:paraId="27D38965" w14:textId="77777777" w:rsidR="004D1A15" w:rsidRDefault="004D1A15" w:rsidP="0084455F">
            <w:r>
              <w:t>P-</w:t>
            </w:r>
            <w:proofErr w:type="spellStart"/>
            <w:r>
              <w:t>gp</w:t>
            </w:r>
            <w:proofErr w:type="spellEnd"/>
            <w:r>
              <w:t xml:space="preserve"> inducers</w:t>
            </w:r>
          </w:p>
        </w:tc>
        <w:tc>
          <w:tcPr>
            <w:tcW w:w="1038" w:type="dxa"/>
            <w:vAlign w:val="center"/>
          </w:tcPr>
          <w:p w14:paraId="794AA73A" w14:textId="77777777" w:rsidR="004D1A15" w:rsidRDefault="004D1A15" w:rsidP="0084455F">
            <w:pPr>
              <w:jc w:val="center"/>
            </w:pPr>
            <w:r>
              <w:t>0.58</w:t>
            </w:r>
          </w:p>
        </w:tc>
        <w:tc>
          <w:tcPr>
            <w:tcW w:w="0" w:type="auto"/>
            <w:vMerge/>
            <w:vAlign w:val="center"/>
          </w:tcPr>
          <w:p w14:paraId="3FFE5D79" w14:textId="77777777" w:rsidR="004D1A15" w:rsidRDefault="004D1A15" w:rsidP="0084455F">
            <w:pPr>
              <w:jc w:val="center"/>
            </w:pPr>
          </w:p>
        </w:tc>
      </w:tr>
      <w:tr w:rsidR="004D1A15" w14:paraId="7236AF8D" w14:textId="77777777" w:rsidTr="00DC1F8D">
        <w:trPr>
          <w:trHeight w:val="881"/>
          <w:jc w:val="center"/>
        </w:trPr>
        <w:tc>
          <w:tcPr>
            <w:tcW w:w="3055" w:type="dxa"/>
            <w:tcMar>
              <w:left w:w="29" w:type="dxa"/>
              <w:right w:w="115" w:type="dxa"/>
            </w:tcMar>
            <w:vAlign w:val="center"/>
          </w:tcPr>
          <w:p w14:paraId="794E2BF4" w14:textId="77777777" w:rsidR="004D1A15" w:rsidRDefault="004D1A15" w:rsidP="0084455F">
            <w:r>
              <w:t>Exposure initiation order at cohort entry</w:t>
            </w:r>
          </w:p>
        </w:tc>
        <w:tc>
          <w:tcPr>
            <w:tcW w:w="1038" w:type="dxa"/>
            <w:vAlign w:val="center"/>
          </w:tcPr>
          <w:p w14:paraId="46F9261A" w14:textId="77777777" w:rsidR="004D1A15" w:rsidRDefault="004D1A15" w:rsidP="0084455F">
            <w:pPr>
              <w:jc w:val="center"/>
            </w:pPr>
            <w:r>
              <w:t>0.60</w:t>
            </w:r>
          </w:p>
        </w:tc>
        <w:tc>
          <w:tcPr>
            <w:tcW w:w="0" w:type="auto"/>
            <w:vMerge/>
            <w:vAlign w:val="center"/>
          </w:tcPr>
          <w:p w14:paraId="5F379407" w14:textId="77777777" w:rsidR="004D1A15" w:rsidRDefault="004D1A15" w:rsidP="0084455F">
            <w:pPr>
              <w:jc w:val="center"/>
            </w:pPr>
          </w:p>
        </w:tc>
      </w:tr>
      <w:tr w:rsidR="004D1A15" w14:paraId="7690027A" w14:textId="77777777" w:rsidTr="00DC1F8D">
        <w:trPr>
          <w:trHeight w:val="881"/>
          <w:jc w:val="center"/>
        </w:trPr>
        <w:tc>
          <w:tcPr>
            <w:tcW w:w="0" w:type="auto"/>
            <w:gridSpan w:val="3"/>
            <w:tcMar>
              <w:left w:w="29" w:type="dxa"/>
              <w:right w:w="115" w:type="dxa"/>
            </w:tcMar>
          </w:tcPr>
          <w:p w14:paraId="36F99A5A" w14:textId="77777777" w:rsidR="004D1A15" w:rsidRDefault="004D1A15" w:rsidP="0084455F">
            <w:pPr>
              <w:rPr>
                <w:sz w:val="20"/>
              </w:rPr>
            </w:pPr>
            <w:r w:rsidRPr="004A463E">
              <w:rPr>
                <w:sz w:val="20"/>
              </w:rPr>
              <w:t>CYP = cytochrome P450</w:t>
            </w:r>
            <w:r>
              <w:rPr>
                <w:sz w:val="20"/>
              </w:rPr>
              <w:t>; P-</w:t>
            </w:r>
            <w:proofErr w:type="spellStart"/>
            <w:r>
              <w:rPr>
                <w:sz w:val="20"/>
              </w:rPr>
              <w:t>gp</w:t>
            </w:r>
            <w:proofErr w:type="spellEnd"/>
            <w:r>
              <w:rPr>
                <w:sz w:val="20"/>
              </w:rPr>
              <w:t xml:space="preserve"> = p-glycoprotein</w:t>
            </w:r>
          </w:p>
          <w:p w14:paraId="20A3385A" w14:textId="77777777" w:rsidR="004D1A15" w:rsidRDefault="004D1A15" w:rsidP="0084455F">
            <w:pPr>
              <w:rPr>
                <w:sz w:val="20"/>
              </w:rPr>
            </w:pPr>
          </w:p>
          <w:p w14:paraId="30B59D61" w14:textId="77777777" w:rsidR="004D1A15" w:rsidRDefault="004D1A15" w:rsidP="00D30CAC">
            <w:pPr>
              <w:rPr>
                <w:sz w:val="20"/>
                <w:szCs w:val="20"/>
              </w:rPr>
            </w:pPr>
            <w:r w:rsidRPr="00E86BCA">
              <w:rPr>
                <w:sz w:val="20"/>
                <w:szCs w:val="20"/>
              </w:rPr>
              <w:t>*  There was only 1 outcome among the 14 individuals who had CYP3A4 inducer use during the baseline period, thus the hazard ratio estimate was unstable</w:t>
            </w:r>
          </w:p>
          <w:p w14:paraId="42634D0F" w14:textId="77777777" w:rsidR="004D1A15" w:rsidRPr="00F61B81" w:rsidRDefault="004D1A15" w:rsidP="00F61B81">
            <w:pPr>
              <w:rPr>
                <w:rFonts w:eastAsia="Times New Roman"/>
                <w:kern w:val="24"/>
                <w:position w:val="11"/>
                <w:sz w:val="20"/>
                <w:szCs w:val="20"/>
              </w:rPr>
            </w:pPr>
            <w:r w:rsidRPr="00EE605F">
              <w:rPr>
                <w:rFonts w:eastAsia="Times New Roman"/>
                <w:kern w:val="24"/>
                <w:position w:val="11"/>
                <w:sz w:val="20"/>
                <w:szCs w:val="20"/>
              </w:rPr>
              <w:t>†</w:t>
            </w:r>
            <w:r>
              <w:rPr>
                <w:rFonts w:eastAsia="Times New Roman"/>
                <w:kern w:val="24"/>
                <w:position w:val="11"/>
                <w:sz w:val="20"/>
                <w:szCs w:val="20"/>
              </w:rPr>
              <w:t xml:space="preserve">  There was only 1 individual in the cohort who had CYP2D6 inhibitor use during the baseline period, thus the interaction term could not be included</w:t>
            </w:r>
          </w:p>
        </w:tc>
      </w:tr>
    </w:tbl>
    <w:p w14:paraId="0DBBEDD9" w14:textId="77777777" w:rsidR="004D1A15" w:rsidRDefault="004D1A15"/>
    <w:p w14:paraId="7DA0441E" w14:textId="77777777" w:rsidR="004D1A15" w:rsidRDefault="004D1A15">
      <w:r>
        <w:br w:type="page"/>
      </w:r>
    </w:p>
    <w:p w14:paraId="08622C23" w14:textId="77777777" w:rsidR="004D1A15" w:rsidRPr="00945C6F" w:rsidRDefault="004D1A15" w:rsidP="00C26BEB">
      <w:r>
        <w:rPr>
          <w:b/>
          <w:bCs/>
        </w:rPr>
        <w:lastRenderedPageBreak/>
        <w:t xml:space="preserve">Supplementary </w:t>
      </w:r>
      <w:r w:rsidRPr="00EC20A1">
        <w:rPr>
          <w:b/>
          <w:bCs/>
        </w:rPr>
        <w:t>Figure 1. Incident co-exposure definition</w:t>
      </w:r>
      <w:r>
        <w:rPr>
          <w:b/>
          <w:bCs/>
        </w:rPr>
        <w:t xml:space="preserve"> for individuals with A) cancer therapy-triggered, B) OAC therapy-triggered, and C) synchronous-triggered cohort entry.</w:t>
      </w:r>
      <w:r>
        <w:t xml:space="preserve"> For A) and C), the 6 months preceding the index date needed to be devoid of ibrutinib dispensing for ibrutinib + OAC-treated individuals and </w:t>
      </w:r>
      <w:proofErr w:type="spellStart"/>
      <w:r>
        <w:t>bendamustine</w:t>
      </w:r>
      <w:proofErr w:type="spellEnd"/>
      <w:r>
        <w:t xml:space="preserve"> for BR + OAC-treated individuals. BR = </w:t>
      </w:r>
      <w:proofErr w:type="spellStart"/>
      <w:r>
        <w:t>bendamustine</w:t>
      </w:r>
      <w:proofErr w:type="spellEnd"/>
      <w:r>
        <w:t>-rituximab; OAC = oral anticoagulant.</w:t>
      </w:r>
    </w:p>
    <w:p w14:paraId="3943EA4C" w14:textId="77777777" w:rsidR="004D1A15" w:rsidRDefault="004D1A15" w:rsidP="00C26BEB">
      <w:pPr>
        <w:jc w:val="center"/>
      </w:pPr>
      <w:r>
        <w:rPr>
          <w:noProof/>
        </w:rPr>
        <w:drawing>
          <wp:inline distT="0" distB="0" distL="0" distR="0" wp14:anchorId="2A0E96AE" wp14:editId="0CB764AF">
            <wp:extent cx="5162550" cy="4967081"/>
            <wp:effectExtent l="0" t="0" r="0" b="0"/>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3059" cy="4977192"/>
                    </a:xfrm>
                    <a:prstGeom prst="rect">
                      <a:avLst/>
                    </a:prstGeom>
                    <a:noFill/>
                  </pic:spPr>
                </pic:pic>
              </a:graphicData>
            </a:graphic>
          </wp:inline>
        </w:drawing>
      </w:r>
    </w:p>
    <w:p w14:paraId="7D802632" w14:textId="77777777" w:rsidR="004D1A15" w:rsidRDefault="004D1A15" w:rsidP="00C26BEB">
      <w:pPr>
        <w:rPr>
          <w:b/>
          <w:bCs/>
        </w:rPr>
      </w:pPr>
    </w:p>
    <w:p w14:paraId="38463C08" w14:textId="77777777" w:rsidR="004D1A15" w:rsidRDefault="004D1A15">
      <w:pPr>
        <w:rPr>
          <w:rFonts w:eastAsiaTheme="majorEastAsia" w:cs="Times New Roman"/>
          <w:b/>
          <w:bCs/>
          <w:szCs w:val="24"/>
        </w:rPr>
      </w:pPr>
      <w:r>
        <w:rPr>
          <w:rFonts w:cs="Times New Roman"/>
          <w:b/>
          <w:bCs/>
          <w:szCs w:val="24"/>
        </w:rPr>
        <w:br w:type="page"/>
      </w:r>
    </w:p>
    <w:p w14:paraId="7979E016" w14:textId="77777777" w:rsidR="004D1A15" w:rsidRPr="00E75620" w:rsidRDefault="004D1A15" w:rsidP="00E75620">
      <w:pPr>
        <w:pStyle w:val="Heading1"/>
        <w:rPr>
          <w:rFonts w:ascii="Times New Roman" w:hAnsi="Times New Roman" w:cs="Times New Roman"/>
          <w:b/>
          <w:bCs/>
          <w:color w:val="auto"/>
          <w:sz w:val="24"/>
          <w:szCs w:val="24"/>
        </w:rPr>
      </w:pPr>
      <w:r w:rsidRPr="00E75620">
        <w:rPr>
          <w:rFonts w:ascii="Times New Roman" w:hAnsi="Times New Roman" w:cs="Times New Roman"/>
          <w:b/>
          <w:bCs/>
          <w:color w:val="auto"/>
          <w:sz w:val="24"/>
          <w:szCs w:val="24"/>
        </w:rPr>
        <w:lastRenderedPageBreak/>
        <w:t xml:space="preserve">Supplementary Figure </w:t>
      </w:r>
      <w:r>
        <w:rPr>
          <w:rFonts w:ascii="Times New Roman" w:hAnsi="Times New Roman" w:cs="Times New Roman"/>
          <w:b/>
          <w:bCs/>
          <w:color w:val="auto"/>
          <w:sz w:val="24"/>
          <w:szCs w:val="24"/>
        </w:rPr>
        <w:t>2</w:t>
      </w:r>
      <w:r w:rsidRPr="00E75620">
        <w:rPr>
          <w:rFonts w:ascii="Times New Roman" w:hAnsi="Times New Roman" w:cs="Times New Roman"/>
          <w:b/>
          <w:bCs/>
          <w:color w:val="auto"/>
          <w:sz w:val="24"/>
          <w:szCs w:val="24"/>
        </w:rPr>
        <w:t xml:space="preserve">. Study design depiction for A) ibrutinib + OAC-treated individuals and B) </w:t>
      </w:r>
      <w:proofErr w:type="spellStart"/>
      <w:r w:rsidRPr="00E75620">
        <w:rPr>
          <w:rFonts w:ascii="Times New Roman" w:hAnsi="Times New Roman" w:cs="Times New Roman"/>
          <w:b/>
          <w:bCs/>
          <w:color w:val="auto"/>
          <w:sz w:val="24"/>
          <w:szCs w:val="24"/>
        </w:rPr>
        <w:t>bendamustine</w:t>
      </w:r>
      <w:proofErr w:type="spellEnd"/>
      <w:r w:rsidRPr="00E75620">
        <w:rPr>
          <w:rFonts w:ascii="Times New Roman" w:hAnsi="Times New Roman" w:cs="Times New Roman"/>
          <w:b/>
          <w:bCs/>
          <w:color w:val="auto"/>
          <w:sz w:val="24"/>
          <w:szCs w:val="24"/>
        </w:rPr>
        <w:t>-rituximab + OAC-treated individuals.</w:t>
      </w:r>
      <w:r>
        <w:rPr>
          <w:rFonts w:ascii="Times New Roman" w:hAnsi="Times New Roman" w:cs="Times New Roman"/>
          <w:b/>
          <w:bCs/>
          <w:color w:val="auto"/>
          <w:sz w:val="24"/>
          <w:szCs w:val="24"/>
        </w:rPr>
        <w:br/>
      </w:r>
    </w:p>
    <w:p w14:paraId="53969C62" w14:textId="77777777" w:rsidR="004D1A15" w:rsidRDefault="004D1A15">
      <w:pPr>
        <w:rPr>
          <w:b/>
          <w:bCs/>
        </w:rPr>
      </w:pPr>
      <w:r>
        <w:rPr>
          <w:b/>
          <w:bCs/>
        </w:rPr>
        <w:t>A)</w:t>
      </w:r>
    </w:p>
    <w:p w14:paraId="53FA471F" w14:textId="77777777" w:rsidR="004D1A15" w:rsidRDefault="004D1A15">
      <w:r>
        <w:rPr>
          <w:noProof/>
        </w:rPr>
        <w:drawing>
          <wp:inline distT="0" distB="0" distL="0" distR="0" wp14:anchorId="729E4E62" wp14:editId="111B9974">
            <wp:extent cx="5559552" cy="4425696"/>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59552" cy="4425696"/>
                    </a:xfrm>
                    <a:prstGeom prst="rect">
                      <a:avLst/>
                    </a:prstGeom>
                    <a:noFill/>
                  </pic:spPr>
                </pic:pic>
              </a:graphicData>
            </a:graphic>
          </wp:inline>
        </w:drawing>
      </w:r>
    </w:p>
    <w:p w14:paraId="43876334" w14:textId="77777777" w:rsidR="004D1A15" w:rsidRDefault="004D1A15">
      <w:r>
        <w:br w:type="page"/>
      </w:r>
    </w:p>
    <w:p w14:paraId="3BF58DCB" w14:textId="77777777" w:rsidR="004D1A15" w:rsidRPr="00743218" w:rsidRDefault="004D1A15">
      <w:pPr>
        <w:rPr>
          <w:b/>
          <w:bCs/>
        </w:rPr>
      </w:pPr>
      <w:r w:rsidRPr="00743218">
        <w:rPr>
          <w:b/>
          <w:bCs/>
        </w:rPr>
        <w:lastRenderedPageBreak/>
        <w:t>B)</w:t>
      </w:r>
    </w:p>
    <w:p w14:paraId="564D7EA9" w14:textId="77777777" w:rsidR="004D1A15" w:rsidRDefault="004D1A15">
      <w:r>
        <w:rPr>
          <w:noProof/>
        </w:rPr>
        <w:drawing>
          <wp:inline distT="0" distB="0" distL="0" distR="0" wp14:anchorId="20C4D99F" wp14:editId="7E36A317">
            <wp:extent cx="5559552" cy="4425696"/>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59552" cy="4425696"/>
                    </a:xfrm>
                    <a:prstGeom prst="rect">
                      <a:avLst/>
                    </a:prstGeom>
                    <a:noFill/>
                  </pic:spPr>
                </pic:pic>
              </a:graphicData>
            </a:graphic>
          </wp:inline>
        </w:drawing>
      </w:r>
    </w:p>
    <w:p w14:paraId="7600F208" w14:textId="77777777" w:rsidR="004D1A15" w:rsidRDefault="004D1A15">
      <w:r>
        <w:br w:type="page"/>
      </w:r>
    </w:p>
    <w:p w14:paraId="1D52188A" w14:textId="77777777" w:rsidR="004D1A15" w:rsidRPr="00E75620" w:rsidRDefault="004D1A15" w:rsidP="00E75620">
      <w:pPr>
        <w:pStyle w:val="Heading1"/>
        <w:rPr>
          <w:rFonts w:ascii="Times New Roman" w:hAnsi="Times New Roman" w:cs="Times New Roman"/>
          <w:b/>
          <w:bCs/>
          <w:color w:val="auto"/>
          <w:sz w:val="24"/>
          <w:szCs w:val="24"/>
        </w:rPr>
      </w:pPr>
      <w:r w:rsidRPr="00E75620">
        <w:rPr>
          <w:rFonts w:ascii="Times New Roman" w:hAnsi="Times New Roman" w:cs="Times New Roman"/>
          <w:b/>
          <w:bCs/>
          <w:color w:val="auto"/>
          <w:sz w:val="24"/>
          <w:szCs w:val="24"/>
        </w:rPr>
        <w:lastRenderedPageBreak/>
        <w:t xml:space="preserve">Supplementary Figure </w:t>
      </w:r>
      <w:r>
        <w:rPr>
          <w:rFonts w:ascii="Times New Roman" w:hAnsi="Times New Roman" w:cs="Times New Roman"/>
          <w:b/>
          <w:bCs/>
          <w:color w:val="auto"/>
          <w:sz w:val="24"/>
          <w:szCs w:val="24"/>
        </w:rPr>
        <w:t>3</w:t>
      </w:r>
      <w:r w:rsidRPr="00E75620">
        <w:rPr>
          <w:rFonts w:ascii="Times New Roman" w:hAnsi="Times New Roman" w:cs="Times New Roman"/>
          <w:b/>
          <w:bCs/>
          <w:color w:val="auto"/>
          <w:sz w:val="24"/>
          <w:szCs w:val="24"/>
        </w:rPr>
        <w:t>. Study cohort flowchart.</w:t>
      </w:r>
    </w:p>
    <w:p w14:paraId="718434E1" w14:textId="77777777" w:rsidR="004D1A15" w:rsidRDefault="004D1A15">
      <w:pPr>
        <w:rPr>
          <w:b/>
          <w:bCs/>
        </w:rPr>
      </w:pPr>
      <w:r w:rsidRPr="00727DCB">
        <w:rPr>
          <w:noProof/>
        </w:rPr>
        <w:drawing>
          <wp:inline distT="0" distB="0" distL="0" distR="0" wp14:anchorId="5BA964FE" wp14:editId="0C943F64">
            <wp:extent cx="5797296" cy="6163056"/>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7296" cy="6163056"/>
                    </a:xfrm>
                    <a:prstGeom prst="rect">
                      <a:avLst/>
                    </a:prstGeom>
                    <a:noFill/>
                    <a:ln>
                      <a:noFill/>
                    </a:ln>
                  </pic:spPr>
                </pic:pic>
              </a:graphicData>
            </a:graphic>
          </wp:inline>
        </w:drawing>
      </w:r>
    </w:p>
    <w:p w14:paraId="77ED9844" w14:textId="77777777" w:rsidR="004D1A15" w:rsidRDefault="004D1A15">
      <w:pPr>
        <w:rPr>
          <w:b/>
          <w:bCs/>
        </w:rPr>
      </w:pPr>
      <w:r>
        <w:rPr>
          <w:b/>
          <w:bCs/>
        </w:rPr>
        <w:br w:type="page"/>
      </w:r>
    </w:p>
    <w:p w14:paraId="70F764B5" w14:textId="77777777" w:rsidR="004D1A15" w:rsidRPr="00E75620" w:rsidRDefault="004D1A15" w:rsidP="00E75620">
      <w:pPr>
        <w:pStyle w:val="Heading1"/>
        <w:rPr>
          <w:rFonts w:ascii="Times New Roman" w:hAnsi="Times New Roman" w:cs="Times New Roman"/>
          <w:b/>
          <w:bCs/>
          <w:color w:val="auto"/>
          <w:sz w:val="24"/>
          <w:szCs w:val="24"/>
        </w:rPr>
      </w:pPr>
      <w:r w:rsidRPr="00E75620">
        <w:rPr>
          <w:rFonts w:ascii="Times New Roman" w:hAnsi="Times New Roman" w:cs="Times New Roman"/>
          <w:b/>
          <w:bCs/>
          <w:color w:val="auto"/>
          <w:sz w:val="24"/>
          <w:szCs w:val="24"/>
        </w:rPr>
        <w:lastRenderedPageBreak/>
        <w:t xml:space="preserve">Supplementary Figure </w:t>
      </w:r>
      <w:r>
        <w:rPr>
          <w:rFonts w:ascii="Times New Roman" w:hAnsi="Times New Roman" w:cs="Times New Roman"/>
          <w:b/>
          <w:bCs/>
          <w:color w:val="auto"/>
          <w:sz w:val="24"/>
          <w:szCs w:val="24"/>
        </w:rPr>
        <w:t>4</w:t>
      </w:r>
      <w:r w:rsidRPr="00E75620">
        <w:rPr>
          <w:rFonts w:ascii="Times New Roman" w:hAnsi="Times New Roman" w:cs="Times New Roman"/>
          <w:b/>
          <w:bCs/>
          <w:color w:val="auto"/>
          <w:sz w:val="24"/>
          <w:szCs w:val="24"/>
        </w:rPr>
        <w:t>. Propensity score distribution in unweighted population.</w:t>
      </w:r>
    </w:p>
    <w:p w14:paraId="5DDF6545" w14:textId="77777777" w:rsidR="004D1A15" w:rsidRDefault="004D1A15">
      <w:pPr>
        <w:rPr>
          <w:b/>
          <w:bCs/>
        </w:rPr>
      </w:pPr>
      <w:r>
        <w:rPr>
          <w:noProof/>
        </w:rPr>
        <w:drawing>
          <wp:inline distT="0" distB="0" distL="0" distR="0" wp14:anchorId="2E508E03" wp14:editId="6364C2C8">
            <wp:extent cx="5943600" cy="4464050"/>
            <wp:effectExtent l="0" t="0" r="0" b="0"/>
            <wp:docPr id="2" name="Picture 2" descr="Chart, ba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64050"/>
                    </a:xfrm>
                    <a:prstGeom prst="rect">
                      <a:avLst/>
                    </a:prstGeom>
                    <a:noFill/>
                    <a:ln>
                      <a:noFill/>
                    </a:ln>
                  </pic:spPr>
                </pic:pic>
              </a:graphicData>
            </a:graphic>
          </wp:inline>
        </w:drawing>
      </w:r>
    </w:p>
    <w:p w14:paraId="5E3CE919" w14:textId="77777777" w:rsidR="004D1A15" w:rsidRDefault="004D1A15">
      <w:pPr>
        <w:rPr>
          <w:b/>
          <w:bCs/>
        </w:rPr>
      </w:pPr>
      <w:r>
        <w:rPr>
          <w:b/>
          <w:bCs/>
        </w:rPr>
        <w:br w:type="page"/>
      </w:r>
    </w:p>
    <w:p w14:paraId="61C74689" w14:textId="77777777" w:rsidR="004D1A15" w:rsidRDefault="004D1A15" w:rsidP="0033029D">
      <w:r>
        <w:rPr>
          <w:b/>
          <w:bCs/>
        </w:rPr>
        <w:lastRenderedPageBreak/>
        <w:t xml:space="preserve">Supplementary </w:t>
      </w:r>
      <w:r w:rsidRPr="00722651">
        <w:rPr>
          <w:b/>
          <w:bCs/>
        </w:rPr>
        <w:t xml:space="preserve">Figure </w:t>
      </w:r>
      <w:r>
        <w:rPr>
          <w:b/>
          <w:bCs/>
        </w:rPr>
        <w:t>5</w:t>
      </w:r>
      <w:r w:rsidRPr="00722651">
        <w:rPr>
          <w:b/>
          <w:bCs/>
        </w:rPr>
        <w:t>.</w:t>
      </w:r>
      <w:r>
        <w:t xml:space="preserve"> </w:t>
      </w:r>
      <w:r>
        <w:rPr>
          <w:b/>
        </w:rPr>
        <w:t>Kaplan-Meier curve for provider-diagnosed bleeding in the weighted population based on stabilized inverse probability of treatment weighting.</w:t>
      </w:r>
      <w:r w:rsidRPr="00F466B0">
        <w:rPr>
          <w:bCs/>
        </w:rPr>
        <w:t xml:space="preserve"> </w:t>
      </w:r>
      <w:r>
        <w:rPr>
          <w:bCs/>
        </w:rPr>
        <w:t xml:space="preserve">The number of individuals remaining in the risk set at each time point is displayed below the graph legend. BR = </w:t>
      </w:r>
      <w:proofErr w:type="spellStart"/>
      <w:r>
        <w:rPr>
          <w:bCs/>
        </w:rPr>
        <w:t>bendamustine</w:t>
      </w:r>
      <w:proofErr w:type="spellEnd"/>
      <w:r>
        <w:rPr>
          <w:bCs/>
        </w:rPr>
        <w:t>-rituximab; OAC = oral anticoagulant.</w:t>
      </w:r>
    </w:p>
    <w:p w14:paraId="34E9E989" w14:textId="77777777" w:rsidR="004D1A15" w:rsidRDefault="004D1A15" w:rsidP="0033029D">
      <w:r>
        <w:rPr>
          <w:noProof/>
        </w:rPr>
        <w:drawing>
          <wp:inline distT="0" distB="0" distL="0" distR="0" wp14:anchorId="2B916D9D" wp14:editId="0526FCA7">
            <wp:extent cx="5943600" cy="44577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CB0F89A" w14:textId="77777777" w:rsidR="004D1A15" w:rsidRDefault="004D1A15">
      <w:pPr>
        <w:rPr>
          <w:b/>
          <w:bCs/>
        </w:rPr>
      </w:pPr>
    </w:p>
    <w:p w14:paraId="7C3DD886" w14:textId="77777777" w:rsidR="004D1A15" w:rsidRDefault="004D1A15">
      <w:pPr>
        <w:rPr>
          <w:b/>
          <w:bCs/>
        </w:rPr>
      </w:pPr>
    </w:p>
    <w:p w14:paraId="6BA88FCD" w14:textId="77777777" w:rsidR="004D1A15" w:rsidRDefault="004D1A15">
      <w:pPr>
        <w:rPr>
          <w:rFonts w:cs="Times New Roman"/>
          <w:b/>
          <w:bCs/>
          <w:noProof/>
        </w:rPr>
      </w:pPr>
      <w:r>
        <w:rPr>
          <w:b/>
          <w:bCs/>
        </w:rPr>
        <w:br w:type="page"/>
      </w:r>
    </w:p>
    <w:p w14:paraId="3CA1A6E1" w14:textId="77777777" w:rsidR="004D1A15" w:rsidRDefault="004D1A15" w:rsidP="00D67C75">
      <w:pPr>
        <w:pStyle w:val="EndNoteBibliography"/>
        <w:spacing w:after="0"/>
        <w:rPr>
          <w:b/>
          <w:bCs/>
        </w:rPr>
      </w:pPr>
      <w:r>
        <w:rPr>
          <w:b/>
          <w:bCs/>
        </w:rPr>
        <w:lastRenderedPageBreak/>
        <w:t>References</w:t>
      </w:r>
    </w:p>
    <w:p w14:paraId="208BE5E0" w14:textId="77777777" w:rsidR="004D1A15" w:rsidRDefault="004D1A15" w:rsidP="00D67C75">
      <w:pPr>
        <w:pStyle w:val="EndNoteBibliography"/>
        <w:spacing w:after="0"/>
        <w:rPr>
          <w:b/>
          <w:bCs/>
        </w:rPr>
      </w:pPr>
    </w:p>
    <w:p w14:paraId="31FE7793" w14:textId="77777777" w:rsidR="004D1A15" w:rsidRPr="0051219E" w:rsidRDefault="004D1A15" w:rsidP="004C4D40">
      <w:pPr>
        <w:pStyle w:val="EndNoteBibliography"/>
        <w:spacing w:after="0" w:line="480" w:lineRule="auto"/>
      </w:pPr>
      <w:r w:rsidRPr="0051219E">
        <w:t>1.</w:t>
      </w:r>
      <w:r w:rsidRPr="0051219E">
        <w:tab/>
        <w:t xml:space="preserve">Levade M, David E, Garcia C, et al. Ibrutinib treatment affects collagen and von Willebrand factor-dependent platelet functions. </w:t>
      </w:r>
      <w:r w:rsidRPr="0051219E">
        <w:rPr>
          <w:i/>
        </w:rPr>
        <w:t>Blood</w:t>
      </w:r>
      <w:r w:rsidRPr="0051219E">
        <w:t>. Dec 18 2014;124(26):3991-5. doi:10.1182/blood-2014-06-583294</w:t>
      </w:r>
    </w:p>
    <w:p w14:paraId="0A3E1AE5" w14:textId="77777777" w:rsidR="004D1A15" w:rsidRPr="0051219E" w:rsidRDefault="004D1A15" w:rsidP="004C4D40">
      <w:pPr>
        <w:pStyle w:val="EndNoteBibliography"/>
        <w:spacing w:after="0" w:line="480" w:lineRule="auto"/>
      </w:pPr>
      <w:r w:rsidRPr="0051219E">
        <w:t>2.</w:t>
      </w:r>
      <w:r w:rsidRPr="0051219E">
        <w:tab/>
        <w:t>National Comprehensive Cancer Network. NCCN Clinical Practice Guidelines in Oncology: Chronic Lymphocytic Leukemia/Small Lymphocytic Leukemia. 2022.</w:t>
      </w:r>
    </w:p>
    <w:p w14:paraId="0B9A8A87" w14:textId="77777777" w:rsidR="004D1A15" w:rsidRPr="0051219E" w:rsidRDefault="004D1A15" w:rsidP="004C4D40">
      <w:pPr>
        <w:pStyle w:val="EndNoteBibliography"/>
        <w:spacing w:after="0" w:line="480" w:lineRule="auto"/>
      </w:pPr>
      <w:r w:rsidRPr="0051219E">
        <w:t>3.</w:t>
      </w:r>
      <w:r w:rsidRPr="0051219E">
        <w:tab/>
        <w:t>National Comprehensive Cancer Network. NCCN Clinical Practice Guidelines in Oncology: B-Cell Lymphomas. 2022.</w:t>
      </w:r>
    </w:p>
    <w:p w14:paraId="42C10D86" w14:textId="77777777" w:rsidR="004D1A15" w:rsidRPr="0051219E" w:rsidRDefault="004D1A15" w:rsidP="004C4D40">
      <w:pPr>
        <w:pStyle w:val="EndNoteBibliography"/>
        <w:spacing w:after="0" w:line="480" w:lineRule="auto"/>
      </w:pPr>
      <w:r w:rsidRPr="0051219E">
        <w:t>4.</w:t>
      </w:r>
      <w:r w:rsidRPr="0051219E">
        <w:tab/>
        <w:t xml:space="preserve">Fischer K, Cramer P, Busch R, et al. Bendamustine in combination with rituximab for previously untreated patients with chronic lymphocytic leukemia: a multicenter phase II trial of the German Chronic Lymphocytic Leukemia Study Group. </w:t>
      </w:r>
      <w:r w:rsidRPr="0051219E">
        <w:rPr>
          <w:i/>
        </w:rPr>
        <w:t>J Clin Oncol</w:t>
      </w:r>
      <w:r w:rsidRPr="0051219E">
        <w:t>. Sep 10 2012;30(26):3209-16. doi:10.1200/JCO.2011.39.2688</w:t>
      </w:r>
    </w:p>
    <w:p w14:paraId="0330952A" w14:textId="77777777" w:rsidR="004D1A15" w:rsidRPr="0051219E" w:rsidRDefault="004D1A15" w:rsidP="004C4D40">
      <w:pPr>
        <w:pStyle w:val="EndNoteBibliography"/>
        <w:spacing w:after="0" w:line="480" w:lineRule="auto"/>
      </w:pPr>
      <w:r w:rsidRPr="0051219E">
        <w:t>5.</w:t>
      </w:r>
      <w:r w:rsidRPr="0051219E">
        <w:tab/>
        <w:t xml:space="preserve">VanderWeele TJ, Ding P. Sensitivity Analysis in Observational Research: Introducing the E-Value. </w:t>
      </w:r>
      <w:r w:rsidRPr="0051219E">
        <w:rPr>
          <w:i/>
        </w:rPr>
        <w:t>Ann Intern Med</w:t>
      </w:r>
      <w:r w:rsidRPr="0051219E">
        <w:t>. Aug 15 2017;167(4):268-274. doi:10.7326/M16-2607</w:t>
      </w:r>
    </w:p>
    <w:p w14:paraId="79D72AAB" w14:textId="77777777" w:rsidR="004D1A15" w:rsidRPr="0051219E" w:rsidRDefault="004D1A15" w:rsidP="004C4D40">
      <w:pPr>
        <w:pStyle w:val="EndNoteBibliography"/>
        <w:spacing w:after="0" w:line="480" w:lineRule="auto"/>
      </w:pPr>
      <w:r w:rsidRPr="0051219E">
        <w:t>6.</w:t>
      </w:r>
      <w:r w:rsidRPr="0051219E">
        <w:tab/>
        <w:t xml:space="preserve">Raz MA, Arnason J, Bairey O, et al. The risk of bleeding in patients receiving ibrutinib combined with novel direct oral anticoagulants. </w:t>
      </w:r>
      <w:r w:rsidRPr="0051219E">
        <w:rPr>
          <w:i/>
        </w:rPr>
        <w:t>Br J Haematol</w:t>
      </w:r>
      <w:r w:rsidRPr="0051219E">
        <w:t>. Apr 2020;189(2):e31-e33. doi:10.1111/bjh.16422</w:t>
      </w:r>
    </w:p>
    <w:p w14:paraId="4E8CEE17" w14:textId="77777777" w:rsidR="004D1A15" w:rsidRPr="0051219E" w:rsidRDefault="004D1A15" w:rsidP="004C4D40">
      <w:pPr>
        <w:pStyle w:val="EndNoteBibliography"/>
        <w:spacing w:after="0" w:line="480" w:lineRule="auto"/>
      </w:pPr>
      <w:r w:rsidRPr="0051219E">
        <w:t>7.</w:t>
      </w:r>
      <w:r w:rsidRPr="0051219E">
        <w:tab/>
        <w:t xml:space="preserve">Thompson PA, Levy V, Tam CS, et al. Atrial fibrillation in CLL patients treated with ibrutinib. An international retrospective study. </w:t>
      </w:r>
      <w:r w:rsidRPr="0051219E">
        <w:rPr>
          <w:i/>
        </w:rPr>
        <w:t>Br J Haematol</w:t>
      </w:r>
      <w:r w:rsidRPr="0051219E">
        <w:t>. Nov 2016;175(3):462-466. doi:10.1111/bjh.14324</w:t>
      </w:r>
    </w:p>
    <w:p w14:paraId="0F96BE9A" w14:textId="77777777" w:rsidR="004D1A15" w:rsidRPr="0051219E" w:rsidRDefault="004D1A15" w:rsidP="004C4D40">
      <w:pPr>
        <w:pStyle w:val="EndNoteBibliography"/>
        <w:spacing w:after="0" w:line="480" w:lineRule="auto"/>
      </w:pPr>
      <w:r w:rsidRPr="0051219E">
        <w:t>8.</w:t>
      </w:r>
      <w:r w:rsidRPr="0051219E">
        <w:tab/>
        <w:t xml:space="preserve">Graham DJ, Baro E, Zhang R, et al. Comparative Stroke, Bleeding, and Mortality Risks in Older Medicare Patients Treated with Oral Anticoagulants for Nonvalvular Atrial Fibrillation. </w:t>
      </w:r>
      <w:r w:rsidRPr="0051219E">
        <w:rPr>
          <w:i/>
        </w:rPr>
        <w:t>Am J Med</w:t>
      </w:r>
      <w:r w:rsidRPr="0051219E">
        <w:t>. May 2019;132(5):596-604 e11. doi:10.1016/j.amjmed.2018.12.023</w:t>
      </w:r>
    </w:p>
    <w:p w14:paraId="251AD00C" w14:textId="77777777" w:rsidR="004D1A15" w:rsidRPr="0051219E" w:rsidRDefault="004D1A15" w:rsidP="004C4D40">
      <w:pPr>
        <w:pStyle w:val="EndNoteBibliography"/>
        <w:spacing w:after="0" w:line="480" w:lineRule="auto"/>
      </w:pPr>
      <w:r w:rsidRPr="0051219E">
        <w:lastRenderedPageBreak/>
        <w:t>9.</w:t>
      </w:r>
      <w:r w:rsidRPr="0051219E">
        <w:tab/>
        <w:t xml:space="preserve">Graham DJ, Reichman ME, Wernecke M, et al. Stroke, Bleeding, and Mortality Risks in Elderly Medicare Beneficiaries Treated With Dabigatran or Rivaroxaban for Nonvalvular Atrial Fibrillation. </w:t>
      </w:r>
      <w:r w:rsidRPr="0051219E">
        <w:rPr>
          <w:i/>
        </w:rPr>
        <w:t>JAMA Intern Med</w:t>
      </w:r>
      <w:r w:rsidRPr="0051219E">
        <w:t>. Nov 1 2016;176(11):1662-1671. doi:10.1001/jamainternmed.2016.5954</w:t>
      </w:r>
    </w:p>
    <w:p w14:paraId="10AC1562" w14:textId="77777777" w:rsidR="004D1A15" w:rsidRPr="0051219E" w:rsidRDefault="004D1A15" w:rsidP="004C4D40">
      <w:pPr>
        <w:pStyle w:val="EndNoteBibliography"/>
        <w:spacing w:after="0" w:line="480" w:lineRule="auto"/>
      </w:pPr>
      <w:r w:rsidRPr="0051219E">
        <w:t>10.</w:t>
      </w:r>
      <w:r w:rsidRPr="0051219E">
        <w:tab/>
        <w:t xml:space="preserve">Abraham NS, Singh S, Alexander GC, et al. Comparative risk of gastrointestinal bleeding with dabigatran, rivaroxaban, and warfarin: population based cohort study. </w:t>
      </w:r>
      <w:r w:rsidRPr="0051219E">
        <w:rPr>
          <w:i/>
        </w:rPr>
        <w:t>BMJ</w:t>
      </w:r>
      <w:r w:rsidRPr="0051219E">
        <w:t>. Apr 24 2015;350:h1857. doi:10.1136/bmj.h1857</w:t>
      </w:r>
    </w:p>
    <w:p w14:paraId="34BD0CD8" w14:textId="77777777" w:rsidR="004D1A15" w:rsidRPr="0051219E" w:rsidRDefault="004D1A15" w:rsidP="004C4D40">
      <w:pPr>
        <w:pStyle w:val="EndNoteBibliography"/>
        <w:spacing w:after="0" w:line="480" w:lineRule="auto"/>
      </w:pPr>
      <w:r w:rsidRPr="0051219E">
        <w:t>11.</w:t>
      </w:r>
      <w:r w:rsidRPr="0051219E">
        <w:tab/>
        <w:t xml:space="preserve">U.S. Department of Health and Human Services. Common Terminology Criteria for Adverse Events (CTCAE) Version 5.0. </w:t>
      </w:r>
      <w:r w:rsidRPr="004D1A15">
        <w:t>https://ctep.cancer.gov/protocolDevelopment/electronic_applications/docs/CTCAE_v5_Quick_Reference_5x7.pdf</w:t>
      </w:r>
    </w:p>
    <w:p w14:paraId="53A295CE" w14:textId="77777777" w:rsidR="004D1A15" w:rsidRPr="0051219E" w:rsidRDefault="004D1A15" w:rsidP="004C4D40">
      <w:pPr>
        <w:pStyle w:val="EndNoteBibliography"/>
        <w:spacing w:after="0" w:line="480" w:lineRule="auto"/>
      </w:pPr>
      <w:r w:rsidRPr="0051219E">
        <w:t>12.</w:t>
      </w:r>
      <w:r w:rsidRPr="0051219E">
        <w:tab/>
        <w:t xml:space="preserve">Gendlin GE, Emelina EI, Nikitin IG. ANTICOAGULANT THERAPY IN PATIENTS WITH CHRONIC LYMPHOCYTIC LEUKEMIA RECEIVING IBRUTINIB. </w:t>
      </w:r>
      <w:r w:rsidRPr="0051219E">
        <w:rPr>
          <w:i/>
        </w:rPr>
        <w:t>Hematological Oncology</w:t>
      </w:r>
      <w:r w:rsidRPr="0051219E">
        <w:t>. 2019;37(S2):383-384. doi:</w:t>
      </w:r>
      <w:r w:rsidRPr="004D1A15">
        <w:t>https://doi.org/10.1002/hon.52_2631</w:t>
      </w:r>
    </w:p>
    <w:p w14:paraId="1F59E9C9" w14:textId="02DF4BDB" w:rsidR="004D1A15" w:rsidRPr="0051219E" w:rsidRDefault="004D1A15" w:rsidP="004C4D40">
      <w:pPr>
        <w:pStyle w:val="EndNoteBibliography"/>
        <w:spacing w:after="0" w:line="480" w:lineRule="auto"/>
      </w:pPr>
      <w:r w:rsidRPr="0051219E">
        <w:t>13.</w:t>
      </w:r>
      <w:r w:rsidRPr="0051219E">
        <w:tab/>
        <w:t xml:space="preserve">Dhopeshwarkar N, Yang W, Hennessy S, Rhodes JM, Cuker A, Leonard CE. Rate of major bleeding with ibrutinib versus bendamustine-rituximab in chronic lymphocytic leukemia: a population-based cohort study. </w:t>
      </w:r>
      <w:r w:rsidRPr="0051219E">
        <w:rPr>
          <w:i/>
        </w:rPr>
        <w:t>American Journal of Hematology</w:t>
      </w:r>
      <w:r w:rsidRPr="0051219E">
        <w:t>.</w:t>
      </w:r>
      <w:r w:rsidR="00A52C61">
        <w:t xml:space="preserve"> 2022;97:E332-5. </w:t>
      </w:r>
      <w:r w:rsidRPr="0051219E">
        <w:t>doi:</w:t>
      </w:r>
      <w:r w:rsidRPr="004D1A15">
        <w:t>https://doi.org/10.1002/ajh.26632</w:t>
      </w:r>
    </w:p>
    <w:p w14:paraId="576A97B7" w14:textId="77777777" w:rsidR="004D1A15" w:rsidRPr="0051219E" w:rsidRDefault="004D1A15" w:rsidP="004C4D40">
      <w:pPr>
        <w:pStyle w:val="EndNoteBibliography"/>
        <w:spacing w:after="0" w:line="480" w:lineRule="auto"/>
      </w:pPr>
      <w:r w:rsidRPr="0051219E">
        <w:t>14.</w:t>
      </w:r>
      <w:r w:rsidRPr="0051219E">
        <w:tab/>
        <w:t xml:space="preserve">Cunningham A, Stein CM, Chung CP, Daugherty JR, Smalley WE, Ray WA. An automated database case definition for serious bleeding related to oral anticoagulant use. </w:t>
      </w:r>
      <w:r w:rsidRPr="0051219E">
        <w:rPr>
          <w:i/>
        </w:rPr>
        <w:t>Pharmacoepidemiol Drug Saf</w:t>
      </w:r>
      <w:r w:rsidRPr="0051219E">
        <w:t>. Jun 2011;20(6):560-6. doi:10.1002/pds.2109</w:t>
      </w:r>
    </w:p>
    <w:p w14:paraId="34788045" w14:textId="058330CB" w:rsidR="008B4D41" w:rsidRDefault="004D1A15" w:rsidP="00F85FCD">
      <w:pPr>
        <w:pStyle w:val="EndNoteBibliography"/>
        <w:spacing w:line="480" w:lineRule="auto"/>
      </w:pPr>
      <w:r w:rsidRPr="0051219E">
        <w:lastRenderedPageBreak/>
        <w:t>15.</w:t>
      </w:r>
      <w:r w:rsidRPr="0051219E">
        <w:tab/>
        <w:t xml:space="preserve">Linkins LA, Choi PT, Douketis JD. Clinical impact of bleeding in patients taking oral anticoagulant therapy for venous thromboembolism: a meta-analysis. </w:t>
      </w:r>
      <w:r w:rsidRPr="0051219E">
        <w:rPr>
          <w:i/>
        </w:rPr>
        <w:t>Ann Intern Med</w:t>
      </w:r>
      <w:r w:rsidRPr="0051219E">
        <w:t>. Dec 2 2003;139(11):893-900. doi:10.7326/0003-4819-139-11-200312020-00007</w:t>
      </w:r>
    </w:p>
    <w:sectPr w:rsidR="008B4D41" w:rsidSect="00603C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EF15E" w14:textId="77777777" w:rsidR="00B718F8" w:rsidRDefault="00B718F8">
      <w:pPr>
        <w:spacing w:after="0"/>
      </w:pPr>
      <w:r>
        <w:separator/>
      </w:r>
    </w:p>
  </w:endnote>
  <w:endnote w:type="continuationSeparator" w:id="0">
    <w:p w14:paraId="04B61AA8" w14:textId="77777777" w:rsidR="00B718F8" w:rsidRDefault="00B718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778423"/>
      <w:docPartObj>
        <w:docPartGallery w:val="Page Numbers (Bottom of Page)"/>
        <w:docPartUnique/>
      </w:docPartObj>
    </w:sdtPr>
    <w:sdtEndPr>
      <w:rPr>
        <w:noProof/>
      </w:rPr>
    </w:sdtEndPr>
    <w:sdtContent>
      <w:p w14:paraId="43B73343"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366BB4"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18F36" w14:textId="77777777" w:rsidR="00B718F8" w:rsidRDefault="00B718F8">
      <w:pPr>
        <w:spacing w:after="0"/>
      </w:pPr>
      <w:r>
        <w:separator/>
      </w:r>
    </w:p>
  </w:footnote>
  <w:footnote w:type="continuationSeparator" w:id="0">
    <w:p w14:paraId="7CC71C79" w14:textId="77777777" w:rsidR="00B718F8" w:rsidRDefault="00B718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8473B"/>
    <w:multiLevelType w:val="hybridMultilevel"/>
    <w:tmpl w:val="F45E4322"/>
    <w:lvl w:ilvl="0" w:tplc="0A7EECFA">
      <w:numFmt w:val="bullet"/>
      <w:lvlText w:val=""/>
      <w:lvlJc w:val="left"/>
      <w:pPr>
        <w:ind w:left="720" w:hanging="360"/>
      </w:pPr>
      <w:rPr>
        <w:rFonts w:ascii="Symbol" w:eastAsiaTheme="minorHAnsi"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3366A"/>
    <w:multiLevelType w:val="hybridMultilevel"/>
    <w:tmpl w:val="EBF49246"/>
    <w:lvl w:ilvl="0" w:tplc="8FB6B024">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D7D4A"/>
    <w:multiLevelType w:val="hybridMultilevel"/>
    <w:tmpl w:val="61B4C6EE"/>
    <w:lvl w:ilvl="0" w:tplc="0F02235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E536E"/>
    <w:multiLevelType w:val="hybridMultilevel"/>
    <w:tmpl w:val="4FDE86C6"/>
    <w:lvl w:ilvl="0" w:tplc="CCB01BB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5E6509"/>
    <w:multiLevelType w:val="hybridMultilevel"/>
    <w:tmpl w:val="69A2D8BC"/>
    <w:lvl w:ilvl="0" w:tplc="C4629B1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962DB"/>
    <w:multiLevelType w:val="hybridMultilevel"/>
    <w:tmpl w:val="8B187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216379">
    <w:abstractNumId w:val="0"/>
  </w:num>
  <w:num w:numId="2" w16cid:durableId="104232818">
    <w:abstractNumId w:val="1"/>
  </w:num>
  <w:num w:numId="3" w16cid:durableId="798376257">
    <w:abstractNumId w:val="5"/>
  </w:num>
  <w:num w:numId="4" w16cid:durableId="707605136">
    <w:abstractNumId w:val="3"/>
  </w:num>
  <w:num w:numId="5" w16cid:durableId="1911497540">
    <w:abstractNumId w:val="4"/>
  </w:num>
  <w:num w:numId="6" w16cid:durableId="413089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4D1A15"/>
    <w:rsid w:val="00197B75"/>
    <w:rsid w:val="0035024C"/>
    <w:rsid w:val="003C0625"/>
    <w:rsid w:val="004C0B9E"/>
    <w:rsid w:val="004C4D40"/>
    <w:rsid w:val="004D1A15"/>
    <w:rsid w:val="005562EA"/>
    <w:rsid w:val="00887015"/>
    <w:rsid w:val="008B4D41"/>
    <w:rsid w:val="00A52C61"/>
    <w:rsid w:val="00B209B1"/>
    <w:rsid w:val="00B5143E"/>
    <w:rsid w:val="00B718F8"/>
    <w:rsid w:val="00B810B8"/>
    <w:rsid w:val="00C651F4"/>
    <w:rsid w:val="00F34F1C"/>
    <w:rsid w:val="00F85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2F1C"/>
  <w15:chartTrackingRefBased/>
  <w15:docId w15:val="{D96D973A-CEC6-49E6-BA31-10BBCE6A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A15"/>
  </w:style>
  <w:style w:type="paragraph" w:styleId="Heading1">
    <w:name w:val="heading 1"/>
    <w:basedOn w:val="Normal"/>
    <w:next w:val="Normal"/>
    <w:link w:val="Heading1Char"/>
    <w:uiPriority w:val="9"/>
    <w:qFormat/>
    <w:rsid w:val="004D1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A1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4D1A15"/>
    <w:pPr>
      <w:spacing w:after="0"/>
    </w:pPr>
    <w:rPr>
      <w:rFonts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D1A15"/>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4D1A15"/>
    <w:rPr>
      <w:sz w:val="16"/>
      <w:szCs w:val="16"/>
    </w:rPr>
  </w:style>
  <w:style w:type="paragraph" w:styleId="CommentText">
    <w:name w:val="annotation text"/>
    <w:basedOn w:val="Normal"/>
    <w:link w:val="CommentTextChar"/>
    <w:uiPriority w:val="99"/>
    <w:unhideWhenUsed/>
    <w:rsid w:val="004D1A15"/>
    <w:rPr>
      <w:sz w:val="20"/>
      <w:szCs w:val="20"/>
    </w:rPr>
  </w:style>
  <w:style w:type="character" w:customStyle="1" w:styleId="CommentTextChar">
    <w:name w:val="Comment Text Char"/>
    <w:basedOn w:val="DefaultParagraphFont"/>
    <w:link w:val="CommentText"/>
    <w:uiPriority w:val="99"/>
    <w:rsid w:val="004D1A15"/>
    <w:rPr>
      <w:sz w:val="20"/>
      <w:szCs w:val="20"/>
    </w:rPr>
  </w:style>
  <w:style w:type="paragraph" w:styleId="CommentSubject">
    <w:name w:val="annotation subject"/>
    <w:basedOn w:val="CommentText"/>
    <w:next w:val="CommentText"/>
    <w:link w:val="CommentSubjectChar"/>
    <w:uiPriority w:val="99"/>
    <w:semiHidden/>
    <w:unhideWhenUsed/>
    <w:rsid w:val="004D1A15"/>
    <w:rPr>
      <w:b/>
      <w:bCs/>
    </w:rPr>
  </w:style>
  <w:style w:type="character" w:customStyle="1" w:styleId="CommentSubjectChar">
    <w:name w:val="Comment Subject Char"/>
    <w:basedOn w:val="CommentTextChar"/>
    <w:link w:val="CommentSubject"/>
    <w:uiPriority w:val="99"/>
    <w:semiHidden/>
    <w:rsid w:val="004D1A15"/>
    <w:rPr>
      <w:b/>
      <w:bCs/>
      <w:sz w:val="20"/>
      <w:szCs w:val="20"/>
    </w:rPr>
  </w:style>
  <w:style w:type="paragraph" w:styleId="ListParagraph">
    <w:name w:val="List Paragraph"/>
    <w:basedOn w:val="Normal"/>
    <w:uiPriority w:val="34"/>
    <w:qFormat/>
    <w:rsid w:val="004D1A15"/>
    <w:pPr>
      <w:ind w:left="720"/>
      <w:contextualSpacing/>
    </w:pPr>
  </w:style>
  <w:style w:type="paragraph" w:styleId="Header">
    <w:name w:val="header"/>
    <w:basedOn w:val="Normal"/>
    <w:link w:val="HeaderChar"/>
    <w:uiPriority w:val="99"/>
    <w:unhideWhenUsed/>
    <w:rsid w:val="004D1A15"/>
    <w:pPr>
      <w:tabs>
        <w:tab w:val="center" w:pos="4680"/>
        <w:tab w:val="right" w:pos="9360"/>
      </w:tabs>
      <w:spacing w:after="0"/>
    </w:pPr>
  </w:style>
  <w:style w:type="character" w:customStyle="1" w:styleId="HeaderChar">
    <w:name w:val="Header Char"/>
    <w:basedOn w:val="DefaultParagraphFont"/>
    <w:link w:val="Header"/>
    <w:uiPriority w:val="99"/>
    <w:rsid w:val="004D1A15"/>
  </w:style>
  <w:style w:type="paragraph" w:styleId="Footer">
    <w:name w:val="footer"/>
    <w:basedOn w:val="Normal"/>
    <w:link w:val="FooterChar"/>
    <w:uiPriority w:val="99"/>
    <w:unhideWhenUsed/>
    <w:rsid w:val="004D1A15"/>
    <w:pPr>
      <w:tabs>
        <w:tab w:val="center" w:pos="4680"/>
        <w:tab w:val="right" w:pos="9360"/>
      </w:tabs>
      <w:spacing w:after="0"/>
    </w:pPr>
  </w:style>
  <w:style w:type="character" w:customStyle="1" w:styleId="FooterChar">
    <w:name w:val="Footer Char"/>
    <w:basedOn w:val="DefaultParagraphFont"/>
    <w:link w:val="Footer"/>
    <w:uiPriority w:val="99"/>
    <w:rsid w:val="004D1A15"/>
  </w:style>
  <w:style w:type="paragraph" w:styleId="TOCHeading">
    <w:name w:val="TOC Heading"/>
    <w:basedOn w:val="Heading1"/>
    <w:next w:val="Normal"/>
    <w:uiPriority w:val="39"/>
    <w:unhideWhenUsed/>
    <w:qFormat/>
    <w:rsid w:val="004D1A15"/>
    <w:pPr>
      <w:spacing w:line="259" w:lineRule="auto"/>
      <w:outlineLvl w:val="9"/>
    </w:pPr>
  </w:style>
  <w:style w:type="paragraph" w:styleId="TOC1">
    <w:name w:val="toc 1"/>
    <w:basedOn w:val="Normal"/>
    <w:next w:val="Normal"/>
    <w:autoRedefine/>
    <w:uiPriority w:val="39"/>
    <w:unhideWhenUsed/>
    <w:rsid w:val="004D1A15"/>
    <w:pPr>
      <w:tabs>
        <w:tab w:val="right" w:leader="dot" w:pos="9350"/>
      </w:tabs>
      <w:spacing w:after="100"/>
    </w:pPr>
    <w:rPr>
      <w:noProof/>
    </w:rPr>
  </w:style>
  <w:style w:type="character" w:styleId="Hyperlink">
    <w:name w:val="Hyperlink"/>
    <w:basedOn w:val="DefaultParagraphFont"/>
    <w:uiPriority w:val="99"/>
    <w:unhideWhenUsed/>
    <w:rsid w:val="004D1A15"/>
    <w:rPr>
      <w:color w:val="0563C1" w:themeColor="hyperlink"/>
      <w:u w:val="single"/>
    </w:rPr>
  </w:style>
  <w:style w:type="paragraph" w:styleId="TOC2">
    <w:name w:val="toc 2"/>
    <w:basedOn w:val="Normal"/>
    <w:next w:val="Normal"/>
    <w:autoRedefine/>
    <w:uiPriority w:val="39"/>
    <w:unhideWhenUsed/>
    <w:rsid w:val="004D1A15"/>
    <w:pPr>
      <w:spacing w:after="100" w:line="259" w:lineRule="auto"/>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4D1A15"/>
    <w:pPr>
      <w:spacing w:after="100" w:line="259" w:lineRule="auto"/>
      <w:ind w:left="440"/>
    </w:pPr>
    <w:rPr>
      <w:rFonts w:asciiTheme="minorHAnsi" w:eastAsiaTheme="minorEastAsia" w:hAnsiTheme="minorHAnsi" w:cs="Times New Roman"/>
      <w:sz w:val="22"/>
    </w:rPr>
  </w:style>
  <w:style w:type="character" w:styleId="FollowedHyperlink">
    <w:name w:val="FollowedHyperlink"/>
    <w:basedOn w:val="DefaultParagraphFont"/>
    <w:uiPriority w:val="99"/>
    <w:semiHidden/>
    <w:unhideWhenUsed/>
    <w:rsid w:val="004D1A15"/>
    <w:rPr>
      <w:color w:val="954F72" w:themeColor="followedHyperlink"/>
      <w:u w:val="single"/>
    </w:rPr>
  </w:style>
  <w:style w:type="paragraph" w:styleId="Caption">
    <w:name w:val="caption"/>
    <w:basedOn w:val="Normal"/>
    <w:next w:val="Normal"/>
    <w:uiPriority w:val="35"/>
    <w:semiHidden/>
    <w:unhideWhenUsed/>
    <w:qFormat/>
    <w:rsid w:val="004D1A15"/>
    <w:pPr>
      <w:spacing w:after="200"/>
    </w:pPr>
    <w:rPr>
      <w:i/>
      <w:iCs/>
      <w:color w:val="44546A" w:themeColor="text2"/>
      <w:sz w:val="18"/>
      <w:szCs w:val="18"/>
    </w:rPr>
  </w:style>
  <w:style w:type="paragraph" w:styleId="Revision">
    <w:name w:val="Revision"/>
    <w:hidden/>
    <w:uiPriority w:val="99"/>
    <w:semiHidden/>
    <w:rsid w:val="004D1A15"/>
    <w:pPr>
      <w:spacing w:after="0"/>
    </w:pPr>
  </w:style>
  <w:style w:type="paragraph" w:customStyle="1" w:styleId="EndNoteBibliographyTitle">
    <w:name w:val="EndNote Bibliography Title"/>
    <w:basedOn w:val="Normal"/>
    <w:link w:val="EndNoteBibliographyTitleChar"/>
    <w:rsid w:val="004D1A15"/>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4D1A15"/>
    <w:rPr>
      <w:rFonts w:cs="Times New Roman"/>
      <w:noProof/>
    </w:rPr>
  </w:style>
  <w:style w:type="paragraph" w:customStyle="1" w:styleId="EndNoteBibliography">
    <w:name w:val="EndNote Bibliography"/>
    <w:basedOn w:val="Normal"/>
    <w:link w:val="EndNoteBibliographyChar"/>
    <w:rsid w:val="004D1A15"/>
    <w:rPr>
      <w:rFonts w:cs="Times New Roman"/>
      <w:noProof/>
    </w:rPr>
  </w:style>
  <w:style w:type="character" w:customStyle="1" w:styleId="EndNoteBibliographyChar">
    <w:name w:val="EndNote Bibliography Char"/>
    <w:basedOn w:val="DefaultParagraphFont"/>
    <w:link w:val="EndNoteBibliography"/>
    <w:rsid w:val="004D1A15"/>
    <w:rPr>
      <w:rFonts w:cs="Times New Roman"/>
      <w:noProof/>
    </w:rPr>
  </w:style>
  <w:style w:type="character" w:styleId="UnresolvedMention">
    <w:name w:val="Unresolved Mention"/>
    <w:basedOn w:val="DefaultParagraphFont"/>
    <w:uiPriority w:val="99"/>
    <w:semiHidden/>
    <w:unhideWhenUsed/>
    <w:rsid w:val="004D1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if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7250</Words>
  <Characters>41327</Characters>
  <Application>Microsoft Office Word</Application>
  <DocSecurity>0</DocSecurity>
  <Lines>344</Lines>
  <Paragraphs>96</Paragraphs>
  <ScaleCrop>false</ScaleCrop>
  <Company/>
  <LinksUpToDate>false</LinksUpToDate>
  <CharactersWithSpaces>48481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Dhopeshwarkar</dc:creator>
  <cp:keywords/>
  <dc:description/>
  <cp:lastModifiedBy>Hanson, Kent</cp:lastModifiedBy>
  <cp:revision>2</cp:revision>
  <dcterms:created xsi:type="dcterms:W3CDTF">2024-11-01T13:47:00Z</dcterms:created>
  <dcterms:modified xsi:type="dcterms:W3CDTF">2024-11-01T13:47:00Z</dcterms:modified>
</cp:coreProperties>
</file>