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  <w:jc w:val="left"/>
      </w:pPr>
      <w:r>
        <w:t xml:space="preserve">I prefer: </w:t>
      </w:r>
    </w:p>
    <w:p>
      <w:pPr>
        <w:pStyle w:val="4"/>
        <w:spacing w:line="276" w:lineRule="auto"/>
        <w:jc w:val="left"/>
      </w:pPr>
      <w:r>
        <w:tab/>
      </w:r>
      <w:r>
        <w:rPr/>
        <w:sym w:font="Wingdings 2" w:char="F0A3"/>
      </w:r>
      <w:r>
        <w:t xml:space="preserve"> ORAL presentation</w:t>
      </w:r>
    </w:p>
    <w:p>
      <w:pPr>
        <w:pStyle w:val="4"/>
        <w:pBdr>
          <w:bottom w:val="single" w:color="auto" w:sz="6" w:space="1"/>
        </w:pBdr>
        <w:spacing w:line="276" w:lineRule="auto"/>
        <w:jc w:val="left"/>
      </w:pPr>
      <w:r>
        <w:tab/>
      </w:r>
      <w:r>
        <w:rPr/>
        <w:sym w:font="Wingdings 2" w:char="0052"/>
      </w:r>
      <w:r>
        <w:t xml:space="preserve"> POSTER presentation</w:t>
      </w:r>
    </w:p>
    <w:p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>
      <w:pPr>
        <w:pStyle w:val="3"/>
        <w:spacing w:line="240" w:lineRule="auto"/>
        <w:rPr>
          <w:rFonts w:ascii="Arial" w:hAnsi="Arial" w:eastAsia="Times New Roman" w:cs="Arial"/>
          <w:b/>
          <w:color w:val="000000"/>
          <w:kern w:val="0"/>
          <w:sz w:val="28"/>
          <w:szCs w:val="28"/>
          <w:lang w:val="en-US" w:eastAsia="en-US" w:bidi="ar-SA"/>
        </w:rPr>
      </w:pPr>
      <w:r>
        <w:rPr>
          <w:rFonts w:hint="eastAsia" w:ascii="Arial" w:hAnsi="Arial" w:eastAsia="Times New Roman" w:cs="Arial"/>
          <w:b/>
          <w:color w:val="000000"/>
          <w:kern w:val="0"/>
          <w:sz w:val="28"/>
          <w:szCs w:val="28"/>
          <w:lang w:val="en-US" w:eastAsia="en-US" w:bidi="ar-SA"/>
        </w:rPr>
        <w:t xml:space="preserve">Anti-inflammatory properties of Bacillus pumilus TS1 in LPS-induced inflammatory damage in broilers </w:t>
      </w:r>
    </w:p>
    <w:p>
      <w:pPr>
        <w:rPr>
          <w:rFonts w:ascii="Arial" w:hAnsi="Arial" w:cs="Arial"/>
          <w:b/>
          <w:color w:val="000000"/>
          <w:sz w:val="28"/>
          <w:szCs w:val="28"/>
        </w:rPr>
      </w:pPr>
    </w:p>
    <w:p>
      <w:pPr>
        <w:ind w:firstLine="280" w:firstLineChars="100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 xml:space="preserve">Yinkun Liu, </w:t>
      </w:r>
      <w:r>
        <w:rPr>
          <w:rFonts w:hint="eastAsia"/>
          <w:color w:val="000000"/>
          <w:sz w:val="28"/>
          <w:szCs w:val="28"/>
        </w:rPr>
        <w:t xml:space="preserve">Sirui Liu, </w:t>
      </w:r>
      <w:r>
        <w:rPr>
          <w:color w:val="000000"/>
          <w:sz w:val="28"/>
          <w:szCs w:val="28"/>
        </w:rPr>
        <w:t>Shuangshuang Wan, Zixin Li, Hao Li, Shu Tang*</w:t>
      </w:r>
    </w:p>
    <w:p>
      <w:pPr>
        <w:rPr>
          <w:color w:val="000000"/>
          <w:sz w:val="28"/>
          <w:szCs w:val="28"/>
        </w:rPr>
      </w:pPr>
    </w:p>
    <w:p>
      <w:pPr>
        <w:rPr>
          <w:rFonts w:hint="eastAsia"/>
          <w:color w:val="000000"/>
          <w:lang w:val="en-US" w:eastAsia="zh-CN"/>
        </w:rPr>
      </w:pPr>
      <w:r>
        <w:rPr>
          <w:color w:val="000000"/>
        </w:rPr>
        <w:t>College of Veterinary Medicine, Nanjing Agricultural University, Nanjing 210095, China</w:t>
      </w:r>
    </w:p>
    <w:p>
      <w:pPr>
        <w:rPr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Abstract:</w:t>
      </w:r>
    </w:p>
    <w:p>
      <w:pPr>
        <w:rPr>
          <w:color w:val="000000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Background/Objective: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investigated whether </w:t>
      </w:r>
      <w:r>
        <w:rPr>
          <w:rFonts w:ascii="Times New Roman" w:hAnsi="Times New Roman" w:cs="Times New Roman"/>
          <w:i/>
          <w:iCs/>
          <w:sz w:val="24"/>
          <w:szCs w:val="24"/>
        </w:rPr>
        <w:t>Bacillus pumilus</w:t>
      </w:r>
      <w:r>
        <w:rPr>
          <w:rFonts w:ascii="Times New Roman" w:hAnsi="Times New Roman" w:cs="Times New Roman"/>
          <w:sz w:val="24"/>
          <w:szCs w:val="24"/>
        </w:rPr>
        <w:t xml:space="preserve"> TS1 improves growth performance and alleviates inflammatory damage in broilers and explored its feasibility as an antibiotic alternative.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Methods:</w:t>
      </w:r>
      <w:r>
        <w:rPr>
          <w:rFonts w:ascii="Times New Roman" w:hAnsi="Times New Roman" w:cs="Times New Roman"/>
          <w:sz w:val="24"/>
          <w:szCs w:val="24"/>
        </w:rPr>
        <w:t>We divided 240 one-day-old AA308 white-finned broilers into five groups (</w:t>
      </w:r>
      <w:r>
        <w:rPr>
          <w:rFonts w:hint="eastAsia"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>, LPS, TS1L+LPS, TS1M+LPS, and TS1H+LPS). The TS1L+LPS, TS1M+LPS, and TS1H+LPS groups were fed TS1 for 15 days by gavage. The LPS, TS1L+LPS, TS1M+LPS, and TS1H+LPS groups were injected intraperitoneally with 1 mg/kg LPS for 3 days. We investigated the probiotic and anti-inflammatory activities by measuring body weight, sequencing the intestinal flora, and examining the structure of tissues</w:t>
      </w:r>
      <w:r>
        <w:rPr>
          <w:rFonts w:hint="eastAsia" w:ascii="Times New Roman" w:hAnsi="Times New Roman" w:cs="Times New Roman"/>
          <w:sz w:val="24"/>
          <w:szCs w:val="24"/>
        </w:rPr>
        <w:t xml:space="preserve"> by using pathological stain,</w:t>
      </w:r>
      <w:r>
        <w:rPr>
          <w:rFonts w:ascii="Times New Roman" w:hAnsi="Times New Roman" w:cs="Times New Roman"/>
          <w:sz w:val="24"/>
          <w:szCs w:val="24"/>
        </w:rPr>
        <w:t xml:space="preserve"> real-time PCR, Western blotting, and immunohistochemical detection. </w:t>
      </w:r>
      <w:r>
        <w:rPr>
          <w:color w:val="000000"/>
        </w:rPr>
        <w:t xml:space="preserve"> </w:t>
      </w:r>
    </w:p>
    <w:p>
      <w:pPr>
        <w:jc w:val="both"/>
        <w:rPr>
          <w:color w:val="000000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Results:</w:t>
      </w:r>
      <w:r>
        <w:rPr>
          <w:rFonts w:ascii="Times New Roman" w:hAnsi="Times New Roman" w:cs="Times New Roman"/>
          <w:sz w:val="24"/>
          <w:szCs w:val="24"/>
        </w:rPr>
        <w:t xml:space="preserve">TS1 </w:t>
      </w:r>
      <w:r>
        <w:rPr>
          <w:rFonts w:hint="eastAsia" w:ascii="Times New Roman" w:hAnsi="Times New Roman" w:cs="Times New Roman"/>
          <w:sz w:val="24"/>
          <w:szCs w:val="24"/>
        </w:rPr>
        <w:t xml:space="preserve">could </w:t>
      </w:r>
      <w:r>
        <w:rPr>
          <w:rFonts w:ascii="Times New Roman" w:hAnsi="Times New Roman" w:cs="Times New Roman"/>
          <w:sz w:val="24"/>
          <w:szCs w:val="24"/>
        </w:rPr>
        <w:t>improve growth performance and intestinal flora composition</w:t>
      </w:r>
      <w:r>
        <w:rPr>
          <w:rFonts w:hint="eastAsia" w:ascii="Times New Roman" w:hAnsi="Times New Roman" w:cs="Times New Roman"/>
          <w:sz w:val="24"/>
          <w:szCs w:val="24"/>
        </w:rPr>
        <w:t xml:space="preserve">, also </w:t>
      </w:r>
      <w:r>
        <w:rPr>
          <w:rFonts w:ascii="Times New Roman" w:hAnsi="Times New Roman" w:cs="Times New Roman"/>
          <w:sz w:val="24"/>
          <w:szCs w:val="24"/>
        </w:rPr>
        <w:t xml:space="preserve">reduced </w:t>
      </w:r>
      <w:r>
        <w:rPr>
          <w:rFonts w:hint="eastAsia"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organ damage and inflammatory cytokine expression</w:t>
      </w:r>
      <w:r>
        <w:rPr>
          <w:rFonts w:hint="eastAsia" w:ascii="Times New Roman" w:hAnsi="Times New Roman" w:cs="Times New Roman"/>
          <w:sz w:val="24"/>
          <w:szCs w:val="24"/>
        </w:rPr>
        <w:t xml:space="preserve"> in serum and organs. The mechanism may through several pathways including upregulating HSP60,70 expression,</w:t>
      </w:r>
      <w:r>
        <w:rPr>
          <w:rFonts w:ascii="Times New Roman" w:hAnsi="Times New Roman" w:cs="Times New Roman"/>
          <w:sz w:val="24"/>
          <w:szCs w:val="24"/>
        </w:rPr>
        <w:t xml:space="preserve"> targeting and regulating Nrf2 and P38 MAPK and regulating NF-κB and HO-1 expression at the transcriptional level</w:t>
      </w:r>
      <w:r>
        <w:rPr>
          <w:rFonts w:hint="eastAsia" w:ascii="Times New Roman" w:hAnsi="Times New Roman" w:cs="Times New Roman"/>
          <w:sz w:val="24"/>
          <w:szCs w:val="24"/>
        </w:rPr>
        <w:t xml:space="preserve"> in different organs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Conclusion:</w:t>
      </w:r>
      <w:r>
        <w:rPr>
          <w:color w:val="000000"/>
        </w:rPr>
        <w:t xml:space="preserve"> </w:t>
      </w:r>
      <w:r>
        <w:rPr>
          <w:rFonts w:ascii="Times New Roman" w:hAnsi="Times New Roman"/>
          <w:i/>
          <w:iCs/>
          <w:sz w:val="24"/>
        </w:rPr>
        <w:t>Bacillus pumilus</w:t>
      </w:r>
      <w:r>
        <w:rPr>
          <w:rFonts w:ascii="Times New Roman" w:hAnsi="Times New Roman"/>
          <w:sz w:val="24"/>
        </w:rPr>
        <w:t xml:space="preserve"> TS1 alleviated Inflammatory injury caused by </w:t>
      </w:r>
      <w:r>
        <w:rPr>
          <w:rFonts w:hint="eastAsia" w:ascii="Times New Roman" w:hAnsi="Times New Roman"/>
          <w:sz w:val="24"/>
        </w:rPr>
        <w:t>LPS</w:t>
      </w:r>
      <w:r>
        <w:rPr>
          <w:rFonts w:ascii="Times New Roman" w:hAnsi="Times New Roman"/>
          <w:sz w:val="24"/>
        </w:rPr>
        <w:t xml:space="preserve"> and attenuated the inflammatory response in broilers, and these effects were achieved through MAPK</w:t>
      </w:r>
      <w:r>
        <w:rPr>
          <w:rFonts w:hint="eastAsia" w:ascii="Times New Roman" w:hAnsi="Times New Roman"/>
          <w:sz w:val="24"/>
        </w:rPr>
        <w:t xml:space="preserve"> and Nrf2</w:t>
      </w:r>
      <w:r>
        <w:rPr>
          <w:rFonts w:ascii="Times New Roman" w:hAnsi="Times New Roman"/>
          <w:sz w:val="24"/>
        </w:rPr>
        <w:t xml:space="preserve"> regulation of HSPs/</w:t>
      </w:r>
      <w:r>
        <w:rPr>
          <w:rFonts w:hint="eastAsia" w:ascii="Times New Roman" w:hAnsi="Times New Roman"/>
          <w:sz w:val="24"/>
        </w:rPr>
        <w:t>HO-1</w:t>
      </w:r>
      <w:r>
        <w:rPr>
          <w:rFonts w:hint="eastAsia" w:ascii="Times New Roman" w:hAnsi="Times New Roman" w:cs="Times New Roman"/>
          <w:sz w:val="24"/>
          <w:szCs w:val="24"/>
        </w:rPr>
        <w:t xml:space="preserve"> in different organs</w:t>
      </w:r>
      <w:r>
        <w:rPr>
          <w:rFonts w:hint="eastAsia" w:ascii="Times New Roman" w:hAnsi="Times New Roman"/>
          <w:sz w:val="24"/>
        </w:rPr>
        <w:t>.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 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/>
        </w:rPr>
        <w:t>Keywords: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Bacillus pumilus</w:t>
      </w:r>
      <w:r>
        <w:rPr>
          <w:rFonts w:ascii="Times New Roman" w:hAnsi="Times New Roman" w:cs="Times New Roman"/>
          <w:sz w:val="24"/>
          <w:szCs w:val="24"/>
        </w:rPr>
        <w:t xml:space="preserve">; HSPs; </w:t>
      </w:r>
      <w:r>
        <w:rPr>
          <w:rFonts w:ascii="Times New Roman" w:hAnsi="Times New Roman" w:eastAsia="楷体" w:cs="Times New Roman"/>
          <w:bCs/>
          <w:sz w:val="24"/>
          <w:szCs w:val="24"/>
        </w:rPr>
        <w:t xml:space="preserve">P38 MAPK; </w:t>
      </w:r>
      <w:r>
        <w:rPr>
          <w:rFonts w:ascii="Times New Roman" w:hAnsi="Times New Roman" w:cs="Times New Roman"/>
          <w:sz w:val="24"/>
          <w:szCs w:val="24"/>
        </w:rPr>
        <w:t xml:space="preserve">inflammatory </w:t>
      </w:r>
    </w:p>
    <w:p>
      <w:pPr>
        <w:jc w:val="both"/>
        <w:rPr>
          <w:color w:val="000000"/>
        </w:rPr>
      </w:pPr>
    </w:p>
    <w:sectPr>
      <w:pgSz w:w="11909" w:h="16834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JjZWQ1YWRiNGFhNmQ0NzZiNzk3ZDI2MWVhZDA1NzUifQ=="/>
  </w:docVars>
  <w:rsids>
    <w:rsidRoot w:val="0057539E"/>
    <w:rsid w:val="00275FCC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96649"/>
    <w:rsid w:val="33771E57"/>
    <w:rsid w:val="739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outlineLvl w:val="0"/>
    </w:pPr>
    <w:rPr>
      <w:b/>
      <w:color w:val="000000"/>
    </w:rPr>
  </w:style>
  <w:style w:type="paragraph" w:styleId="3">
    <w:name w:val="heading 4"/>
    <w:basedOn w:val="1"/>
    <w:next w:val="1"/>
    <w:qFormat/>
    <w:uiPriority w:val="0"/>
    <w:pPr>
      <w:keepNext/>
      <w:widowControl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3"/>
    </w:pPr>
    <w:rPr>
      <w:rFonts w:ascii="Times New Roman" w:hAnsi="Times New Roman" w:eastAsia="宋体" w:cs="Times New Roman"/>
      <w:b/>
      <w:kern w:val="0"/>
      <w:sz w:val="24"/>
      <w:szCs w:val="20"/>
      <w:lang w:val="zh-CN" w:eastAsia="en-GB"/>
    </w:rPr>
  </w:style>
  <w:style w:type="character" w:default="1" w:styleId="6">
    <w:name w:val="Default Paragraph Font"/>
    <w:autoRedefine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jc w:val="center"/>
    </w:pPr>
    <w:rPr>
      <w:b/>
      <w:sz w:val="28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Copernicus Gesellschaft e.V.</Company>
  <Pages>1</Pages>
  <Words>172</Words>
  <Characters>981</Characters>
  <Lines>8</Lines>
  <Paragraphs>2</Paragraphs>
  <TotalTime>0</TotalTime>
  <ScaleCrop>false</ScaleCrop>
  <LinksUpToDate>false</LinksUpToDate>
  <CharactersWithSpaces>1151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2024-01-05T02:35:00Z</dcterms:created>
  <dc:creator>Sergey Malugin</dc:creator>
  <dc:description>(c) Copernicus Gesellschaft e.V. 2004</dc:description>
  <cp:lastModifiedBy>唐姝</cp:lastModifiedBy>
  <dcterms:modified xsi:type="dcterms:W3CDTF">2024-05-15T01:53:15Z</dcterms:modified>
  <dc:title>Abstract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EE28023D30A044AEA845619B6C604219_13</vt:lpwstr>
  </property>
</Properties>
</file>