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Nzov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Nzov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4A3AFFE4" w:rsidR="0057539E" w:rsidRDefault="00275FCC" w:rsidP="00275FCC">
      <w:pPr>
        <w:pStyle w:val="Nzov"/>
        <w:pBdr>
          <w:bottom w:val="single" w:sz="6" w:space="1" w:color="auto"/>
        </w:pBdr>
        <w:spacing w:line="276" w:lineRule="auto"/>
        <w:jc w:val="left"/>
      </w:pPr>
      <w:r>
        <w:tab/>
      </w:r>
      <w:r w:rsidR="00301F3B">
        <w:sym w:font="Wingdings 2" w:char="F0CE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Nzov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42E075F4" w:rsidR="0057539E" w:rsidRDefault="00301F3B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01F3B">
        <w:rPr>
          <w:rFonts w:ascii="Arial" w:hAnsi="Arial" w:cs="Arial"/>
          <w:b/>
          <w:color w:val="000000"/>
          <w:sz w:val="28"/>
          <w:szCs w:val="28"/>
        </w:rPr>
        <w:t xml:space="preserve">Antimicrobial resistance in </w:t>
      </w:r>
      <w:r w:rsidRPr="009D5EC8">
        <w:rPr>
          <w:rFonts w:ascii="Arial" w:hAnsi="Arial" w:cs="Arial"/>
          <w:b/>
          <w:i/>
          <w:color w:val="000000"/>
          <w:sz w:val="28"/>
          <w:szCs w:val="28"/>
        </w:rPr>
        <w:t>E. coli</w:t>
      </w:r>
      <w:r w:rsidRPr="00301F3B">
        <w:rPr>
          <w:rFonts w:ascii="Arial" w:hAnsi="Arial" w:cs="Arial"/>
          <w:b/>
          <w:color w:val="000000"/>
          <w:sz w:val="28"/>
          <w:szCs w:val="28"/>
        </w:rPr>
        <w:t xml:space="preserve"> isolates from healthy and dogs </w:t>
      </w:r>
      <w:proofErr w:type="spellStart"/>
      <w:r w:rsidRPr="00301F3B">
        <w:rPr>
          <w:rFonts w:ascii="Arial" w:hAnsi="Arial" w:cs="Arial"/>
          <w:b/>
          <w:color w:val="000000"/>
          <w:sz w:val="28"/>
          <w:szCs w:val="28"/>
        </w:rPr>
        <w:t>hospitalised</w:t>
      </w:r>
      <w:proofErr w:type="spellEnd"/>
      <w:r w:rsidRPr="00301F3B">
        <w:rPr>
          <w:rFonts w:ascii="Arial" w:hAnsi="Arial" w:cs="Arial"/>
          <w:b/>
          <w:color w:val="000000"/>
          <w:sz w:val="28"/>
          <w:szCs w:val="28"/>
        </w:rPr>
        <w:t xml:space="preserve"> in Slovak veterinary clinics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34D26F74" w:rsidR="00687CC2" w:rsidRPr="00687CC2" w:rsidRDefault="00301F3B">
      <w:pPr>
        <w:rPr>
          <w:color w:val="000000"/>
          <w:sz w:val="28"/>
          <w:szCs w:val="28"/>
        </w:rPr>
      </w:pPr>
      <w:proofErr w:type="spellStart"/>
      <w:r w:rsidRPr="00301F3B">
        <w:rPr>
          <w:color w:val="000000"/>
          <w:sz w:val="28"/>
          <w:szCs w:val="28"/>
        </w:rPr>
        <w:t>Gregová</w:t>
      </w:r>
      <w:proofErr w:type="spellEnd"/>
      <w:r w:rsidRPr="00301F3B">
        <w:rPr>
          <w:color w:val="000000"/>
          <w:sz w:val="28"/>
          <w:szCs w:val="28"/>
        </w:rPr>
        <w:t xml:space="preserve"> G</w:t>
      </w:r>
      <w:r>
        <w:rPr>
          <w:color w:val="000000"/>
          <w:sz w:val="28"/>
          <w:szCs w:val="28"/>
        </w:rPr>
        <w:t>abriela</w:t>
      </w:r>
      <w:r w:rsidRPr="00687CC2">
        <w:rPr>
          <w:color w:val="000000"/>
          <w:sz w:val="28"/>
          <w:szCs w:val="28"/>
          <w:vertAlign w:val="superscript"/>
        </w:rPr>
        <w:t xml:space="preserve"> 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 w:rsidRPr="00301F3B">
        <w:rPr>
          <w:color w:val="000000"/>
          <w:sz w:val="28"/>
          <w:szCs w:val="28"/>
        </w:rPr>
        <w:t>Szabóová</w:t>
      </w:r>
      <w:proofErr w:type="spellEnd"/>
      <w:r w:rsidRPr="00301F3B">
        <w:rPr>
          <w:color w:val="000000"/>
          <w:sz w:val="28"/>
          <w:szCs w:val="28"/>
        </w:rPr>
        <w:t xml:space="preserve"> T</w:t>
      </w:r>
      <w:r>
        <w:rPr>
          <w:color w:val="000000"/>
          <w:sz w:val="28"/>
          <w:szCs w:val="28"/>
        </w:rPr>
        <w:t>atiana</w:t>
      </w:r>
      <w:r>
        <w:rPr>
          <w:color w:val="000000"/>
          <w:sz w:val="28"/>
          <w:szCs w:val="28"/>
          <w:vertAlign w:val="superscript"/>
        </w:rPr>
        <w:t>1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 w:rsidRPr="00301F3B">
        <w:rPr>
          <w:color w:val="000000"/>
          <w:sz w:val="28"/>
          <w:szCs w:val="28"/>
        </w:rPr>
        <w:t>Dančová</w:t>
      </w:r>
      <w:proofErr w:type="spellEnd"/>
      <w:r w:rsidRPr="00301F3B">
        <w:rPr>
          <w:color w:val="000000"/>
          <w:sz w:val="28"/>
          <w:szCs w:val="28"/>
        </w:rPr>
        <w:t xml:space="preserve"> N</w:t>
      </w:r>
      <w:r>
        <w:rPr>
          <w:color w:val="000000"/>
          <w:sz w:val="28"/>
          <w:szCs w:val="28"/>
        </w:rPr>
        <w:t>ikola</w:t>
      </w:r>
      <w:r w:rsidRPr="00301F3B">
        <w:rPr>
          <w:color w:val="000000"/>
          <w:sz w:val="28"/>
          <w:szCs w:val="28"/>
          <w:vertAlign w:val="superscript"/>
        </w:rPr>
        <w:t>1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18C0F8B7" w14:textId="32A4E561" w:rsidR="00275FCC" w:rsidRDefault="00687CC2" w:rsidP="00301F3B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bookmarkStart w:id="0" w:name="_GoBack"/>
      <w:bookmarkEnd w:id="0"/>
      <w:r w:rsidR="001C4E18">
        <w:fldChar w:fldCharType="begin"/>
      </w:r>
      <w:r w:rsidR="001C4E18">
        <w:instrText xml:space="preserve"> HYPERLINK "mailto:gabriela.gregova@uvlf.sk" </w:instrText>
      </w:r>
      <w:r w:rsidR="001C4E18">
        <w:fldChar w:fldCharType="separate"/>
      </w:r>
      <w:r w:rsidR="00301F3B" w:rsidRPr="00CB6D5A">
        <w:rPr>
          <w:rStyle w:val="Hypertextovprepojenie"/>
        </w:rPr>
        <w:t>gabriela.gregova@uvlf.sk</w:t>
      </w:r>
      <w:r w:rsidR="001C4E18">
        <w:rPr>
          <w:rStyle w:val="Hypertextovprepojenie"/>
        </w:rPr>
        <w:fldChar w:fldCharType="end"/>
      </w:r>
      <w:r w:rsidR="00301F3B">
        <w:t xml:space="preserve">, </w:t>
      </w:r>
      <w:r w:rsidR="00301F3B" w:rsidRPr="00113906">
        <w:t>The University of Veterinary Medicine and Pharmacy in Košice, Department of public veterinary medicine and animal welfare, Košice, Slovakia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28E727AB" w:rsidR="0054438F" w:rsidRDefault="00275FCC" w:rsidP="0054438F">
      <w:pPr>
        <w:jc w:val="both"/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4E0B77">
        <w:t>Antimicrobial resistance is of increasing concern worldwide. The usage of antimicrobial drugs in veterinary medicine has increased in the last few decades</w:t>
      </w:r>
      <w:r w:rsidR="00610E40">
        <w:t>.</w:t>
      </w:r>
    </w:p>
    <w:p w14:paraId="73C7E7E1" w14:textId="77777777" w:rsidR="004E0B77" w:rsidRDefault="004E0B77" w:rsidP="0054438F">
      <w:pPr>
        <w:jc w:val="both"/>
        <w:rPr>
          <w:color w:val="000000"/>
        </w:rPr>
      </w:pPr>
    </w:p>
    <w:p w14:paraId="1A771BE8" w14:textId="65AAB358" w:rsidR="0054438F" w:rsidRDefault="00275FCC" w:rsidP="0054438F">
      <w:pPr>
        <w:jc w:val="both"/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4E0B77">
        <w:t xml:space="preserve">In our study, we analyzed 300 </w:t>
      </w:r>
      <w:r w:rsidR="004E0B77">
        <w:rPr>
          <w:rStyle w:val="Zvraznenie"/>
        </w:rPr>
        <w:t>E. coli</w:t>
      </w:r>
      <w:r w:rsidR="004E0B77">
        <w:t xml:space="preserve"> isolates from fecal samples from 30 healthy dogs and 50 patients at a surgery department of a veterinary clinic in Slovakia.</w:t>
      </w:r>
      <w:r w:rsidR="004A4F82">
        <w:t xml:space="preserve"> </w:t>
      </w:r>
      <w:r w:rsidR="004A4F82" w:rsidRPr="004A4F82">
        <w:t xml:space="preserve">After the identification of the </w:t>
      </w:r>
      <w:r w:rsidR="004A4F82" w:rsidRPr="004A4F82">
        <w:rPr>
          <w:i/>
        </w:rPr>
        <w:t>E. coli</w:t>
      </w:r>
      <w:r w:rsidR="004A4F82" w:rsidRPr="004A4F82">
        <w:t xml:space="preserve"> isolates, the MIC was </w:t>
      </w:r>
      <w:proofErr w:type="spellStart"/>
      <w:r w:rsidR="004A4F82" w:rsidRPr="004A4F82">
        <w:t>analysed</w:t>
      </w:r>
      <w:proofErr w:type="spellEnd"/>
      <w:r w:rsidR="004A4F82" w:rsidRPr="004A4F82">
        <w:t xml:space="preserve"> by </w:t>
      </w:r>
      <w:proofErr w:type="spellStart"/>
      <w:r w:rsidR="004A4F82" w:rsidRPr="004A4F82">
        <w:t>microdilution</w:t>
      </w:r>
      <w:proofErr w:type="spellEnd"/>
      <w:r w:rsidR="004A4F82" w:rsidRPr="004A4F82">
        <w:t xml:space="preserve"> method and evaluated by MIDI</w:t>
      </w:r>
      <w:r w:rsidR="004A4F82">
        <w:t xml:space="preserve">TECH </w:t>
      </w:r>
      <w:r w:rsidR="004A4F82" w:rsidRPr="004A4F82">
        <w:t>software, which evaluated also the mechanism of resistance.</w:t>
      </w:r>
    </w:p>
    <w:p w14:paraId="685ED525" w14:textId="77777777" w:rsidR="004E0B77" w:rsidRDefault="004E0B77" w:rsidP="0054438F">
      <w:pPr>
        <w:jc w:val="both"/>
        <w:rPr>
          <w:color w:val="000000"/>
        </w:rPr>
      </w:pPr>
    </w:p>
    <w:p w14:paraId="1D161190" w14:textId="70023538" w:rsidR="009D5EC8" w:rsidRDefault="00275FCC" w:rsidP="00191006">
      <w:pPr>
        <w:jc w:val="both"/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191006">
        <w:t xml:space="preserve">We found high resistance to ampicillin in both healthy dogs (33.3% of isolates) and in patients (66% of isolates). </w:t>
      </w:r>
      <w:proofErr w:type="gramStart"/>
      <w:r w:rsidR="00191006">
        <w:t>26.66%</w:t>
      </w:r>
      <w:proofErr w:type="gramEnd"/>
      <w:r w:rsidR="00191006">
        <w:t xml:space="preserve"> of isolates from healthy dogs and 66% of isolates from clinic patients were resistant to tetracycline. In treated dogs, MIC analysis also showed resistance to cefuroxime (30%) and cefotaxime (32%). The results of treated dogs showed MIC levels for tetracycline (9.9 mg/L), ampicillin (17.8 mg/L), cefuroxime (</w:t>
      </w:r>
      <w:r w:rsidR="007A20A7">
        <w:t>9.4 mg/L</w:t>
      </w:r>
      <w:r w:rsidR="00191006">
        <w:t>) and cefotaxime (</w:t>
      </w:r>
      <w:r w:rsidR="007A20A7">
        <w:t>12</w:t>
      </w:r>
      <w:r w:rsidR="007A20A7" w:rsidRPr="007A20A7">
        <w:t xml:space="preserve"> </w:t>
      </w:r>
      <w:r w:rsidR="007A20A7">
        <w:t>mg/L</w:t>
      </w:r>
      <w:r w:rsidR="00191006">
        <w:t>) compared to clinical breakpoints.  </w:t>
      </w:r>
      <w:r w:rsidR="00191006" w:rsidRPr="007A20A7">
        <w:rPr>
          <w:i/>
        </w:rPr>
        <w:t>E. coli</w:t>
      </w:r>
      <w:r w:rsidR="00191006">
        <w:t xml:space="preserve"> strains isolated from healthy dogs were 100% susceptible to fourteen of the antibiotics evaluated, while strains isolated from patients only showed 100% susceptibility to ertapenem, meropenem, and amikacin.</w:t>
      </w:r>
      <w:r w:rsidR="007A20A7">
        <w:t xml:space="preserve"> </w:t>
      </w:r>
      <w:r w:rsidR="00191006">
        <w:t>In our study, we found a mechanism of multi</w:t>
      </w:r>
      <w:r w:rsidR="007A20A7">
        <w:t xml:space="preserve">drug </w:t>
      </w:r>
      <w:proofErr w:type="spellStart"/>
      <w:r w:rsidR="00191006">
        <w:t>resistence</w:t>
      </w:r>
      <w:proofErr w:type="spellEnd"/>
      <w:r w:rsidR="00191006">
        <w:t xml:space="preserve"> </w:t>
      </w:r>
      <w:r w:rsidR="007A20A7">
        <w:t xml:space="preserve">(MDR) </w:t>
      </w:r>
      <w:r w:rsidR="00191006">
        <w:t xml:space="preserve">in 33% of the isolates from patients at the clinic but also in healthy dogs (33.3%). The ESBL mechanism of resistance </w:t>
      </w:r>
      <w:proofErr w:type="gramStart"/>
      <w:r w:rsidR="00191006">
        <w:t>was shown</w:t>
      </w:r>
      <w:proofErr w:type="gramEnd"/>
      <w:r w:rsidR="00191006">
        <w:t xml:space="preserve"> in 6% of the </w:t>
      </w:r>
      <w:r w:rsidR="00191006" w:rsidRPr="004A4F82">
        <w:rPr>
          <w:i/>
        </w:rPr>
        <w:t>E. coli</w:t>
      </w:r>
      <w:r w:rsidR="00191006">
        <w:t xml:space="preserve"> strains, and the high number of isolates that showed MDR cau</w:t>
      </w:r>
      <w:r w:rsidR="00610E40">
        <w:t xml:space="preserve">ses great concern as β-lactams </w:t>
      </w:r>
      <w:r w:rsidR="00191006">
        <w:t xml:space="preserve">are used extensively in both veterinary medicine. </w:t>
      </w:r>
    </w:p>
    <w:p w14:paraId="0DCAB488" w14:textId="77777777" w:rsidR="00191006" w:rsidRDefault="00191006" w:rsidP="00191006">
      <w:pPr>
        <w:jc w:val="both"/>
        <w:rPr>
          <w:lang w:val="en-GB"/>
        </w:rPr>
      </w:pPr>
    </w:p>
    <w:p w14:paraId="1FDCB3DB" w14:textId="77777777" w:rsidR="00610E40" w:rsidRDefault="00275FCC" w:rsidP="0054438F">
      <w:pPr>
        <w:jc w:val="both"/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610E40">
        <w:t>Our results suggest that dogs could be a potential reservoir of resistance genes. Administration of antimicrobials has an effect on resistance; therefore, selection, dosage, and optimal duration of antibiotic therapy are essential.</w:t>
      </w:r>
    </w:p>
    <w:p w14:paraId="3E26C28B" w14:textId="77777777" w:rsidR="00610E40" w:rsidRDefault="00610E40" w:rsidP="0054438F">
      <w:pPr>
        <w:jc w:val="both"/>
      </w:pPr>
    </w:p>
    <w:p w14:paraId="2CFF491B" w14:textId="70EC8E94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9D5EC8" w:rsidRPr="009D5EC8">
        <w:rPr>
          <w:i/>
          <w:color w:val="000000"/>
        </w:rPr>
        <w:t>E. coli</w:t>
      </w:r>
      <w:r w:rsidR="009D5EC8">
        <w:rPr>
          <w:color w:val="000000"/>
        </w:rPr>
        <w:t>, antimicrobial resistance, dogs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191006"/>
    <w:rsid w:val="001C4E18"/>
    <w:rsid w:val="00275FCC"/>
    <w:rsid w:val="00301F3B"/>
    <w:rsid w:val="00380081"/>
    <w:rsid w:val="003E7C21"/>
    <w:rsid w:val="00421221"/>
    <w:rsid w:val="004A3688"/>
    <w:rsid w:val="004A4F82"/>
    <w:rsid w:val="004E0B77"/>
    <w:rsid w:val="0054438F"/>
    <w:rsid w:val="0057539E"/>
    <w:rsid w:val="00610E40"/>
    <w:rsid w:val="00687CC2"/>
    <w:rsid w:val="007A20A7"/>
    <w:rsid w:val="007F6889"/>
    <w:rsid w:val="00857999"/>
    <w:rsid w:val="009D5EC8"/>
    <w:rsid w:val="00A8666D"/>
    <w:rsid w:val="00DB5C59"/>
    <w:rsid w:val="00E806AF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bidi="ar-SA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sz w:val="28"/>
    </w:rPr>
  </w:style>
  <w:style w:type="character" w:styleId="Hypertextovprepojenie">
    <w:name w:val="Hyperlink"/>
    <w:basedOn w:val="Predvolenpsmoodseku"/>
    <w:rPr>
      <w:color w:val="0000FF"/>
      <w:u w:val="single"/>
    </w:rPr>
  </w:style>
  <w:style w:type="character" w:styleId="PouitHypertextovPrepojenie">
    <w:name w:val="FollowedHyperlink"/>
    <w:basedOn w:val="Predvolenpsmoodseku"/>
    <w:rPr>
      <w:color w:val="800080"/>
      <w:u w:val="single"/>
    </w:rPr>
  </w:style>
  <w:style w:type="character" w:styleId="Zvraznenie">
    <w:name w:val="Emphasis"/>
    <w:basedOn w:val="Predvolenpsmoodseku"/>
    <w:uiPriority w:val="20"/>
    <w:qFormat/>
    <w:rsid w:val="004E0B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341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PC</cp:lastModifiedBy>
  <cp:revision>6</cp:revision>
  <dcterms:created xsi:type="dcterms:W3CDTF">2024-01-05T02:35:00Z</dcterms:created>
  <dcterms:modified xsi:type="dcterms:W3CDTF">2024-04-16T10:02:00Z</dcterms:modified>
</cp:coreProperties>
</file>