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A427" w14:textId="77777777" w:rsidR="00275FCC" w:rsidRDefault="004A3688" w:rsidP="00275FCC">
      <w:pPr>
        <w:pStyle w:val="Titel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69D3371F" w:rsidR="00275FCC" w:rsidRDefault="00275FCC" w:rsidP="00275FCC">
      <w:pPr>
        <w:pStyle w:val="Titel"/>
        <w:spacing w:line="276" w:lineRule="auto"/>
        <w:jc w:val="left"/>
      </w:pPr>
      <w:r>
        <w:tab/>
      </w:r>
    </w:p>
    <w:p w14:paraId="0B4F13E4" w14:textId="1482DFAA" w:rsidR="0057539E" w:rsidRDefault="00275FCC" w:rsidP="00275FCC">
      <w:pPr>
        <w:pStyle w:val="Titel"/>
        <w:pBdr>
          <w:bottom w:val="single" w:sz="6" w:space="1" w:color="auto"/>
        </w:pBdr>
        <w:spacing w:line="276" w:lineRule="auto"/>
        <w:jc w:val="left"/>
      </w:pPr>
      <w:r>
        <w:tab/>
      </w:r>
      <w:r w:rsidR="007D638A">
        <w:t>Oral</w:t>
      </w:r>
      <w:r w:rsidR="00687CC2">
        <w:t xml:space="preserve"> presentation</w:t>
      </w:r>
    </w:p>
    <w:p w14:paraId="20B82225" w14:textId="77777777" w:rsidR="00275FCC" w:rsidRPr="007F6889" w:rsidRDefault="00275FCC" w:rsidP="00275FCC">
      <w:pPr>
        <w:pStyle w:val="Titel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44BDBB2D" w:rsidR="0057539E" w:rsidRDefault="007D638A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B750C9">
        <w:rPr>
          <w:rFonts w:eastAsia="Calibri Light" w:cs="Calibri Light"/>
          <w:b/>
          <w:bCs/>
          <w:sz w:val="28"/>
          <w:szCs w:val="28"/>
        </w:rPr>
        <w:t xml:space="preserve">Detection of </w:t>
      </w:r>
      <w:r w:rsidRPr="007D638A">
        <w:rPr>
          <w:rFonts w:eastAsia="Calibri Light" w:cs="Calibri Light"/>
          <w:b/>
          <w:bCs/>
          <w:i/>
          <w:sz w:val="28"/>
          <w:szCs w:val="28"/>
        </w:rPr>
        <w:t xml:space="preserve">Enterococcus </w:t>
      </w:r>
      <w:proofErr w:type="spellStart"/>
      <w:r w:rsidRPr="007D638A">
        <w:rPr>
          <w:rFonts w:eastAsia="Calibri Light" w:cs="Calibri Light"/>
          <w:b/>
          <w:bCs/>
          <w:i/>
          <w:sz w:val="28"/>
          <w:szCs w:val="28"/>
        </w:rPr>
        <w:t>cecorum</w:t>
      </w:r>
      <w:proofErr w:type="spellEnd"/>
      <w:r w:rsidRPr="00B750C9">
        <w:rPr>
          <w:rFonts w:eastAsia="Calibri Light" w:cs="Calibri Light"/>
          <w:b/>
          <w:bCs/>
          <w:sz w:val="28"/>
          <w:szCs w:val="28"/>
        </w:rPr>
        <w:t xml:space="preserve"> to identify persistently contaminated locations using </w:t>
      </w:r>
      <w:proofErr w:type="spellStart"/>
      <w:r w:rsidRPr="00B750C9">
        <w:rPr>
          <w:rFonts w:eastAsia="Calibri Light" w:cs="Calibri Light"/>
          <w:b/>
          <w:bCs/>
          <w:sz w:val="28"/>
          <w:szCs w:val="28"/>
        </w:rPr>
        <w:t>faecal</w:t>
      </w:r>
      <w:proofErr w:type="spellEnd"/>
      <w:r w:rsidRPr="00B750C9">
        <w:rPr>
          <w:rFonts w:eastAsia="Calibri Light" w:cs="Calibri Light"/>
          <w:b/>
          <w:bCs/>
          <w:sz w:val="28"/>
          <w:szCs w:val="28"/>
        </w:rPr>
        <w:t xml:space="preserve"> and environmental samples in broiler houses of clinically healthy flocks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3CECF231" w:rsidR="00687CC2" w:rsidRPr="007D638A" w:rsidRDefault="007D638A">
      <w:pPr>
        <w:rPr>
          <w:color w:val="000000"/>
          <w:sz w:val="28"/>
          <w:szCs w:val="28"/>
          <w:vertAlign w:val="superscript"/>
          <w:lang w:val="de-DE"/>
        </w:rPr>
      </w:pPr>
      <w:r>
        <w:rPr>
          <w:color w:val="000000"/>
          <w:sz w:val="28"/>
          <w:szCs w:val="28"/>
          <w:lang w:val="de-DE"/>
        </w:rPr>
        <w:t>J. Tessin</w:t>
      </w:r>
      <w:r w:rsidR="007E59B5" w:rsidRPr="003B567E">
        <w:rPr>
          <w:color w:val="000000"/>
          <w:sz w:val="28"/>
          <w:szCs w:val="28"/>
          <w:vertAlign w:val="superscript"/>
          <w:lang w:val="de-DE"/>
        </w:rPr>
        <w:t>1</w:t>
      </w:r>
      <w:r>
        <w:rPr>
          <w:color w:val="000000"/>
          <w:sz w:val="28"/>
          <w:szCs w:val="28"/>
          <w:lang w:val="de-DE"/>
        </w:rPr>
        <w:t>, A. Jung</w:t>
      </w:r>
      <w:r w:rsidR="007E59B5" w:rsidRPr="003B567E">
        <w:rPr>
          <w:color w:val="000000"/>
          <w:sz w:val="28"/>
          <w:szCs w:val="28"/>
          <w:vertAlign w:val="superscript"/>
          <w:lang w:val="de-DE"/>
        </w:rPr>
        <w:t>2</w:t>
      </w:r>
      <w:r>
        <w:rPr>
          <w:color w:val="000000"/>
          <w:sz w:val="28"/>
          <w:szCs w:val="28"/>
          <w:lang w:val="de-DE"/>
        </w:rPr>
        <w:t>; A. Silberborth</w:t>
      </w:r>
      <w:r>
        <w:rPr>
          <w:color w:val="000000"/>
          <w:sz w:val="28"/>
          <w:szCs w:val="28"/>
          <w:vertAlign w:val="superscript"/>
          <w:lang w:val="de-DE"/>
        </w:rPr>
        <w:t>2</w:t>
      </w:r>
      <w:r>
        <w:rPr>
          <w:color w:val="000000"/>
          <w:sz w:val="28"/>
          <w:szCs w:val="28"/>
          <w:lang w:val="de-DE"/>
        </w:rPr>
        <w:t>; K. Rohn</w:t>
      </w:r>
      <w:r>
        <w:rPr>
          <w:color w:val="000000"/>
          <w:sz w:val="28"/>
          <w:szCs w:val="28"/>
          <w:vertAlign w:val="superscript"/>
          <w:lang w:val="de-DE"/>
        </w:rPr>
        <w:t>3</w:t>
      </w:r>
      <w:r>
        <w:rPr>
          <w:color w:val="000000"/>
          <w:sz w:val="28"/>
          <w:szCs w:val="28"/>
          <w:lang w:val="de-DE"/>
        </w:rPr>
        <w:t>; J. Schulz</w:t>
      </w:r>
      <w:r w:rsidR="007E59B5" w:rsidRPr="003B567E">
        <w:rPr>
          <w:color w:val="000000"/>
          <w:sz w:val="28"/>
          <w:szCs w:val="28"/>
          <w:vertAlign w:val="superscript"/>
          <w:lang w:val="de-DE"/>
        </w:rPr>
        <w:t>1</w:t>
      </w:r>
      <w:r>
        <w:rPr>
          <w:color w:val="000000"/>
          <w:sz w:val="28"/>
          <w:szCs w:val="28"/>
          <w:lang w:val="de-DE"/>
        </w:rPr>
        <w:t>, C. Visscher</w:t>
      </w:r>
      <w:r>
        <w:rPr>
          <w:color w:val="000000"/>
          <w:sz w:val="28"/>
          <w:szCs w:val="28"/>
          <w:vertAlign w:val="superscript"/>
          <w:lang w:val="de-DE"/>
        </w:rPr>
        <w:t>4</w:t>
      </w:r>
      <w:r>
        <w:rPr>
          <w:color w:val="000000"/>
          <w:sz w:val="28"/>
          <w:szCs w:val="28"/>
          <w:lang w:val="de-DE"/>
        </w:rPr>
        <w:t>, N. Kemper</w:t>
      </w:r>
      <w:r>
        <w:rPr>
          <w:color w:val="000000"/>
          <w:sz w:val="28"/>
          <w:szCs w:val="28"/>
          <w:vertAlign w:val="superscript"/>
          <w:lang w:val="de-DE"/>
        </w:rPr>
        <w:t>1</w:t>
      </w:r>
      <w:r w:rsidRPr="003B567E">
        <w:rPr>
          <w:color w:val="000000"/>
          <w:lang w:val="de-DE"/>
        </w:rPr>
        <w:t>*</w:t>
      </w:r>
    </w:p>
    <w:p w14:paraId="4D519D7C" w14:textId="6E9FE9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 present</w:t>
      </w:r>
      <w:r w:rsidR="008402FA">
        <w:rPr>
          <w:color w:val="000000"/>
        </w:rPr>
        <w:t>ing author</w:t>
      </w:r>
    </w:p>
    <w:p w14:paraId="4F138E70" w14:textId="2670D4DF" w:rsidR="00687CC2" w:rsidRPr="00687CC2" w:rsidRDefault="007D638A">
      <w:pPr>
        <w:rPr>
          <w:color w:val="000000"/>
        </w:rPr>
      </w:pPr>
      <w:r>
        <w:rPr>
          <w:color w:val="000000"/>
          <w:vertAlign w:val="superscript"/>
        </w:rPr>
        <w:t>1</w:t>
      </w:r>
      <w:r w:rsidR="007E59B5" w:rsidRPr="007E59B5">
        <w:rPr>
          <w:color w:val="000000"/>
        </w:rPr>
        <w:t xml:space="preserve">Institute for Animal Hygiene, Animal Welfare and Farm Animal </w:t>
      </w:r>
      <w:proofErr w:type="spellStart"/>
      <w:r w:rsidR="007E59B5" w:rsidRPr="007E59B5">
        <w:rPr>
          <w:color w:val="000000"/>
        </w:rPr>
        <w:t>Behaviour</w:t>
      </w:r>
      <w:proofErr w:type="spellEnd"/>
      <w:r w:rsidR="007E59B5" w:rsidRPr="007E59B5">
        <w:rPr>
          <w:color w:val="000000"/>
        </w:rPr>
        <w:t xml:space="preserve"> (ITTN), University of Veterinary Medicine Hannover, Foundation, Germany</w:t>
      </w:r>
    </w:p>
    <w:p w14:paraId="3C4C4A36" w14:textId="7F1211AB" w:rsid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="007D638A">
        <w:t xml:space="preserve">Clinic for Poultry, University of Veterinary Medicine Hannover, Foundation, </w:t>
      </w:r>
      <w:proofErr w:type="spellStart"/>
      <w:r w:rsidR="007D638A">
        <w:t>Buenteweg</w:t>
      </w:r>
      <w:proofErr w:type="spellEnd"/>
      <w:r w:rsidR="007D638A">
        <w:t xml:space="preserve"> 17, 30559 Hannover, Germany</w:t>
      </w:r>
    </w:p>
    <w:p w14:paraId="4FA219B4" w14:textId="6D3F3A2A" w:rsidR="00275FCC" w:rsidRDefault="00275FCC">
      <w:r>
        <w:rPr>
          <w:color w:val="000000"/>
          <w:vertAlign w:val="superscript"/>
        </w:rPr>
        <w:t>3</w:t>
      </w:r>
      <w:r w:rsidR="007D638A">
        <w:t xml:space="preserve">Institute for Biometry, Epidemiology and Information Processing, University of Veterinary Medicine Hannover, Foundation, </w:t>
      </w:r>
      <w:proofErr w:type="spellStart"/>
      <w:r w:rsidR="007D638A">
        <w:t>Buenteweg</w:t>
      </w:r>
      <w:proofErr w:type="spellEnd"/>
      <w:r w:rsidR="007D638A">
        <w:t xml:space="preserve"> 2, 30559 Hannover, Germany</w:t>
      </w:r>
    </w:p>
    <w:p w14:paraId="2DA7457C" w14:textId="6C1D2345" w:rsidR="007D638A" w:rsidRDefault="007D638A">
      <w:r>
        <w:rPr>
          <w:vertAlign w:val="superscript"/>
        </w:rPr>
        <w:t>4</w:t>
      </w:r>
      <w:r>
        <w:t xml:space="preserve">Institute of Animal Nutrition, University of Veterinary Medicine Hannover, Foundation, </w:t>
      </w:r>
      <w:proofErr w:type="spellStart"/>
      <w:r>
        <w:t>Bischofsholer</w:t>
      </w:r>
      <w:proofErr w:type="spellEnd"/>
      <w:r>
        <w:t xml:space="preserve"> </w:t>
      </w:r>
      <w:proofErr w:type="spellStart"/>
      <w:r>
        <w:t>Damm</w:t>
      </w:r>
      <w:proofErr w:type="spellEnd"/>
      <w:r>
        <w:t xml:space="preserve"> 15. </w:t>
      </w:r>
      <w:proofErr w:type="gramStart"/>
      <w:r>
        <w:t>30173</w:t>
      </w:r>
      <w:proofErr w:type="gramEnd"/>
      <w:r>
        <w:t xml:space="preserve"> Hannover, Germany</w:t>
      </w:r>
    </w:p>
    <w:p w14:paraId="34DF07AD" w14:textId="77777777" w:rsidR="007D638A" w:rsidRPr="007D638A" w:rsidRDefault="007D638A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0572BE18" w14:textId="57F4ED87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="007E59B5">
        <w:rPr>
          <w:color w:val="000000"/>
        </w:rPr>
        <w:t xml:space="preserve"> </w:t>
      </w:r>
      <w:r w:rsidR="007D638A" w:rsidRPr="007D638A">
        <w:rPr>
          <w:color w:val="000000"/>
        </w:rPr>
        <w:t>Since the first outbreaks of pathogenic</w:t>
      </w:r>
      <w:r w:rsidR="00B04AEB">
        <w:rPr>
          <w:color w:val="000000"/>
        </w:rPr>
        <w:t xml:space="preserve"> </w:t>
      </w:r>
      <w:r w:rsidR="007D638A" w:rsidRPr="007D638A">
        <w:rPr>
          <w:color w:val="000000"/>
        </w:rPr>
        <w:t xml:space="preserve">strains in 2002, </w:t>
      </w:r>
      <w:r w:rsidR="00B04AEB" w:rsidRPr="00B04AEB">
        <w:rPr>
          <w:i/>
          <w:color w:val="000000"/>
        </w:rPr>
        <w:t xml:space="preserve">E. </w:t>
      </w:r>
      <w:proofErr w:type="spellStart"/>
      <w:r w:rsidR="00B04AEB" w:rsidRPr="00B04AEB">
        <w:rPr>
          <w:i/>
          <w:color w:val="000000"/>
        </w:rPr>
        <w:t>cecorum</w:t>
      </w:r>
      <w:proofErr w:type="spellEnd"/>
      <w:r w:rsidR="00B04AEB">
        <w:rPr>
          <w:color w:val="000000"/>
        </w:rPr>
        <w:t xml:space="preserve"> has become one of the most</w:t>
      </w:r>
      <w:r w:rsidR="007D638A" w:rsidRPr="007D638A">
        <w:rPr>
          <w:color w:val="000000"/>
        </w:rPr>
        <w:t xml:space="preserve"> important</w:t>
      </w:r>
      <w:r w:rsidR="00B04AEB">
        <w:rPr>
          <w:color w:val="000000"/>
        </w:rPr>
        <w:t xml:space="preserve"> pathogens in the modern broiler</w:t>
      </w:r>
      <w:r w:rsidR="007D638A" w:rsidRPr="007D638A">
        <w:rPr>
          <w:color w:val="000000"/>
        </w:rPr>
        <w:t xml:space="preserve"> industry.</w:t>
      </w:r>
      <w:r w:rsidR="00B04AEB">
        <w:rPr>
          <w:color w:val="000000"/>
        </w:rPr>
        <w:t xml:space="preserve"> </w:t>
      </w:r>
      <w:r w:rsidR="00B04AEB" w:rsidRPr="00B04AEB">
        <w:rPr>
          <w:color w:val="000000"/>
        </w:rPr>
        <w:t xml:space="preserve">Despite increasing knowledge about the pathogen, little </w:t>
      </w:r>
      <w:proofErr w:type="gramStart"/>
      <w:r w:rsidR="00B04AEB" w:rsidRPr="00B04AEB">
        <w:rPr>
          <w:color w:val="000000"/>
        </w:rPr>
        <w:t>is known</w:t>
      </w:r>
      <w:proofErr w:type="gramEnd"/>
      <w:r w:rsidR="00B04AEB" w:rsidRPr="00B04AEB">
        <w:rPr>
          <w:color w:val="000000"/>
        </w:rPr>
        <w:t xml:space="preserve"> about the epidemiology and the associated </w:t>
      </w:r>
      <w:r w:rsidR="00B04AEB">
        <w:rPr>
          <w:color w:val="000000"/>
        </w:rPr>
        <w:t>transmission sources.</w:t>
      </w:r>
    </w:p>
    <w:p w14:paraId="4AE3C05E" w14:textId="77777777" w:rsidR="007D638A" w:rsidRDefault="007D638A" w:rsidP="0054438F">
      <w:pPr>
        <w:jc w:val="both"/>
        <w:rPr>
          <w:color w:val="000000"/>
        </w:rPr>
      </w:pPr>
    </w:p>
    <w:p w14:paraId="1A771BE8" w14:textId="750D739E" w:rsidR="0054438F" w:rsidRDefault="00275FCC" w:rsidP="0054438F">
      <w:pPr>
        <w:jc w:val="both"/>
        <w:rPr>
          <w:rStyle w:val="Ohne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B04AEB">
        <w:rPr>
          <w:rStyle w:val="Ohne"/>
        </w:rPr>
        <w:t xml:space="preserve">Samples from different locations were collected from two broiler farms in Germany over </w:t>
      </w:r>
      <w:proofErr w:type="gramStart"/>
      <w:r w:rsidR="00B04AEB">
        <w:rPr>
          <w:rStyle w:val="Ohne"/>
        </w:rPr>
        <w:t>a total of six</w:t>
      </w:r>
      <w:proofErr w:type="gramEnd"/>
      <w:r w:rsidR="00B04AEB">
        <w:rPr>
          <w:rStyle w:val="Ohne"/>
        </w:rPr>
        <w:t xml:space="preserve"> production cycles. Samples </w:t>
      </w:r>
      <w:proofErr w:type="gramStart"/>
      <w:r w:rsidR="00B04AEB">
        <w:rPr>
          <w:rStyle w:val="Ohne"/>
        </w:rPr>
        <w:t>were collected</w:t>
      </w:r>
      <w:proofErr w:type="gramEnd"/>
      <w:r w:rsidR="00B04AEB">
        <w:rPr>
          <w:rStyle w:val="Ohne"/>
        </w:rPr>
        <w:t xml:space="preserve"> at days 1, 5, 10, 15, 21, 27, 34, 41 post-hatch and after cleaning and disinfection (C&amp;D). </w:t>
      </w:r>
      <w:proofErr w:type="gramStart"/>
      <w:r w:rsidR="00B04AEB">
        <w:rPr>
          <w:rStyle w:val="Ohne"/>
        </w:rPr>
        <w:t>A total of 1</w:t>
      </w:r>
      <w:r w:rsidR="00620AE5">
        <w:rPr>
          <w:rStyle w:val="Ohne"/>
        </w:rPr>
        <w:t>,</w:t>
      </w:r>
      <w:r w:rsidR="00B04AEB">
        <w:rPr>
          <w:rStyle w:val="Ohne"/>
        </w:rPr>
        <w:t>017</w:t>
      </w:r>
      <w:proofErr w:type="gramEnd"/>
      <w:r w:rsidR="00B04AEB">
        <w:rPr>
          <w:rStyle w:val="Ohne"/>
        </w:rPr>
        <w:t xml:space="preserve"> samples were collected from 25 different locations on the farms. </w:t>
      </w:r>
      <w:r w:rsidR="000031BD">
        <w:rPr>
          <w:rStyle w:val="Ohne"/>
        </w:rPr>
        <w:t>In the laboratory</w:t>
      </w:r>
      <w:r w:rsidR="00620AE5">
        <w:rPr>
          <w:rStyle w:val="Ohne"/>
        </w:rPr>
        <w:t>,</w:t>
      </w:r>
      <w:r w:rsidR="000031BD">
        <w:rPr>
          <w:rStyle w:val="Ohne"/>
        </w:rPr>
        <w:t xml:space="preserve"> the DNA was isolated and s</w:t>
      </w:r>
      <w:r w:rsidR="00B04AEB">
        <w:rPr>
          <w:rStyle w:val="Ohne"/>
        </w:rPr>
        <w:t xml:space="preserve">amples were </w:t>
      </w:r>
      <w:proofErr w:type="spellStart"/>
      <w:r w:rsidR="00B04AEB">
        <w:rPr>
          <w:rStyle w:val="Ohne"/>
        </w:rPr>
        <w:t>analysed</w:t>
      </w:r>
      <w:proofErr w:type="spellEnd"/>
      <w:r w:rsidR="00B04AEB">
        <w:rPr>
          <w:rStyle w:val="Ohne"/>
        </w:rPr>
        <w:t xml:space="preserve"> for EC by quantitative real-time PCR.</w:t>
      </w:r>
    </w:p>
    <w:p w14:paraId="67B20069" w14:textId="77777777" w:rsidR="00B04AEB" w:rsidRDefault="00B04AEB" w:rsidP="0054438F">
      <w:pPr>
        <w:jc w:val="both"/>
        <w:rPr>
          <w:color w:val="000000"/>
        </w:rPr>
      </w:pPr>
    </w:p>
    <w:p w14:paraId="667661E1" w14:textId="0BAF28DE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0031BD">
        <w:rPr>
          <w:rStyle w:val="Ohne"/>
        </w:rPr>
        <w:t>The overall detection rate was 7.5% (76/1014). The probabilities for positive and negative samples did not differ between the farms. The number of findings differed si</w:t>
      </w:r>
      <w:r w:rsidR="00620AE5">
        <w:rPr>
          <w:rStyle w:val="Ohne"/>
        </w:rPr>
        <w:t>gnificantly between the cycles.</w:t>
      </w:r>
      <w:r w:rsidR="000031BD">
        <w:rPr>
          <w:rStyle w:val="Ohne"/>
        </w:rPr>
        <w:t xml:space="preserve"> Compared to other samples, the chances of detecting EC in </w:t>
      </w:r>
      <w:proofErr w:type="spellStart"/>
      <w:r w:rsidR="000031BD">
        <w:rPr>
          <w:rStyle w:val="Ohne"/>
        </w:rPr>
        <w:t>faecal</w:t>
      </w:r>
      <w:proofErr w:type="spellEnd"/>
      <w:r w:rsidR="000031BD">
        <w:rPr>
          <w:rStyle w:val="Ohne"/>
        </w:rPr>
        <w:t xml:space="preserve"> samples were significantly higher. Most positive samples </w:t>
      </w:r>
      <w:proofErr w:type="gramStart"/>
      <w:r w:rsidR="000031BD">
        <w:rPr>
          <w:rStyle w:val="Ohne"/>
        </w:rPr>
        <w:t>were found</w:t>
      </w:r>
      <w:proofErr w:type="gramEnd"/>
      <w:r w:rsidR="000031BD">
        <w:rPr>
          <w:rStyle w:val="Ohne"/>
        </w:rPr>
        <w:t xml:space="preserve"> in the last week of the production periods. After C&amp;D, </w:t>
      </w:r>
      <w:r w:rsidR="003F67D3">
        <w:rPr>
          <w:rStyle w:val="Ohne"/>
        </w:rPr>
        <w:t xml:space="preserve">numbers of </w:t>
      </w:r>
      <w:r w:rsidR="000031BD">
        <w:rPr>
          <w:rStyle w:val="Ohne"/>
        </w:rPr>
        <w:t xml:space="preserve">positive PCR results </w:t>
      </w:r>
      <w:r w:rsidR="003F67D3">
        <w:rPr>
          <w:rStyle w:val="Ohne"/>
        </w:rPr>
        <w:t xml:space="preserve">decreased and </w:t>
      </w:r>
      <w:proofErr w:type="gramStart"/>
      <w:r w:rsidR="000031BD">
        <w:rPr>
          <w:rStyle w:val="Ohne"/>
        </w:rPr>
        <w:t xml:space="preserve">were </w:t>
      </w:r>
      <w:r w:rsidR="003F67D3">
        <w:rPr>
          <w:rStyle w:val="Ohne"/>
        </w:rPr>
        <w:t xml:space="preserve">only </w:t>
      </w:r>
      <w:r w:rsidR="000031BD">
        <w:rPr>
          <w:rStyle w:val="Ohne"/>
        </w:rPr>
        <w:t>obtained</w:t>
      </w:r>
      <w:proofErr w:type="gramEnd"/>
      <w:r w:rsidR="000031BD">
        <w:rPr>
          <w:rStyle w:val="Ohne"/>
        </w:rPr>
        <w:t xml:space="preserve"> in four out of 14 locations.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5B6A20B9" w14:textId="77A90262" w:rsidR="007E59B5" w:rsidRPr="00EF718C" w:rsidRDefault="00275FCC" w:rsidP="00380081">
      <w:pPr>
        <w:jc w:val="both"/>
      </w:pPr>
      <w:r w:rsidRPr="00275FCC">
        <w:rPr>
          <w:b/>
          <w:bCs/>
          <w:color w:val="000000"/>
        </w:rPr>
        <w:t>Conclusion:</w:t>
      </w:r>
      <w:r w:rsidR="00EF718C" w:rsidRPr="00EF718C">
        <w:rPr>
          <w:rStyle w:val="Ohne"/>
        </w:rPr>
        <w:t xml:space="preserve"> </w:t>
      </w:r>
      <w:r w:rsidR="001F47B1">
        <w:rPr>
          <w:rStyle w:val="Ohne"/>
        </w:rPr>
        <w:t>The present study detected potential EC sources and may help to improve hygienic measures to avoid transmissions.</w:t>
      </w:r>
      <w:r w:rsidR="001F47B1" w:rsidRPr="00275FCC">
        <w:rPr>
          <w:color w:val="000000"/>
        </w:rPr>
        <w:t xml:space="preserve"> </w:t>
      </w:r>
      <w:r w:rsidR="001F47B1" w:rsidRPr="001F47B1">
        <w:rPr>
          <w:rStyle w:val="Ohne"/>
        </w:rPr>
        <w:t xml:space="preserve">Most positive samples </w:t>
      </w:r>
      <w:proofErr w:type="gramStart"/>
      <w:r w:rsidR="001F47B1" w:rsidRPr="001F47B1">
        <w:rPr>
          <w:rStyle w:val="Ohne"/>
        </w:rPr>
        <w:t>were detected</w:t>
      </w:r>
      <w:proofErr w:type="gramEnd"/>
      <w:r w:rsidR="001F47B1" w:rsidRPr="001F47B1">
        <w:rPr>
          <w:rStyle w:val="Ohne"/>
        </w:rPr>
        <w:t xml:space="preserve"> in </w:t>
      </w:r>
      <w:proofErr w:type="spellStart"/>
      <w:r w:rsidR="001F47B1" w:rsidRPr="001F47B1">
        <w:rPr>
          <w:rStyle w:val="Ohne"/>
        </w:rPr>
        <w:t>faecal</w:t>
      </w:r>
      <w:proofErr w:type="spellEnd"/>
      <w:r w:rsidR="001F47B1" w:rsidRPr="001F47B1">
        <w:rPr>
          <w:rStyle w:val="Ohne"/>
        </w:rPr>
        <w:t xml:space="preserve"> samples, carcass buckets, </w:t>
      </w:r>
      <w:r w:rsidR="001F47B1">
        <w:rPr>
          <w:rStyle w:val="Ohne"/>
        </w:rPr>
        <w:t>air exhaust</w:t>
      </w:r>
      <w:r w:rsidR="001F47B1" w:rsidRPr="001F47B1">
        <w:rPr>
          <w:rStyle w:val="Ohne"/>
        </w:rPr>
        <w:t xml:space="preserve"> and boot profiles.</w:t>
      </w:r>
      <w:r w:rsidR="001F47B1">
        <w:rPr>
          <w:rStyle w:val="Ohne"/>
        </w:rPr>
        <w:t xml:space="preserve"> </w:t>
      </w:r>
      <w:r w:rsidR="00EF718C">
        <w:rPr>
          <w:rStyle w:val="Ohne"/>
        </w:rPr>
        <w:t xml:space="preserve">The </w:t>
      </w:r>
      <w:r w:rsidR="00620AE5">
        <w:rPr>
          <w:rStyle w:val="Ohne"/>
        </w:rPr>
        <w:t>results</w:t>
      </w:r>
      <w:bookmarkStart w:id="0" w:name="_GoBack"/>
      <w:bookmarkEnd w:id="0"/>
      <w:r w:rsidR="00EF718C">
        <w:rPr>
          <w:rStyle w:val="Ohne"/>
        </w:rPr>
        <w:t xml:space="preserve"> indicated the persistence of EC in broiler houses of clinically healthy flocks that could lead to potential horizontal transmission routes.</w:t>
      </w:r>
      <w:r w:rsidR="001F47B1" w:rsidRPr="001F47B1">
        <w:t xml:space="preserve"> </w:t>
      </w:r>
      <w:r w:rsidR="001F47B1">
        <w:t xml:space="preserve">As positive samples </w:t>
      </w:r>
      <w:proofErr w:type="gramStart"/>
      <w:r w:rsidR="001F47B1">
        <w:t>were found</w:t>
      </w:r>
      <w:proofErr w:type="gramEnd"/>
      <w:r w:rsidR="001F47B1">
        <w:t xml:space="preserve"> at day 1, a </w:t>
      </w:r>
      <w:r w:rsidR="001F47B1">
        <w:rPr>
          <w:rStyle w:val="Ohne"/>
        </w:rPr>
        <w:t>t</w:t>
      </w:r>
      <w:r w:rsidR="001F47B1" w:rsidRPr="001F47B1">
        <w:rPr>
          <w:rStyle w:val="Ohne"/>
        </w:rPr>
        <w:t>ransmission from transport o</w:t>
      </w:r>
      <w:r w:rsidR="001F47B1">
        <w:rPr>
          <w:rStyle w:val="Ohne"/>
        </w:rPr>
        <w:t>r hatcheries cannot be excluded.</w:t>
      </w:r>
      <w:r w:rsidR="00EF718C">
        <w:rPr>
          <w:rStyle w:val="Ohne"/>
        </w:rPr>
        <w:t xml:space="preserve"> A re-introduction from contaminated environment after insufficient C&amp;D </w:t>
      </w:r>
      <w:r w:rsidR="00EF718C">
        <w:rPr>
          <w:rStyle w:val="Ohne"/>
        </w:rPr>
        <w:lastRenderedPageBreak/>
        <w:t xml:space="preserve">seemed possible. </w:t>
      </w:r>
      <w:r w:rsidR="001F47B1">
        <w:rPr>
          <w:rStyle w:val="Ohne"/>
        </w:rPr>
        <w:t>The decreasing detection rate after</w:t>
      </w:r>
      <w:r w:rsidR="00EF718C" w:rsidRPr="00EF718C">
        <w:rPr>
          <w:rStyle w:val="Ohne"/>
        </w:rPr>
        <w:t xml:space="preserve"> C&amp;D</w:t>
      </w:r>
      <w:r w:rsidR="001F47B1">
        <w:rPr>
          <w:rStyle w:val="Ohne"/>
        </w:rPr>
        <w:t xml:space="preserve"> showed that C&amp;D</w:t>
      </w:r>
      <w:r w:rsidR="00EF718C" w:rsidRPr="00EF718C">
        <w:rPr>
          <w:rStyle w:val="Ohne"/>
        </w:rPr>
        <w:t xml:space="preserve"> is the most important measure for interrupting the chain of infection</w:t>
      </w:r>
      <w:r w:rsidR="00EF718C">
        <w:rPr>
          <w:rStyle w:val="Ohne"/>
        </w:rPr>
        <w:t xml:space="preserve">. </w:t>
      </w:r>
    </w:p>
    <w:p w14:paraId="519396CA" w14:textId="031D50A9" w:rsidR="00380081" w:rsidRDefault="00380081" w:rsidP="00380081">
      <w:pPr>
        <w:jc w:val="both"/>
        <w:rPr>
          <w:color w:val="000000"/>
        </w:rPr>
      </w:pPr>
    </w:p>
    <w:p w14:paraId="2CFF491B" w14:textId="318573CE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="00EF718C" w:rsidRPr="00EF718C">
        <w:t xml:space="preserve"> </w:t>
      </w:r>
      <w:r w:rsidR="00B04AEB">
        <w:rPr>
          <w:rStyle w:val="Ohne"/>
          <w:i/>
          <w:iCs/>
        </w:rPr>
        <w:t xml:space="preserve">Enterococcus </w:t>
      </w:r>
      <w:proofErr w:type="spellStart"/>
      <w:r w:rsidR="00B04AEB">
        <w:rPr>
          <w:rStyle w:val="Ohne"/>
          <w:i/>
          <w:iCs/>
        </w:rPr>
        <w:t>cecorum</w:t>
      </w:r>
      <w:proofErr w:type="spellEnd"/>
      <w:r w:rsidR="00B04AEB">
        <w:rPr>
          <w:rStyle w:val="Ohne"/>
        </w:rPr>
        <w:t>, broiler health, environment, cleaning and disinfection, qPCR, transmission routes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0031BD"/>
    <w:rsid w:val="0019002E"/>
    <w:rsid w:val="001F47B1"/>
    <w:rsid w:val="00275FCC"/>
    <w:rsid w:val="002E11E3"/>
    <w:rsid w:val="00380081"/>
    <w:rsid w:val="003A0114"/>
    <w:rsid w:val="003B567E"/>
    <w:rsid w:val="003E7C21"/>
    <w:rsid w:val="003F67D3"/>
    <w:rsid w:val="004A3688"/>
    <w:rsid w:val="004D1D3C"/>
    <w:rsid w:val="0054438F"/>
    <w:rsid w:val="0057539E"/>
    <w:rsid w:val="00620AE5"/>
    <w:rsid w:val="00687CC2"/>
    <w:rsid w:val="007D638A"/>
    <w:rsid w:val="007E59B5"/>
    <w:rsid w:val="007F6889"/>
    <w:rsid w:val="008402FA"/>
    <w:rsid w:val="00857999"/>
    <w:rsid w:val="00A8666D"/>
    <w:rsid w:val="00B04AEB"/>
    <w:rsid w:val="00DB5C59"/>
    <w:rsid w:val="00EF718C"/>
    <w:rsid w:val="00F44F01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bidi="ar-SA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sz w:val="2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02F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02FA"/>
    <w:rPr>
      <w:rFonts w:ascii="Segoe UI" w:hAnsi="Segoe UI" w:cs="Segoe UI"/>
      <w:sz w:val="18"/>
      <w:szCs w:val="18"/>
      <w:lang w:bidi="ar-SA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402F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402F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402FA"/>
    <w:rPr>
      <w:lang w:bidi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402F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402FA"/>
    <w:rPr>
      <w:b/>
      <w:bCs/>
      <w:lang w:bidi="ar-SA"/>
    </w:rPr>
  </w:style>
  <w:style w:type="character" w:customStyle="1" w:styleId="Ohne">
    <w:name w:val="Ohne"/>
    <w:rsid w:val="00B04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Nicole Kemper</cp:lastModifiedBy>
  <cp:revision>4</cp:revision>
  <dcterms:created xsi:type="dcterms:W3CDTF">2024-04-14T14:15:00Z</dcterms:created>
  <dcterms:modified xsi:type="dcterms:W3CDTF">2024-04-15T09:56:00Z</dcterms:modified>
</cp:coreProperties>
</file>