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jc w:val="left"/>
      </w:pPr>
      <w:bookmarkStart w:id="2" w:name="_GoBack"/>
      <w:bookmarkEnd w:id="2"/>
      <w:bookmarkStart w:id="0" w:name="OLE_LINK1"/>
      <w:r>
        <w:t xml:space="preserve">I prefer: </w:t>
      </w:r>
    </w:p>
    <w:p>
      <w:pPr>
        <w:pStyle w:val="6"/>
        <w:spacing w:line="276" w:lineRule="auto"/>
        <w:jc w:val="left"/>
      </w:pPr>
      <w:r>
        <w:tab/>
      </w:r>
      <w:r>
        <w:rPr/>
        <w:sym w:font="Wingdings 2" w:char="F0A3"/>
      </w:r>
      <w:r>
        <w:t xml:space="preserve"> ORAL presentation</w:t>
      </w:r>
    </w:p>
    <w:p>
      <w:pPr>
        <w:pStyle w:val="6"/>
        <w:pBdr>
          <w:bottom w:val="single" w:color="auto" w:sz="6" w:space="1"/>
        </w:pBdr>
        <w:spacing w:line="276" w:lineRule="auto"/>
        <w:jc w:val="left"/>
      </w:pPr>
      <w:r>
        <w:tab/>
      </w:r>
      <w:r>
        <w:rPr/>
        <w:sym w:font="Wingdings 2" w:char="0052"/>
      </w:r>
      <w:r>
        <w:t xml:space="preserve"> POSTER presentation</w:t>
      </w:r>
    </w:p>
    <w:p>
      <w:pPr>
        <w:pStyle w:val="6"/>
        <w:spacing w:line="276" w:lineRule="auto"/>
        <w:jc w:val="left"/>
        <w:rPr>
          <w:sz w:val="18"/>
          <w:szCs w:val="18"/>
        </w:rPr>
      </w:pPr>
    </w:p>
    <w:p>
      <w:pPr>
        <w:rPr>
          <w:sz w:val="18"/>
          <w:szCs w:val="18"/>
        </w:rPr>
      </w:pPr>
    </w:p>
    <w:p>
      <w:pPr>
        <w:jc w:val="center"/>
        <w:rPr>
          <w:rFonts w:ascii="Arial" w:hAnsi="Arial" w:cs="Arial"/>
          <w:b/>
          <w:color w:val="000000"/>
          <w:sz w:val="28"/>
          <w:szCs w:val="28"/>
        </w:rPr>
      </w:pPr>
      <w:r>
        <w:rPr>
          <w:rFonts w:hint="eastAsia" w:ascii="Arial" w:hAnsi="Arial" w:cs="Arial"/>
          <w:b/>
          <w:color w:val="000000"/>
          <w:sz w:val="28"/>
          <w:szCs w:val="28"/>
        </w:rPr>
        <w:t>Effects of concentrate feeding sequence on growth performance, feed digestibility and gut microorganisms of weaned donkeys</w:t>
      </w:r>
    </w:p>
    <w:p>
      <w:pPr>
        <w:rPr>
          <w:rFonts w:ascii="Arial" w:hAnsi="Arial" w:cs="Arial"/>
          <w:b/>
          <w:color w:val="000000"/>
          <w:sz w:val="28"/>
          <w:szCs w:val="28"/>
        </w:rPr>
      </w:pPr>
    </w:p>
    <w:p>
      <w:pPr>
        <w:rPr>
          <w:color w:val="000000"/>
        </w:rPr>
      </w:pPr>
      <w:r>
        <w:rPr>
          <w:rFonts w:hint="eastAsia" w:eastAsia="宋体"/>
          <w:color w:val="000000"/>
          <w:sz w:val="28"/>
          <w:szCs w:val="28"/>
          <w:lang w:eastAsia="zh-CN"/>
        </w:rPr>
        <w:t>Lan Xie</w:t>
      </w:r>
      <w:r>
        <w:rPr>
          <w:color w:val="000000"/>
          <w:sz w:val="28"/>
          <w:szCs w:val="28"/>
          <w:vertAlign w:val="superscript"/>
        </w:rPr>
        <w:t>1</w:t>
      </w:r>
      <w:r>
        <w:rPr>
          <w:color w:val="000000"/>
          <w:sz w:val="28"/>
          <w:szCs w:val="28"/>
        </w:rPr>
        <w:t xml:space="preserve">, </w:t>
      </w:r>
      <w:r>
        <w:rPr>
          <w:rFonts w:hint="eastAsia" w:eastAsia="宋体"/>
          <w:color w:val="000000"/>
          <w:sz w:val="28"/>
          <w:szCs w:val="28"/>
          <w:lang w:eastAsia="zh-CN"/>
        </w:rPr>
        <w:t>Xingzhen Qi</w:t>
      </w:r>
      <w:r>
        <w:rPr>
          <w:rFonts w:hint="eastAsia" w:eastAsia="宋体"/>
          <w:color w:val="000000"/>
          <w:sz w:val="28"/>
          <w:szCs w:val="28"/>
          <w:vertAlign w:val="superscript"/>
          <w:lang w:eastAsia="zh-CN"/>
        </w:rPr>
        <w:t>1</w:t>
      </w:r>
      <w:r>
        <w:rPr>
          <w:color w:val="000000"/>
          <w:sz w:val="28"/>
          <w:szCs w:val="28"/>
        </w:rPr>
        <w:t>, T</w:t>
      </w:r>
      <w:r>
        <w:rPr>
          <w:rFonts w:hint="eastAsia" w:eastAsia="宋体"/>
          <w:color w:val="000000"/>
          <w:sz w:val="28"/>
          <w:szCs w:val="28"/>
          <w:lang w:eastAsia="zh-CN"/>
        </w:rPr>
        <w:t>ing</w:t>
      </w:r>
      <w:r>
        <w:rPr>
          <w:color w:val="000000"/>
          <w:sz w:val="28"/>
          <w:szCs w:val="28"/>
        </w:rPr>
        <w:t xml:space="preserve"> </w:t>
      </w:r>
      <w:r>
        <w:rPr>
          <w:rFonts w:hint="eastAsia" w:eastAsia="宋体"/>
          <w:color w:val="000000"/>
          <w:sz w:val="28"/>
          <w:szCs w:val="28"/>
          <w:lang w:eastAsia="zh-CN"/>
        </w:rPr>
        <w:t>L</w:t>
      </w:r>
      <w:r>
        <w:rPr>
          <w:color w:val="000000"/>
          <w:sz w:val="28"/>
          <w:szCs w:val="28"/>
        </w:rPr>
        <w:t>u</w:t>
      </w:r>
      <w:r>
        <w:rPr>
          <w:rFonts w:hint="eastAsia" w:eastAsia="宋体"/>
          <w:color w:val="000000"/>
          <w:sz w:val="28"/>
          <w:szCs w:val="28"/>
          <w:vertAlign w:val="superscript"/>
          <w:lang w:eastAsia="zh-CN"/>
        </w:rPr>
        <w:t>1</w:t>
      </w:r>
      <w:r>
        <w:rPr>
          <w:rFonts w:hint="eastAsia" w:eastAsia="宋体"/>
          <w:color w:val="000000"/>
          <w:sz w:val="28"/>
          <w:szCs w:val="28"/>
          <w:lang w:eastAsia="zh-CN"/>
        </w:rPr>
        <w:t>, Changyun Cai</w:t>
      </w:r>
      <w:r>
        <w:rPr>
          <w:rFonts w:hint="eastAsia" w:eastAsia="宋体"/>
          <w:color w:val="000000"/>
          <w:sz w:val="28"/>
          <w:szCs w:val="28"/>
          <w:vertAlign w:val="superscript"/>
          <w:lang w:eastAsia="zh-CN"/>
        </w:rPr>
        <w:t>1</w:t>
      </w:r>
      <w:r>
        <w:rPr>
          <w:rFonts w:hint="eastAsia" w:eastAsia="宋体"/>
          <w:color w:val="000000"/>
          <w:sz w:val="28"/>
          <w:szCs w:val="28"/>
          <w:lang w:eastAsia="zh-CN"/>
        </w:rPr>
        <w:t>, Yanhao Zhao</w:t>
      </w:r>
      <w:r>
        <w:rPr>
          <w:rFonts w:hint="eastAsia" w:eastAsia="宋体"/>
          <w:color w:val="000000"/>
          <w:sz w:val="28"/>
          <w:szCs w:val="28"/>
          <w:vertAlign w:val="superscript"/>
          <w:lang w:eastAsia="zh-CN"/>
        </w:rPr>
        <w:t>2</w:t>
      </w:r>
      <w:r>
        <w:rPr>
          <w:rFonts w:hint="eastAsia" w:eastAsia="宋体"/>
          <w:color w:val="000000"/>
          <w:sz w:val="28"/>
          <w:szCs w:val="28"/>
          <w:lang w:eastAsia="zh-CN"/>
        </w:rPr>
        <w:t>, Yue Li</w:t>
      </w:r>
      <w:r>
        <w:rPr>
          <w:rFonts w:hint="eastAsia" w:eastAsia="宋体"/>
          <w:color w:val="000000"/>
          <w:sz w:val="28"/>
          <w:szCs w:val="28"/>
          <w:vertAlign w:val="superscript"/>
          <w:lang w:eastAsia="zh-CN"/>
        </w:rPr>
        <w:t>1</w:t>
      </w:r>
      <w:r>
        <w:rPr>
          <w:rFonts w:hint="eastAsia" w:eastAsia="宋体"/>
          <w:color w:val="000000"/>
          <w:sz w:val="28"/>
          <w:szCs w:val="28"/>
          <w:lang w:eastAsia="zh-CN"/>
        </w:rPr>
        <w:t>, Xue Chen</w:t>
      </w:r>
      <w:r>
        <w:rPr>
          <w:rFonts w:hint="eastAsia" w:eastAsia="宋体"/>
          <w:color w:val="000000"/>
          <w:sz w:val="28"/>
          <w:szCs w:val="28"/>
          <w:vertAlign w:val="superscript"/>
          <w:lang w:eastAsia="zh-CN"/>
        </w:rPr>
        <w:t>1</w:t>
      </w:r>
      <w:r>
        <w:rPr>
          <w:rFonts w:hint="eastAsia" w:eastAsia="宋体"/>
          <w:color w:val="000000"/>
          <w:sz w:val="28"/>
          <w:szCs w:val="28"/>
          <w:lang w:eastAsia="zh-CN"/>
        </w:rPr>
        <w:t>, Yaqian Jin</w:t>
      </w:r>
      <w:r>
        <w:rPr>
          <w:rFonts w:hint="eastAsia" w:eastAsia="宋体"/>
          <w:color w:val="000000"/>
          <w:sz w:val="28"/>
          <w:szCs w:val="28"/>
          <w:vertAlign w:val="superscript"/>
          <w:lang w:eastAsia="zh-CN"/>
        </w:rPr>
        <w:t>1</w:t>
      </w:r>
      <w:r>
        <w:rPr>
          <w:rFonts w:hint="eastAsia" w:eastAsia="宋体"/>
          <w:color w:val="000000"/>
          <w:sz w:val="28"/>
          <w:szCs w:val="28"/>
          <w:lang w:eastAsia="zh-CN"/>
        </w:rPr>
        <w:t>, Lanjie Li</w:t>
      </w:r>
      <w:r>
        <w:rPr>
          <w:rFonts w:hint="eastAsia" w:eastAsia="宋体"/>
          <w:color w:val="000000"/>
          <w:sz w:val="28"/>
          <w:szCs w:val="28"/>
          <w:vertAlign w:val="superscript"/>
          <w:lang w:eastAsia="zh-CN"/>
        </w:rPr>
        <w:t>1</w:t>
      </w:r>
      <w:r>
        <w:rPr>
          <w:rFonts w:hint="eastAsia" w:eastAsia="宋体"/>
          <w:color w:val="000000"/>
          <w:sz w:val="28"/>
          <w:szCs w:val="28"/>
          <w:lang w:eastAsia="zh-CN"/>
        </w:rPr>
        <w:t>, Guiqin Liu</w:t>
      </w:r>
      <w:r>
        <w:rPr>
          <w:rFonts w:hint="eastAsia" w:eastAsia="宋体"/>
          <w:color w:val="000000"/>
          <w:sz w:val="28"/>
          <w:szCs w:val="28"/>
          <w:vertAlign w:val="superscript"/>
          <w:lang w:eastAsia="zh-CN"/>
        </w:rPr>
        <w:t>1</w:t>
      </w:r>
      <w:r>
        <w:rPr>
          <w:color w:val="000000"/>
        </w:rPr>
        <w:t>*</w:t>
      </w:r>
    </w:p>
    <w:p>
      <w:r>
        <w:rPr>
          <w:vertAlign w:val="superscript"/>
        </w:rPr>
        <w:t>1</w:t>
      </w:r>
      <w:r>
        <w:rPr>
          <w:rFonts w:hint="eastAsia"/>
        </w:rPr>
        <w:t>guiqinliu@lcu.edu.cn</w:t>
      </w:r>
      <w:r>
        <w:rPr>
          <w:color w:val="000000"/>
        </w:rPr>
        <w:t>,</w:t>
      </w:r>
      <w:r>
        <w:t xml:space="preserve"> </w:t>
      </w:r>
      <w:r>
        <w:rPr>
          <w:rFonts w:hint="eastAsia" w:eastAsia="宋体"/>
          <w:lang w:eastAsia="zh-CN"/>
        </w:rPr>
        <w:t>C</w:t>
      </w:r>
      <w:r>
        <w:rPr>
          <w:rFonts w:hint="eastAsia"/>
        </w:rPr>
        <w:t>ollege of Agronomy</w:t>
      </w:r>
      <w:r>
        <w:rPr>
          <w:rFonts w:hint="eastAsia" w:eastAsia="宋体"/>
          <w:lang w:eastAsia="zh-CN"/>
        </w:rPr>
        <w:t xml:space="preserve"> </w:t>
      </w:r>
      <w:r>
        <w:rPr>
          <w:rFonts w:hint="eastAsia"/>
        </w:rPr>
        <w:t>and Agricultural Engineering, Liaocheng University, Liaocheng, China</w:t>
      </w:r>
    </w:p>
    <w:p>
      <w:pPr>
        <w:rPr>
          <w:color w:val="000000"/>
        </w:rPr>
      </w:pPr>
      <w:r>
        <w:rPr>
          <w:color w:val="000000"/>
          <w:vertAlign w:val="superscript"/>
        </w:rPr>
        <w:t>2</w:t>
      </w:r>
      <w:r>
        <w:rPr>
          <w:rFonts w:hint="eastAsia" w:eastAsia="宋体"/>
          <w:color w:val="000000"/>
          <w:vertAlign w:val="superscript"/>
          <w:lang w:eastAsia="zh-CN"/>
        </w:rPr>
        <w:t xml:space="preserve"> </w:t>
      </w:r>
      <w:r>
        <w:rPr>
          <w:rFonts w:hint="eastAsia"/>
          <w:color w:val="000000"/>
        </w:rPr>
        <w:t xml:space="preserve">College of Food Science and Engineering, Qilu University of Technology (Shandong Academy of Sciences), Jinan, China </w:t>
      </w:r>
    </w:p>
    <w:p>
      <w:pPr>
        <w:rPr>
          <w:color w:val="000000"/>
        </w:rPr>
      </w:pPr>
    </w:p>
    <w:p>
      <w:pPr>
        <w:rPr>
          <w:b/>
          <w:bCs/>
          <w:color w:val="000000"/>
        </w:rPr>
      </w:pPr>
      <w:r>
        <w:rPr>
          <w:b/>
          <w:bCs/>
          <w:color w:val="000000"/>
        </w:rPr>
        <w:t>Abstract:</w:t>
      </w:r>
    </w:p>
    <w:p>
      <w:pPr>
        <w:rPr>
          <w:color w:val="000000"/>
        </w:rPr>
      </w:pPr>
    </w:p>
    <w:p>
      <w:pPr>
        <w:jc w:val="both"/>
        <w:rPr>
          <w:rFonts w:eastAsia="宋体"/>
          <w:color w:val="000000"/>
          <w:lang w:eastAsia="zh-CN"/>
        </w:rPr>
      </w:pPr>
      <w:r>
        <w:rPr>
          <w:b/>
          <w:bCs/>
          <w:color w:val="000000"/>
        </w:rPr>
        <w:t>Background/Objective:</w:t>
      </w:r>
      <w:r>
        <w:rPr>
          <w:color w:val="000000"/>
        </w:rPr>
        <w:t xml:space="preserve"> </w:t>
      </w:r>
      <w:bookmarkStart w:id="1" w:name="OLE_LINK2"/>
      <w:r>
        <w:rPr>
          <w:color w:val="000000"/>
        </w:rPr>
        <w:t>The Dezhou donkey is a superior indigenous breed in China</w:t>
      </w:r>
      <w:bookmarkEnd w:id="1"/>
      <w:r>
        <w:rPr>
          <w:color w:val="000000"/>
        </w:rPr>
        <w:t>,</w:t>
      </w:r>
      <w:r>
        <w:rPr>
          <w:rFonts w:hint="eastAsia" w:eastAsiaTheme="minorEastAsia"/>
          <w:color w:val="000000"/>
          <w:lang w:eastAsia="zh-CN"/>
        </w:rPr>
        <w:t xml:space="preserve"> </w:t>
      </w:r>
      <w:r>
        <w:rPr>
          <w:rFonts w:hint="eastAsia"/>
          <w:color w:val="000000"/>
        </w:rPr>
        <w:t>with excellent productivity and high forage utilization rate. There are few reports on nutritional recommendations and optimal feeding practices for donkeys. Therefore, it is significan</w:t>
      </w:r>
      <w:r>
        <w:rPr>
          <w:rFonts w:hint="eastAsia" w:eastAsiaTheme="minorEastAsia"/>
          <w:color w:val="000000"/>
          <w:lang w:eastAsia="zh-CN"/>
        </w:rPr>
        <w:t>t</w:t>
      </w:r>
      <w:r>
        <w:rPr>
          <w:rFonts w:hint="eastAsia"/>
          <w:color w:val="000000"/>
        </w:rPr>
        <w:t xml:space="preserve"> to explore the appropriate feeding method</w:t>
      </w:r>
      <w:r>
        <w:rPr>
          <w:rFonts w:hint="eastAsia" w:eastAsiaTheme="minorEastAsia"/>
          <w:color w:val="000000"/>
          <w:lang w:eastAsia="zh-CN"/>
        </w:rPr>
        <w:t>s</w:t>
      </w:r>
      <w:r>
        <w:rPr>
          <w:rFonts w:hint="eastAsia"/>
          <w:color w:val="000000"/>
        </w:rPr>
        <w:t xml:space="preserve"> to improve the production efficiency of donkeys</w:t>
      </w:r>
      <w:r>
        <w:rPr>
          <w:rFonts w:hint="eastAsia" w:eastAsia="宋体"/>
          <w:color w:val="000000"/>
          <w:lang w:eastAsia="zh-CN"/>
        </w:rPr>
        <w:t>.</w:t>
      </w:r>
    </w:p>
    <w:p>
      <w:pPr>
        <w:jc w:val="both"/>
        <w:rPr>
          <w:color w:val="000000"/>
        </w:rPr>
      </w:pPr>
    </w:p>
    <w:p>
      <w:pPr>
        <w:jc w:val="both"/>
        <w:rPr>
          <w:rFonts w:eastAsia="宋体"/>
          <w:color w:val="000000"/>
          <w:lang w:eastAsia="zh-CN"/>
        </w:rPr>
      </w:pPr>
      <w:r>
        <w:rPr>
          <w:b/>
          <w:bCs/>
          <w:color w:val="000000"/>
        </w:rPr>
        <w:t>Methods:</w:t>
      </w:r>
      <w:r>
        <w:rPr>
          <w:color w:val="000000"/>
        </w:rPr>
        <w:t xml:space="preserve"> </w:t>
      </w:r>
      <w:r>
        <w:rPr>
          <w:rFonts w:hint="eastAsia"/>
          <w:color w:val="000000"/>
        </w:rPr>
        <w:t>We measured nutrient digestion by the acid-insoluble ash method and</w:t>
      </w:r>
      <w:r>
        <w:rPr>
          <w:rFonts w:hint="eastAsia" w:eastAsia="宋体"/>
          <w:color w:val="000000"/>
          <w:lang w:eastAsia="zh-CN"/>
        </w:rPr>
        <w:t xml:space="preserve"> </w:t>
      </w:r>
      <w:r>
        <w:rPr>
          <w:rFonts w:hint="eastAsia"/>
          <w:color w:val="000000"/>
        </w:rPr>
        <w:t>analyzed the fecal microbiota of the weaned donkeys by high-throughput sequencing of 16s rRNA</w:t>
      </w:r>
      <w:r>
        <w:rPr>
          <w:rFonts w:hint="eastAsia" w:eastAsia="宋体"/>
          <w:color w:val="000000"/>
          <w:lang w:eastAsia="zh-CN"/>
        </w:rPr>
        <w:t xml:space="preserve"> </w:t>
      </w:r>
      <w:r>
        <w:rPr>
          <w:rFonts w:hint="eastAsia"/>
          <w:color w:val="000000"/>
        </w:rPr>
        <w:t>genes in the V3-V4 region</w:t>
      </w:r>
      <w:r>
        <w:rPr>
          <w:rFonts w:hint="eastAsia" w:eastAsia="宋体"/>
          <w:color w:val="000000"/>
          <w:lang w:eastAsia="zh-CN"/>
        </w:rPr>
        <w:t>. Non-targeted metabolomics was studied based on LC-MS technology to analyze fecal metabolites of weaned donkeys.</w:t>
      </w:r>
    </w:p>
    <w:p>
      <w:pPr>
        <w:jc w:val="both"/>
        <w:rPr>
          <w:color w:val="000000"/>
        </w:rPr>
      </w:pPr>
    </w:p>
    <w:p>
      <w:pPr>
        <w:jc w:val="both"/>
        <w:rPr>
          <w:rFonts w:eastAsia="宋体"/>
          <w:color w:val="000000"/>
          <w:lang w:eastAsia="zh-CN"/>
        </w:rPr>
      </w:pPr>
      <w:r>
        <w:rPr>
          <w:b/>
          <w:bCs/>
          <w:color w:val="000000"/>
        </w:rPr>
        <w:t>Results:</w:t>
      </w:r>
      <w:r>
        <w:t xml:space="preserve"> </w:t>
      </w:r>
      <w:r>
        <w:rPr>
          <w:b w:val="0"/>
          <w:bCs w:val="0"/>
          <w:color w:val="000000"/>
        </w:rPr>
        <w:t>The results indicate that group C3 exhibited superior growth performance, with significantly higher digestibility of crude protein (CP) and crude extract (EE) compared to group C1 (</w:t>
      </w:r>
      <w:r>
        <w:rPr>
          <w:b w:val="0"/>
          <w:bCs w:val="0"/>
          <w:i/>
          <w:iCs/>
          <w:color w:val="000000"/>
        </w:rPr>
        <w:t>P</w:t>
      </w:r>
      <w:r>
        <w:rPr>
          <w:b w:val="0"/>
          <w:bCs w:val="0"/>
          <w:color w:val="000000"/>
        </w:rPr>
        <w:t xml:space="preserve"> &lt; 0.05).</w:t>
      </w:r>
      <w:r>
        <w:rPr>
          <w:rFonts w:hint="eastAsia"/>
          <w:color w:val="000000"/>
        </w:rPr>
        <w:t xml:space="preserve"> Acetic acid, isobutyric acid, valeric acid, isovaleric acid, and caproic acid</w:t>
      </w:r>
      <w:r>
        <w:rPr>
          <w:rFonts w:hint="eastAsia" w:eastAsia="宋体"/>
          <w:color w:val="000000"/>
          <w:lang w:eastAsia="zh-CN"/>
        </w:rPr>
        <w:t xml:space="preserve"> </w:t>
      </w:r>
      <w:r>
        <w:rPr>
          <w:rFonts w:hint="eastAsia"/>
          <w:color w:val="000000"/>
        </w:rPr>
        <w:t>were notably different among all groups (</w:t>
      </w:r>
      <w:r>
        <w:rPr>
          <w:rFonts w:hint="eastAsia" w:eastAsia="宋体"/>
          <w:i/>
          <w:iCs/>
          <w:color w:val="000000"/>
          <w:lang w:eastAsia="zh-CN"/>
        </w:rPr>
        <w:t>P</w:t>
      </w:r>
      <w:r>
        <w:rPr>
          <w:rFonts w:hint="eastAsia"/>
          <w:color w:val="000000"/>
        </w:rPr>
        <w:t xml:space="preserve"> &lt; 0.05). In addition, </w:t>
      </w:r>
      <w:r>
        <w:rPr>
          <w:rFonts w:hint="eastAsia"/>
          <w:i/>
          <w:iCs/>
          <w:color w:val="000000"/>
        </w:rPr>
        <w:t>Firmicutes</w:t>
      </w:r>
      <w:r>
        <w:rPr>
          <w:rFonts w:hint="eastAsia"/>
          <w:color w:val="000000"/>
        </w:rPr>
        <w:t xml:space="preserve"> and</w:t>
      </w:r>
      <w:r>
        <w:rPr>
          <w:rFonts w:hint="eastAsia" w:eastAsia="宋体"/>
          <w:color w:val="000000"/>
          <w:lang w:eastAsia="zh-CN"/>
        </w:rPr>
        <w:t xml:space="preserve"> </w:t>
      </w:r>
      <w:r>
        <w:rPr>
          <w:rFonts w:hint="eastAsia"/>
          <w:i/>
          <w:iCs/>
          <w:color w:val="000000"/>
        </w:rPr>
        <w:t>Bacteroidetes</w:t>
      </w:r>
      <w:r>
        <w:rPr>
          <w:rFonts w:hint="eastAsia"/>
          <w:color w:val="000000"/>
        </w:rPr>
        <w:t xml:space="preserve"> were dominant in the fecal microbes of each group, and </w:t>
      </w:r>
      <w:r>
        <w:rPr>
          <w:rFonts w:hint="eastAsia"/>
          <w:i/>
          <w:iCs/>
          <w:color w:val="000000"/>
        </w:rPr>
        <w:t>Firmicutes</w:t>
      </w:r>
      <w:r>
        <w:rPr>
          <w:rFonts w:hint="eastAsia"/>
          <w:color w:val="000000"/>
        </w:rPr>
        <w:t xml:space="preserve"> was significantly</w:t>
      </w:r>
      <w:r>
        <w:rPr>
          <w:rFonts w:hint="eastAsia" w:eastAsia="宋体"/>
          <w:color w:val="000000"/>
          <w:lang w:eastAsia="zh-CN"/>
        </w:rPr>
        <w:t xml:space="preserve"> </w:t>
      </w:r>
      <w:r>
        <w:rPr>
          <w:rFonts w:hint="eastAsia"/>
          <w:color w:val="000000"/>
        </w:rPr>
        <w:t>higher in group C3 (</w:t>
      </w:r>
      <w:r>
        <w:rPr>
          <w:rFonts w:hint="eastAsia" w:eastAsia="宋体"/>
          <w:i/>
          <w:iCs/>
          <w:color w:val="000000"/>
          <w:lang w:eastAsia="zh-CN"/>
        </w:rPr>
        <w:t>P</w:t>
      </w:r>
      <w:r>
        <w:rPr>
          <w:rFonts w:hint="eastAsia"/>
          <w:color w:val="000000"/>
        </w:rPr>
        <w:t xml:space="preserve"> &lt; 0.05). At the genus level, the different genera were </w:t>
      </w:r>
      <w:r>
        <w:rPr>
          <w:rFonts w:hint="eastAsia"/>
          <w:i/>
          <w:iCs/>
          <w:color w:val="000000"/>
        </w:rPr>
        <w:t>Treponema</w:t>
      </w:r>
      <w:r>
        <w:rPr>
          <w:rFonts w:hint="eastAsia"/>
          <w:color w:val="000000"/>
        </w:rPr>
        <w:t xml:space="preserve">, </w:t>
      </w:r>
      <w:r>
        <w:rPr>
          <w:rFonts w:hint="eastAsia"/>
          <w:i/>
          <w:iCs/>
          <w:color w:val="000000"/>
        </w:rPr>
        <w:t>RikenellaceaeRC9-gut-group, Unidentified-F082</w:t>
      </w:r>
      <w:r>
        <w:rPr>
          <w:rFonts w:hint="eastAsia"/>
          <w:color w:val="000000"/>
        </w:rPr>
        <w:t xml:space="preserve">, and </w:t>
      </w:r>
      <w:r>
        <w:rPr>
          <w:rFonts w:hint="eastAsia"/>
          <w:i/>
          <w:iCs/>
          <w:color w:val="000000"/>
        </w:rPr>
        <w:t>Bacteroidales-RF16-group</w:t>
      </w:r>
      <w:r>
        <w:rPr>
          <w:rFonts w:hint="eastAsia"/>
          <w:color w:val="000000"/>
        </w:rPr>
        <w:t xml:space="preserve"> (</w:t>
      </w:r>
      <w:r>
        <w:rPr>
          <w:rFonts w:hint="eastAsia" w:eastAsia="宋体"/>
          <w:i/>
          <w:iCs/>
          <w:color w:val="000000"/>
          <w:lang w:val="en-US" w:eastAsia="zh-CN"/>
        </w:rPr>
        <w:t>P</w:t>
      </w:r>
      <w:r>
        <w:rPr>
          <w:rFonts w:hint="eastAsia"/>
          <w:color w:val="000000"/>
        </w:rPr>
        <w:t xml:space="preserve"> &lt; 0.05). The prediction of fecal</w:t>
      </w:r>
      <w:r>
        <w:rPr>
          <w:rFonts w:hint="eastAsia" w:eastAsia="宋体"/>
          <w:color w:val="000000"/>
          <w:lang w:eastAsia="zh-CN"/>
        </w:rPr>
        <w:t xml:space="preserve"> </w:t>
      </w:r>
      <w:r>
        <w:rPr>
          <w:rFonts w:hint="eastAsia"/>
          <w:color w:val="000000"/>
        </w:rPr>
        <w:t>microbiota function by PICRUSt indicated that different feeding sequences had minimal impact on</w:t>
      </w:r>
      <w:r>
        <w:rPr>
          <w:rFonts w:hint="eastAsia" w:eastAsia="宋体"/>
          <w:color w:val="000000"/>
          <w:lang w:eastAsia="zh-CN"/>
        </w:rPr>
        <w:t xml:space="preserve"> </w:t>
      </w:r>
      <w:r>
        <w:rPr>
          <w:rFonts w:hint="eastAsia"/>
          <w:color w:val="000000"/>
        </w:rPr>
        <w:t>the function of the fecal microbiota, particularly on the high-abundance pathway</w:t>
      </w:r>
      <w:r>
        <w:rPr>
          <w:rFonts w:hint="eastAsia" w:eastAsia="宋体"/>
          <w:color w:val="000000"/>
          <w:lang w:eastAsia="zh-CN"/>
        </w:rPr>
        <w:t>. Concentrate feeding sequence had a significant effect on fecal metabolites. A total of 243 differential metabolites were identified, including 181 in positive ion mode, of which 82 were significantly up-regulated and 99 were significantly down-regulated. In the negative ion mode, 29 of 62 were significantly up-regulated and 33 were significantly down-regulated. These different metabolites are significantly enriched in bile secretion pathway, glycerol phospholipid metabolic pathway, choline metabolic pathway, aminoacyl-trNA biosynthesis, protein digestion and absorption, amino acid biosynthesis, histidine metabolism and other pathways.</w:t>
      </w:r>
    </w:p>
    <w:p>
      <w:pPr>
        <w:jc w:val="both"/>
        <w:rPr>
          <w:color w:val="000000"/>
        </w:rPr>
      </w:pPr>
    </w:p>
    <w:p>
      <w:pPr>
        <w:jc w:val="both"/>
        <w:rPr>
          <w:rFonts w:eastAsiaTheme="minorEastAsia"/>
          <w:color w:val="000000"/>
          <w:lang w:eastAsia="zh-CN"/>
        </w:rPr>
      </w:pPr>
      <w:r>
        <w:rPr>
          <w:b/>
          <w:bCs/>
          <w:color w:val="000000"/>
        </w:rPr>
        <w:t>Conclusion:</w:t>
      </w:r>
      <w:r>
        <w:rPr>
          <w:color w:val="000000"/>
        </w:rPr>
        <w:t xml:space="preserve"> </w:t>
      </w:r>
      <w:r>
        <w:rPr>
          <w:rFonts w:hint="default" w:ascii="Times New Roman" w:hAnsi="Times New Roman" w:eastAsiaTheme="minorEastAsia"/>
          <w:color w:val="000000"/>
          <w:lang w:eastAsia="zh-CN"/>
        </w:rPr>
        <w:t>T</w:t>
      </w:r>
      <w:r>
        <w:rPr>
          <w:color w:val="000000"/>
        </w:rPr>
        <w:t>he growth performance of weaned donkey foals was significantly influenced by the sequence of concentrate feeding, and the optimal growth performance was observed when they were fed a combination of concentrate and coarse mixed diet.</w:t>
      </w:r>
      <w:r>
        <w:rPr>
          <w:rFonts w:hint="eastAsia" w:eastAsiaTheme="minorEastAsia"/>
          <w:color w:val="000000"/>
          <w:lang w:eastAsia="zh-CN"/>
        </w:rPr>
        <w:t xml:space="preserve"> </w:t>
      </w:r>
      <w:r>
        <w:rPr>
          <w:rFonts w:hint="eastAsia"/>
          <w:color w:val="000000"/>
        </w:rPr>
        <w:t xml:space="preserve">The order of concentrate feeding affected the growth performance by regulating the composition of intestinal microorganisms. The increase of microorganisms and the enrichment of metabolite pathway were positively correlated with the average daily gain of donkeys. </w:t>
      </w:r>
      <w:r>
        <w:rPr>
          <w:color w:val="000000"/>
        </w:rPr>
        <w:t>In conclusion, the</w:t>
      </w:r>
      <w:r>
        <w:rPr>
          <w:rFonts w:hint="eastAsia" w:eastAsiaTheme="minorEastAsia"/>
          <w:color w:val="000000"/>
          <w:lang w:eastAsia="zh-CN"/>
        </w:rPr>
        <w:t xml:space="preserve"> </w:t>
      </w:r>
      <w:r>
        <w:rPr>
          <w:color w:val="000000"/>
        </w:rPr>
        <w:t>total mixed diet enhances the abundance of beneficial bacteria, consequently altering the metabolic pathway associated with growth and ultimately contributing to improvements in growth performance and feed efficiency in donkeys.</w:t>
      </w:r>
      <w:r>
        <w:rPr>
          <w:rFonts w:hint="eastAsia"/>
          <w:color w:val="000000"/>
        </w:rPr>
        <w:t xml:space="preserve"> These beneficial bacteria and metabolic pathways associated with feeding patterns are potential targets for regulating growth performance.</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bookmarkEnd w:id="0"/>
      <w:r>
        <w:rPr>
          <w:rFonts w:hint="eastAsia" w:eastAsia="宋体"/>
        </w:rPr>
        <w:t>Weaned donkeys; Concentrate feeding sequence; Growth performance; Gut microbes; VFA.</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mM2Y0ZTExMTY5MTMyZWU3YjBlNTQ4N2ExYjI2MzgifQ=="/>
  </w:docVars>
  <w:rsids>
    <w:rsidRoot w:val="0057539E"/>
    <w:rsid w:val="00275FCC"/>
    <w:rsid w:val="002F0C19"/>
    <w:rsid w:val="00380081"/>
    <w:rsid w:val="003E7C21"/>
    <w:rsid w:val="004A3688"/>
    <w:rsid w:val="005308B7"/>
    <w:rsid w:val="0054438F"/>
    <w:rsid w:val="0057539E"/>
    <w:rsid w:val="00663251"/>
    <w:rsid w:val="00687CC2"/>
    <w:rsid w:val="006C5248"/>
    <w:rsid w:val="007F6889"/>
    <w:rsid w:val="00857999"/>
    <w:rsid w:val="00A8666D"/>
    <w:rsid w:val="00BD337D"/>
    <w:rsid w:val="00BF06E8"/>
    <w:rsid w:val="00C13D47"/>
    <w:rsid w:val="00DB5C59"/>
    <w:rsid w:val="00F96649"/>
    <w:rsid w:val="60D877C0"/>
    <w:rsid w:val="662335F3"/>
    <w:rsid w:val="69FA79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autoRedefine/>
    <w:unhideWhenUsed/>
    <w:qFormat/>
    <w:uiPriority w:val="99"/>
  </w:style>
  <w:style w:type="paragraph" w:styleId="4">
    <w:name w:val="footer"/>
    <w:basedOn w:val="1"/>
    <w:link w:val="14"/>
    <w:autoRedefine/>
    <w:unhideWhenUsed/>
    <w:qFormat/>
    <w:uiPriority w:val="99"/>
    <w:pPr>
      <w:tabs>
        <w:tab w:val="center" w:pos="4153"/>
        <w:tab w:val="right" w:pos="8306"/>
      </w:tabs>
      <w:snapToGrid w:val="0"/>
    </w:pPr>
    <w:rPr>
      <w:sz w:val="18"/>
      <w:szCs w:val="18"/>
    </w:rPr>
  </w:style>
  <w:style w:type="paragraph" w:styleId="5">
    <w:name w:val="header"/>
    <w:basedOn w:val="1"/>
    <w:link w:val="13"/>
    <w:autoRedefine/>
    <w:unhideWhenUsed/>
    <w:qFormat/>
    <w:uiPriority w:val="99"/>
    <w:pPr>
      <w:tabs>
        <w:tab w:val="center" w:pos="4153"/>
        <w:tab w:val="right" w:pos="8306"/>
      </w:tabs>
      <w:snapToGrid w:val="0"/>
      <w:jc w:val="center"/>
    </w:pPr>
    <w:rPr>
      <w:sz w:val="18"/>
      <w:szCs w:val="18"/>
    </w:rPr>
  </w:style>
  <w:style w:type="paragraph" w:styleId="6">
    <w:name w:val="Title"/>
    <w:basedOn w:val="1"/>
    <w:autoRedefine/>
    <w:qFormat/>
    <w:uiPriority w:val="0"/>
    <w:pPr>
      <w:jc w:val="center"/>
    </w:pPr>
    <w:rPr>
      <w:b/>
      <w:sz w:val="28"/>
    </w:rPr>
  </w:style>
  <w:style w:type="paragraph" w:styleId="7">
    <w:name w:val="annotation subject"/>
    <w:basedOn w:val="3"/>
    <w:next w:val="3"/>
    <w:link w:val="17"/>
    <w:autoRedefine/>
    <w:semiHidden/>
    <w:unhideWhenUsed/>
    <w:qFormat/>
    <w:uiPriority w:val="99"/>
    <w:rPr>
      <w:b/>
      <w:bCs/>
    </w:rPr>
  </w:style>
  <w:style w:type="character" w:styleId="10">
    <w:name w:val="FollowedHyperlink"/>
    <w:basedOn w:val="9"/>
    <w:autoRedefine/>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autoRedefine/>
    <w:semiHidden/>
    <w:unhideWhenUsed/>
    <w:qFormat/>
    <w:uiPriority w:val="99"/>
    <w:rPr>
      <w:sz w:val="21"/>
      <w:szCs w:val="21"/>
    </w:rPr>
  </w:style>
  <w:style w:type="character" w:customStyle="1" w:styleId="13">
    <w:name w:val="页眉 字符"/>
    <w:basedOn w:val="9"/>
    <w:link w:val="5"/>
    <w:autoRedefine/>
    <w:qFormat/>
    <w:uiPriority w:val="99"/>
    <w:rPr>
      <w:rFonts w:eastAsia="Times New Roman"/>
      <w:sz w:val="18"/>
      <w:szCs w:val="18"/>
      <w:lang w:eastAsia="en-US"/>
    </w:rPr>
  </w:style>
  <w:style w:type="character" w:customStyle="1" w:styleId="14">
    <w:name w:val="页脚 字符"/>
    <w:basedOn w:val="9"/>
    <w:link w:val="4"/>
    <w:autoRedefine/>
    <w:qFormat/>
    <w:uiPriority w:val="99"/>
    <w:rPr>
      <w:rFonts w:eastAsia="Times New Roman"/>
      <w:sz w:val="18"/>
      <w:szCs w:val="18"/>
      <w:lang w:eastAsia="en-US"/>
    </w:rPr>
  </w:style>
  <w:style w:type="paragraph" w:customStyle="1" w:styleId="15">
    <w:name w:val="Revision"/>
    <w:autoRedefine/>
    <w:hidden/>
    <w:unhideWhenUsed/>
    <w:qFormat/>
    <w:uiPriority w:val="99"/>
    <w:rPr>
      <w:rFonts w:ascii="Times New Roman" w:hAnsi="Times New Roman" w:eastAsia="Times New Roman" w:cs="Times New Roman"/>
      <w:sz w:val="24"/>
      <w:szCs w:val="24"/>
      <w:lang w:val="en-US" w:eastAsia="en-US" w:bidi="ar-SA"/>
    </w:rPr>
  </w:style>
  <w:style w:type="character" w:customStyle="1" w:styleId="16">
    <w:name w:val="批注文字 字符"/>
    <w:basedOn w:val="9"/>
    <w:link w:val="3"/>
    <w:autoRedefine/>
    <w:qFormat/>
    <w:uiPriority w:val="99"/>
    <w:rPr>
      <w:rFonts w:eastAsia="Times New Roman"/>
      <w:sz w:val="24"/>
      <w:szCs w:val="24"/>
      <w:lang w:eastAsia="en-US"/>
    </w:rPr>
  </w:style>
  <w:style w:type="character" w:customStyle="1" w:styleId="17">
    <w:name w:val="批注主题 字符"/>
    <w:basedOn w:val="16"/>
    <w:link w:val="7"/>
    <w:autoRedefine/>
    <w:semiHidden/>
    <w:qFormat/>
    <w:uiPriority w:val="99"/>
    <w:rPr>
      <w:rFonts w:eastAsia="Times New Roman"/>
      <w:b/>
      <w:bCs/>
      <w:sz w:val="24"/>
      <w:szCs w:val="24"/>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2</Pages>
  <Words>657</Words>
  <Characters>3747</Characters>
  <Lines>31</Lines>
  <Paragraphs>8</Paragraphs>
  <TotalTime>29</TotalTime>
  <ScaleCrop>false</ScaleCrop>
  <LinksUpToDate>false</LinksUpToDate>
  <CharactersWithSpaces>4396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时光与海</cp:lastModifiedBy>
  <dcterms:modified xsi:type="dcterms:W3CDTF">2024-05-15T13:51:25Z</dcterms:modified>
  <dc:title>Abstract Template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06055FF0C02A46D4A02325FC72719A9B_12</vt:lpwstr>
  </property>
</Properties>
</file>