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C348" w14:textId="3EC1B8B4" w:rsidR="0097625E" w:rsidRDefault="0083017B" w:rsidP="0097625E">
      <w:pPr>
        <w:jc w:val="center"/>
        <w:rPr>
          <w:rFonts w:ascii="Arial" w:hAnsi="Arial" w:cs="Arial"/>
          <w:sz w:val="28"/>
          <w:szCs w:val="28"/>
        </w:rPr>
      </w:pPr>
      <w:r>
        <w:rPr>
          <w:rFonts w:ascii="Arial" w:hAnsi="Arial" w:cs="Arial"/>
          <w:sz w:val="28"/>
          <w:szCs w:val="28"/>
        </w:rPr>
        <w:t>Field</w:t>
      </w:r>
      <w:r w:rsidRPr="000F2678">
        <w:rPr>
          <w:rFonts w:ascii="Arial" w:hAnsi="Arial" w:cs="Arial"/>
          <w:sz w:val="28"/>
          <w:szCs w:val="28"/>
        </w:rPr>
        <w:t xml:space="preserve"> </w:t>
      </w:r>
      <w:r w:rsidR="0097625E" w:rsidRPr="000F2678">
        <w:rPr>
          <w:rFonts w:ascii="Arial" w:hAnsi="Arial" w:cs="Arial"/>
          <w:sz w:val="28"/>
          <w:szCs w:val="28"/>
        </w:rPr>
        <w:t xml:space="preserve">Assessment of Eprinomectin Efficacy </w:t>
      </w:r>
      <w:r w:rsidR="0097625E">
        <w:rPr>
          <w:rFonts w:ascii="Arial" w:hAnsi="Arial" w:cs="Arial"/>
          <w:sz w:val="28"/>
          <w:szCs w:val="28"/>
        </w:rPr>
        <w:br/>
      </w:r>
      <w:r w:rsidR="0097625E" w:rsidRPr="000F2678">
        <w:rPr>
          <w:rFonts w:ascii="Arial" w:hAnsi="Arial" w:cs="Arial"/>
          <w:sz w:val="28"/>
          <w:szCs w:val="28"/>
        </w:rPr>
        <w:t xml:space="preserve">and Resistance in Strongyle Nematodes of Dairy Goats </w:t>
      </w:r>
      <w:r w:rsidR="0097625E">
        <w:rPr>
          <w:rFonts w:ascii="Arial" w:hAnsi="Arial" w:cs="Arial"/>
          <w:sz w:val="28"/>
          <w:szCs w:val="28"/>
        </w:rPr>
        <w:br/>
      </w:r>
      <w:r w:rsidR="0097625E" w:rsidRPr="000F2678">
        <w:rPr>
          <w:rFonts w:ascii="Arial" w:hAnsi="Arial" w:cs="Arial"/>
          <w:sz w:val="28"/>
          <w:szCs w:val="28"/>
        </w:rPr>
        <w:t>in Chiang Mai Province, Thailand</w:t>
      </w:r>
    </w:p>
    <w:p w14:paraId="04D959E2" w14:textId="77777777" w:rsidR="0097625E" w:rsidRDefault="0097625E" w:rsidP="0097625E">
      <w:pPr>
        <w:rPr>
          <w:color w:val="000000"/>
        </w:rPr>
      </w:pPr>
    </w:p>
    <w:p w14:paraId="2159D379" w14:textId="77777777" w:rsidR="0097625E" w:rsidRPr="000F2678" w:rsidRDefault="0097625E" w:rsidP="0097625E">
      <w:pPr>
        <w:rPr>
          <w:color w:val="000000"/>
          <w:sz w:val="28"/>
          <w:szCs w:val="28"/>
        </w:rPr>
      </w:pPr>
      <w:r w:rsidRPr="00B821B3">
        <w:rPr>
          <w:color w:val="000000"/>
        </w:rPr>
        <w:t>Thanakorn Rompo</w:t>
      </w:r>
      <w:r>
        <w:rPr>
          <w:color w:val="000000"/>
          <w:sz w:val="28"/>
          <w:szCs w:val="28"/>
          <w:vertAlign w:val="superscript"/>
        </w:rPr>
        <w:t>1</w:t>
      </w:r>
      <w:r>
        <w:rPr>
          <w:color w:val="000000"/>
          <w:sz w:val="28"/>
          <w:szCs w:val="28"/>
        </w:rPr>
        <w:t xml:space="preserve">*, </w:t>
      </w:r>
      <w:proofErr w:type="spellStart"/>
      <w:r>
        <w:t>Saruda</w:t>
      </w:r>
      <w:proofErr w:type="spellEnd"/>
      <w:r>
        <w:t xml:space="preserve"> Tiwananthagorn</w:t>
      </w:r>
      <w:r>
        <w:rPr>
          <w:color w:val="000000"/>
          <w:sz w:val="28"/>
          <w:szCs w:val="28"/>
          <w:vertAlign w:val="superscript"/>
        </w:rPr>
        <w:t>1</w:t>
      </w:r>
      <w:r>
        <w:rPr>
          <w:color w:val="000000"/>
          <w:sz w:val="28"/>
          <w:szCs w:val="28"/>
        </w:rPr>
        <w:t xml:space="preserve">, </w:t>
      </w:r>
      <w:proofErr w:type="spellStart"/>
      <w:r>
        <w:t>Tawatchai</w:t>
      </w:r>
      <w:proofErr w:type="spellEnd"/>
      <w:r>
        <w:t xml:space="preserve"> Singhla</w:t>
      </w:r>
      <w:r>
        <w:rPr>
          <w:color w:val="000000"/>
          <w:sz w:val="28"/>
          <w:szCs w:val="28"/>
          <w:vertAlign w:val="superscript"/>
        </w:rPr>
        <w:t>1</w:t>
      </w:r>
      <w:r>
        <w:t xml:space="preserve">, </w:t>
      </w:r>
      <w:proofErr w:type="spellStart"/>
      <w:r>
        <w:t>Boondarika</w:t>
      </w:r>
      <w:proofErr w:type="spellEnd"/>
      <w:r>
        <w:t xml:space="preserve"> Nambooppha</w:t>
      </w:r>
      <w:r>
        <w:rPr>
          <w:color w:val="000000"/>
          <w:sz w:val="28"/>
          <w:szCs w:val="28"/>
          <w:vertAlign w:val="superscript"/>
        </w:rPr>
        <w:t>1</w:t>
      </w:r>
      <w:r>
        <w:rPr>
          <w:color w:val="000000"/>
          <w:sz w:val="28"/>
          <w:szCs w:val="28"/>
        </w:rPr>
        <w:t xml:space="preserve">, </w:t>
      </w:r>
      <w:proofErr w:type="spellStart"/>
      <w:r w:rsidRPr="00B821B3">
        <w:rPr>
          <w:color w:val="000000"/>
        </w:rPr>
        <w:t>Nariaki</w:t>
      </w:r>
      <w:proofErr w:type="spellEnd"/>
      <w:r w:rsidRPr="00B821B3">
        <w:rPr>
          <w:color w:val="000000"/>
        </w:rPr>
        <w:t xml:space="preserve"> Nonaka</w:t>
      </w:r>
      <w:r>
        <w:rPr>
          <w:color w:val="000000"/>
          <w:sz w:val="28"/>
          <w:szCs w:val="28"/>
          <w:vertAlign w:val="superscript"/>
        </w:rPr>
        <w:t>2</w:t>
      </w:r>
      <w:r>
        <w:rPr>
          <w:color w:val="000000"/>
        </w:rPr>
        <w:t xml:space="preserve">, </w:t>
      </w:r>
      <w:r w:rsidRPr="00B821B3">
        <w:rPr>
          <w:color w:val="000000"/>
        </w:rPr>
        <w:t>Ryo Nakao</w:t>
      </w:r>
      <w:r>
        <w:rPr>
          <w:color w:val="000000"/>
          <w:sz w:val="28"/>
          <w:szCs w:val="28"/>
          <w:vertAlign w:val="superscript"/>
        </w:rPr>
        <w:t xml:space="preserve">2 </w:t>
      </w:r>
    </w:p>
    <w:p w14:paraId="0E128E6B" w14:textId="77777777" w:rsidR="0097625E" w:rsidRDefault="0097625E" w:rsidP="0097625E">
      <w:pPr>
        <w:rPr>
          <w:color w:val="000000"/>
        </w:rPr>
      </w:pPr>
    </w:p>
    <w:p w14:paraId="78EE60F4" w14:textId="77777777" w:rsidR="0097625E" w:rsidRDefault="0097625E" w:rsidP="0097625E">
      <w:pPr>
        <w:rPr>
          <w:color w:val="000000"/>
        </w:rPr>
      </w:pPr>
      <w:r>
        <w:rPr>
          <w:color w:val="000000"/>
        </w:rPr>
        <w:t>*</w:t>
      </w:r>
      <w:proofErr w:type="gramStart"/>
      <w:r>
        <w:rPr>
          <w:color w:val="000000"/>
        </w:rPr>
        <w:t>lead</w:t>
      </w:r>
      <w:proofErr w:type="gramEnd"/>
      <w:r>
        <w:rPr>
          <w:color w:val="000000"/>
        </w:rPr>
        <w:t xml:space="preserve"> presenter</w:t>
      </w:r>
    </w:p>
    <w:p w14:paraId="6C0A78C8" w14:textId="4FF0137A" w:rsidR="0097625E" w:rsidRDefault="0097625E" w:rsidP="0097625E">
      <w:pPr>
        <w:rPr>
          <w:color w:val="000000"/>
        </w:rPr>
      </w:pPr>
      <w:r>
        <w:rPr>
          <w:color w:val="000000"/>
          <w:vertAlign w:val="superscript"/>
        </w:rPr>
        <w:t>1</w:t>
      </w:r>
      <w:r>
        <w:rPr>
          <w:color w:val="000000"/>
        </w:rPr>
        <w:t xml:space="preserve"> </w:t>
      </w:r>
      <w:r w:rsidRPr="00CB7FAE">
        <w:rPr>
          <w:color w:val="000000"/>
        </w:rPr>
        <w:t>thanakorn.rom@cmu</w:t>
      </w:r>
      <w:r w:rsidR="0083017B">
        <w:rPr>
          <w:color w:val="000000"/>
        </w:rPr>
        <w:t>.</w:t>
      </w:r>
      <w:r w:rsidRPr="00CB7FAE">
        <w:rPr>
          <w:color w:val="000000"/>
        </w:rPr>
        <w:t>ac</w:t>
      </w:r>
      <w:r w:rsidR="0083017B">
        <w:rPr>
          <w:rFonts w:cs="Angsana New"/>
          <w:color w:val="000000"/>
          <w:szCs w:val="30"/>
          <w:lang w:bidi="th-TH"/>
        </w:rPr>
        <w:t>.</w:t>
      </w:r>
      <w:r w:rsidRPr="00CB7FAE">
        <w:rPr>
          <w:color w:val="000000"/>
        </w:rPr>
        <w:t>th</w:t>
      </w:r>
      <w:r>
        <w:rPr>
          <w:color w:val="000000"/>
        </w:rPr>
        <w:t xml:space="preserve">, </w:t>
      </w:r>
      <w:r w:rsidRPr="00CB7FAE">
        <w:rPr>
          <w:color w:val="000000"/>
        </w:rPr>
        <w:t>Faculty of Veterinary Medicine</w:t>
      </w:r>
      <w:r>
        <w:rPr>
          <w:color w:val="000000"/>
        </w:rPr>
        <w:t>, Chiang Mai university, Thailand</w:t>
      </w:r>
    </w:p>
    <w:p w14:paraId="68C89281" w14:textId="77777777" w:rsidR="0097625E" w:rsidRDefault="0097625E" w:rsidP="0097625E">
      <w:pPr>
        <w:rPr>
          <w:color w:val="000000"/>
        </w:rPr>
      </w:pPr>
      <w:proofErr w:type="gramStart"/>
      <w:r>
        <w:rPr>
          <w:color w:val="000000"/>
          <w:vertAlign w:val="superscript"/>
        </w:rPr>
        <w:t>2</w:t>
      </w:r>
      <w:r>
        <w:rPr>
          <w:color w:val="000000"/>
        </w:rPr>
        <w:t xml:space="preserve">  </w:t>
      </w:r>
      <w:r w:rsidRPr="00CB7FAE">
        <w:rPr>
          <w:color w:val="000000"/>
        </w:rPr>
        <w:t>Faculty</w:t>
      </w:r>
      <w:proofErr w:type="gramEnd"/>
      <w:r w:rsidRPr="00CB7FAE">
        <w:rPr>
          <w:color w:val="000000"/>
        </w:rPr>
        <w:t xml:space="preserve"> of Veterinary Medicine, Hokkaido Univ</w:t>
      </w:r>
      <w:r>
        <w:rPr>
          <w:color w:val="000000"/>
        </w:rPr>
        <w:t>ersity, Japan</w:t>
      </w:r>
    </w:p>
    <w:p w14:paraId="71A956D2" w14:textId="77777777" w:rsidR="0097625E" w:rsidRPr="000F2678" w:rsidRDefault="0097625E" w:rsidP="0097625E">
      <w:pPr>
        <w:rPr>
          <w:rFonts w:ascii="Arial" w:hAnsi="Arial" w:cs="Arial"/>
          <w:sz w:val="28"/>
          <w:szCs w:val="28"/>
        </w:rPr>
      </w:pPr>
    </w:p>
    <w:p w14:paraId="0874AF14" w14:textId="77777777" w:rsidR="0097625E" w:rsidRDefault="0097625E" w:rsidP="0097625E">
      <w:pPr>
        <w:jc w:val="both"/>
      </w:pPr>
    </w:p>
    <w:p w14:paraId="7F6D3E3F" w14:textId="77777777" w:rsidR="0097625E" w:rsidRPr="000D54D4" w:rsidRDefault="0097625E" w:rsidP="0097625E">
      <w:pPr>
        <w:jc w:val="both"/>
      </w:pPr>
      <w:r w:rsidRPr="000D54D4">
        <w:rPr>
          <w:b/>
          <w:bCs/>
        </w:rPr>
        <w:t>Background/Objective:</w:t>
      </w:r>
      <w:r w:rsidRPr="000D54D4">
        <w:t xml:space="preserve"> </w:t>
      </w:r>
    </w:p>
    <w:p w14:paraId="1CF9E8A1" w14:textId="0B39BE5C" w:rsidR="0097625E" w:rsidRPr="000D54D4" w:rsidRDefault="0097625E" w:rsidP="0097625E">
      <w:pPr>
        <w:jc w:val="both"/>
        <w:rPr>
          <w:rFonts w:cs="Angsana New"/>
          <w:szCs w:val="30"/>
          <w:lang w:bidi="th-TH"/>
        </w:rPr>
      </w:pPr>
      <w:r w:rsidRPr="000D54D4">
        <w:t>Strongyle nematodes are recognized as one of the underlying issues affecting goat health</w:t>
      </w:r>
      <w:r w:rsidRPr="000D54D4">
        <w:rPr>
          <w:rFonts w:cs="Angsana New"/>
          <w:szCs w:val="30"/>
          <w:lang w:bidi="th-TH"/>
        </w:rPr>
        <w:t xml:space="preserve">. </w:t>
      </w:r>
      <w:r w:rsidR="003434AD">
        <w:rPr>
          <w:rFonts w:cs="Angsana New"/>
          <w:szCs w:val="30"/>
          <w:lang w:bidi="th-TH"/>
        </w:rPr>
        <w:br/>
      </w:r>
      <w:r w:rsidRPr="000D54D4">
        <w:rPr>
          <w:rFonts w:cs="Angsana New"/>
          <w:szCs w:val="30"/>
          <w:lang w:bidi="th-TH"/>
        </w:rPr>
        <w:t xml:space="preserve">To </w:t>
      </w:r>
      <w:r w:rsidR="0083017B">
        <w:rPr>
          <w:rFonts w:cs="Angsana New"/>
          <w:szCs w:val="30"/>
          <w:lang w:bidi="th-TH"/>
        </w:rPr>
        <w:t>minimize</w:t>
      </w:r>
      <w:r w:rsidRPr="000D54D4">
        <w:rPr>
          <w:rFonts w:cs="Angsana New"/>
          <w:szCs w:val="30"/>
          <w:lang w:bidi="th-TH"/>
        </w:rPr>
        <w:t xml:space="preserve"> losses,</w:t>
      </w:r>
      <w:r w:rsidR="00220F0C">
        <w:rPr>
          <w:rFonts w:cs="Angsana New"/>
          <w:szCs w:val="30"/>
          <w:lang w:bidi="th-TH"/>
        </w:rPr>
        <w:t xml:space="preserve"> it is necessary to ensure anthelmintic efficacy. </w:t>
      </w:r>
      <w:r w:rsidRPr="000D54D4">
        <w:t xml:space="preserve">Eprinomectin, an alternative anthelmintic for dairy goats, is registered with </w:t>
      </w:r>
      <w:r w:rsidR="00220F0C">
        <w:t xml:space="preserve">a </w:t>
      </w:r>
      <w:r w:rsidRPr="000D54D4">
        <w:rPr>
          <w:rFonts w:cs="Angsana New"/>
          <w:szCs w:val="30"/>
          <w:lang w:bidi="th-TH"/>
        </w:rPr>
        <w:t xml:space="preserve">zero-day withdrawal period. However, </w:t>
      </w:r>
      <w:r w:rsidRPr="000D54D4">
        <w:t xml:space="preserve">evidence of strongyle nematodes resistance to eprinomectin in </w:t>
      </w:r>
      <w:r w:rsidR="0083017B">
        <w:t xml:space="preserve">northeastern </w:t>
      </w:r>
      <w:r w:rsidRPr="000D54D4">
        <w:t xml:space="preserve">Thailand has recently been published. </w:t>
      </w:r>
      <w:r w:rsidRPr="000D54D4">
        <w:rPr>
          <w:rFonts w:cs="Angsana New"/>
          <w:szCs w:val="30"/>
          <w:lang w:bidi="th-TH"/>
        </w:rPr>
        <w:t>Therefore</w:t>
      </w:r>
      <w:r w:rsidRPr="000D54D4">
        <w:t>,</w:t>
      </w:r>
      <w:r w:rsidR="00042899">
        <w:t xml:space="preserve"> a </w:t>
      </w:r>
      <w:r w:rsidRPr="000D54D4">
        <w:rPr>
          <w:rFonts w:cs="Angsana New"/>
          <w:szCs w:val="30"/>
          <w:lang w:bidi="th-TH"/>
        </w:rPr>
        <w:t>fecal egg count reduction (FECR) test was conducted</w:t>
      </w:r>
      <w:r w:rsidR="00220F0C" w:rsidRPr="00220F0C">
        <w:rPr>
          <w:rFonts w:cs="Angsana New"/>
          <w:szCs w:val="30"/>
          <w:lang w:bidi="th-TH"/>
        </w:rPr>
        <w:t xml:space="preserve"> </w:t>
      </w:r>
      <w:r w:rsidR="00220F0C" w:rsidRPr="000D54D4">
        <w:rPr>
          <w:rFonts w:cs="Angsana New"/>
          <w:szCs w:val="30"/>
          <w:lang w:bidi="th-TH"/>
        </w:rPr>
        <w:t>to assess the antiparasitic efficacy</w:t>
      </w:r>
      <w:r w:rsidR="00220F0C">
        <w:rPr>
          <w:rFonts w:cs="Angsana New"/>
          <w:szCs w:val="30"/>
          <w:lang w:bidi="th-TH"/>
        </w:rPr>
        <w:t>.</w:t>
      </w:r>
    </w:p>
    <w:p w14:paraId="3A5E3823" w14:textId="77777777" w:rsidR="0097625E" w:rsidRPr="000D54D4" w:rsidRDefault="0097625E" w:rsidP="0097625E">
      <w:pPr>
        <w:jc w:val="both"/>
      </w:pPr>
      <w:r w:rsidRPr="000D54D4">
        <w:rPr>
          <w:b/>
          <w:bCs/>
        </w:rPr>
        <w:t>Methods:</w:t>
      </w:r>
      <w:r w:rsidRPr="000D54D4">
        <w:t xml:space="preserve"> </w:t>
      </w:r>
    </w:p>
    <w:p w14:paraId="4B9C73C7" w14:textId="68B36E1A" w:rsidR="0097625E" w:rsidRPr="000D54D4" w:rsidRDefault="0097625E" w:rsidP="0097625E">
      <w:pPr>
        <w:jc w:val="both"/>
      </w:pPr>
      <w:r w:rsidRPr="000D54D4">
        <w:t xml:space="preserve">The study was conducted on a dairy goat farm, in Chiang </w:t>
      </w:r>
      <w:r w:rsidR="0083017B">
        <w:t>Mai</w:t>
      </w:r>
      <w:r w:rsidRPr="000D54D4">
        <w:t>, Thailand. The goats were randomly allocated into two groups. 0.2 mg/kg of eprinomectin were injected subcutaneously in the treatment group (n=30</w:t>
      </w:r>
      <w:proofErr w:type="gramStart"/>
      <w:r w:rsidR="00042899">
        <w:t xml:space="preserve">) </w:t>
      </w:r>
      <w:r w:rsidRPr="000D54D4">
        <w:t>,</w:t>
      </w:r>
      <w:proofErr w:type="gramEnd"/>
      <w:r w:rsidR="0083017B">
        <w:t xml:space="preserve"> </w:t>
      </w:r>
      <w:r w:rsidRPr="000D54D4">
        <w:t xml:space="preserve">while the control group (n = 14) was left untreated. Rectal feces were collected on the day of administration (Day0) and 14 days after the administration (Day14). The strongyle nematode eggs were counted using </w:t>
      </w:r>
      <w:r w:rsidR="0083017B">
        <w:t xml:space="preserve">the </w:t>
      </w:r>
      <w:r w:rsidRPr="000D54D4">
        <w:t>modified McMaster method</w:t>
      </w:r>
      <w:r w:rsidR="00042899">
        <w:t>,</w:t>
      </w:r>
      <w:r w:rsidRPr="000D54D4">
        <w:t xml:space="preserve"> </w:t>
      </w:r>
      <w:proofErr w:type="gramStart"/>
      <w:r w:rsidRPr="000D54D4">
        <w:t>and</w:t>
      </w:r>
      <w:r w:rsidR="00042899">
        <w:t xml:space="preserve">  FECR</w:t>
      </w:r>
      <w:proofErr w:type="gramEnd"/>
      <w:r w:rsidR="00042899">
        <w:t xml:space="preserve"> was calculated.</w:t>
      </w:r>
    </w:p>
    <w:p w14:paraId="4C1263B2" w14:textId="77777777" w:rsidR="0097625E" w:rsidRPr="000D54D4" w:rsidRDefault="0097625E" w:rsidP="0097625E">
      <w:pPr>
        <w:jc w:val="both"/>
      </w:pPr>
      <w:r w:rsidRPr="000D54D4">
        <w:rPr>
          <w:b/>
          <w:bCs/>
        </w:rPr>
        <w:t>Results:</w:t>
      </w:r>
    </w:p>
    <w:p w14:paraId="78878BA9" w14:textId="1E8F790C" w:rsidR="0097625E" w:rsidRPr="000D54D4" w:rsidRDefault="0097625E" w:rsidP="004B059C">
      <w:pPr>
        <w:jc w:val="thaiDistribute"/>
      </w:pPr>
      <w:r w:rsidRPr="000D54D4">
        <w:t>The fecal examination results showed average strongyle</w:t>
      </w:r>
      <w:r w:rsidR="00042899">
        <w:t xml:space="preserve"> nematode</w:t>
      </w:r>
      <w:r w:rsidRPr="000D54D4">
        <w:t xml:space="preserve"> egg counts (eggs per gram of feces; </w:t>
      </w:r>
      <w:proofErr w:type="spellStart"/>
      <w:r w:rsidRPr="000D54D4">
        <w:t>epg</w:t>
      </w:r>
      <w:proofErr w:type="spellEnd"/>
      <w:r w:rsidRPr="000D54D4">
        <w:t>) for the treatment and control groups on Day0 as 2,052 (1,679) and 2,103 (1,573), respectively. On Day14, the counts were 2,110 (1,862) and 2,406 (1,162) respectively. The resistance of strongyle nematodes was shown as an FECR percentage of -7.7 with a 90% confidence interval (CI) of -49.4% to 29.2%.</w:t>
      </w:r>
    </w:p>
    <w:p w14:paraId="0305D719" w14:textId="77777777" w:rsidR="0097625E" w:rsidRPr="000D54D4" w:rsidRDefault="0097625E" w:rsidP="0097625E">
      <w:r w:rsidRPr="000D54D4">
        <w:rPr>
          <w:b/>
          <w:bCs/>
        </w:rPr>
        <w:t>Conclusion:</w:t>
      </w:r>
    </w:p>
    <w:p w14:paraId="12198193" w14:textId="44279414" w:rsidR="0097625E" w:rsidRPr="000D54D4" w:rsidRDefault="0097625E" w:rsidP="0097625E">
      <w:r w:rsidRPr="000D54D4">
        <w:t xml:space="preserve">This </w:t>
      </w:r>
      <w:r w:rsidR="004B059C">
        <w:t>study is the first to</w:t>
      </w:r>
      <w:r w:rsidRPr="000D54D4">
        <w:t xml:space="preserve"> indicate</w:t>
      </w:r>
      <w:r w:rsidR="004B059C">
        <w:t xml:space="preserve"> a reduction in </w:t>
      </w:r>
      <w:r w:rsidRPr="000D54D4">
        <w:t xml:space="preserve">efficacy of eprinomectin </w:t>
      </w:r>
      <w:r w:rsidR="004B059C">
        <w:t>against</w:t>
      </w:r>
      <w:r w:rsidRPr="000D54D4">
        <w:t xml:space="preserve"> strongyle nematodes on the dairy goat farm in northern Thailand. Further molecular identification of strongyle species is needed to determine which are prevalent or resistance to eprinomectin.</w:t>
      </w:r>
    </w:p>
    <w:p w14:paraId="778C8D50" w14:textId="77777777" w:rsidR="0097625E" w:rsidRDefault="0097625E" w:rsidP="0097625E">
      <w:pPr>
        <w:jc w:val="both"/>
      </w:pPr>
    </w:p>
    <w:p w14:paraId="66162DA5" w14:textId="77777777" w:rsidR="0097625E" w:rsidRDefault="0097625E" w:rsidP="0097625E"/>
    <w:p w14:paraId="7BE20F3E" w14:textId="77777777" w:rsidR="0097625E" w:rsidRPr="00042899" w:rsidRDefault="0097625E" w:rsidP="0097625E">
      <w:pPr>
        <w:jc w:val="both"/>
      </w:pPr>
      <w:r w:rsidRPr="00042899">
        <w:rPr>
          <w:b/>
          <w:bCs/>
        </w:rPr>
        <w:t>Keywords:</w:t>
      </w:r>
      <w:r w:rsidRPr="00042899">
        <w:t xml:space="preserve"> </w:t>
      </w:r>
    </w:p>
    <w:p w14:paraId="2A6FCAD7" w14:textId="0717694F" w:rsidR="0097625E" w:rsidRPr="00042899" w:rsidRDefault="0097625E" w:rsidP="0097625E">
      <w:pPr>
        <w:jc w:val="both"/>
      </w:pPr>
      <w:r w:rsidRPr="00042899">
        <w:t xml:space="preserve">Strongyle nematode, </w:t>
      </w:r>
      <w:r w:rsidR="00042899">
        <w:t>E</w:t>
      </w:r>
      <w:r w:rsidRPr="00042899">
        <w:t xml:space="preserve">prinomectin, </w:t>
      </w:r>
      <w:r w:rsidR="00042899">
        <w:t>A</w:t>
      </w:r>
      <w:r w:rsidRPr="00042899">
        <w:t xml:space="preserve">nthelmintic </w:t>
      </w:r>
      <w:r w:rsidR="00042899">
        <w:t>R</w:t>
      </w:r>
      <w:r w:rsidRPr="00042899">
        <w:t xml:space="preserve">esistance, </w:t>
      </w:r>
      <w:r w:rsidR="00042899">
        <w:t>D</w:t>
      </w:r>
      <w:r w:rsidRPr="00042899">
        <w:t xml:space="preserve">airy </w:t>
      </w:r>
      <w:r w:rsidR="00042899">
        <w:t>G</w:t>
      </w:r>
      <w:r w:rsidRPr="00042899">
        <w:t>oat</w:t>
      </w:r>
    </w:p>
    <w:p w14:paraId="04B68DAB" w14:textId="77777777" w:rsidR="0097625E" w:rsidRPr="00042899" w:rsidRDefault="0097625E"/>
    <w:sectPr w:rsidR="0097625E" w:rsidRPr="0004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5E"/>
    <w:rsid w:val="00042899"/>
    <w:rsid w:val="00220F0C"/>
    <w:rsid w:val="003434AD"/>
    <w:rsid w:val="004B059C"/>
    <w:rsid w:val="004B6DEE"/>
    <w:rsid w:val="0083017B"/>
    <w:rsid w:val="00897434"/>
    <w:rsid w:val="0097625E"/>
    <w:rsid w:val="00BB3BA1"/>
    <w:rsid w:val="00EA28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F4B43"/>
  <w15:chartTrackingRefBased/>
  <w15:docId w15:val="{4D368F33-2A70-4B55-AD86-E72DB4BE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5E"/>
    <w:pPr>
      <w:spacing w:after="0" w:line="240" w:lineRule="auto"/>
    </w:pPr>
    <w:rPr>
      <w:rFonts w:ascii="Times New Roman" w:eastAsia="Times New Roman" w:hAnsi="Times New Roman" w:cs="Times New Roman"/>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Thanakorn Rompo</dc:creator>
  <cp:keywords/>
  <dc:description/>
  <cp:lastModifiedBy>Thanakorn Rompo</cp:lastModifiedBy>
  <cp:revision>3</cp:revision>
  <dcterms:created xsi:type="dcterms:W3CDTF">2024-05-13T06:42:00Z</dcterms:created>
  <dcterms:modified xsi:type="dcterms:W3CDTF">2024-05-13T06:47:00Z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f067be099bde176164bc971695035cde4e55b41fd01b640a94c3e11e7b4bbab1</vt:lpwstr>
  </property>
</Properties>
</file>