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line="276" w:lineRule="auto"/>
        <w:jc w:val="left"/>
        <w:rPr>
          <w:rFonts w:hint="default" w:ascii="Times New Roman" w:hAnsi="Times New Roman" w:cs="Times New Roman"/>
        </w:rPr>
      </w:pPr>
      <w:r>
        <w:rPr>
          <w:rFonts w:hint="default" w:ascii="Times New Roman" w:hAnsi="Times New Roman" w:cs="Times New Roman"/>
          <w:rtl w:val="0"/>
        </w:rPr>
        <w:t xml:space="preserve">I prefer: </w:t>
      </w:r>
    </w:p>
    <w:p>
      <w:pPr>
        <w:pStyle w:val="19"/>
        <w:spacing w:line="276" w:lineRule="auto"/>
        <w:jc w:val="left"/>
        <w:rPr>
          <w:rFonts w:hint="default" w:ascii="Times New Roman" w:hAnsi="Times New Roman" w:cs="Times New Roman"/>
        </w:rPr>
      </w:pPr>
      <w:r>
        <w:rPr>
          <w:rFonts w:hint="default" w:ascii="Times New Roman" w:hAnsi="Times New Roman" w:cs="Times New Roman"/>
          <w:rtl w:val="0"/>
        </w:rPr>
        <w:tab/>
      </w:r>
      <w:r>
        <w:rPr>
          <w:rFonts w:hint="default" w:ascii="Times New Roman" w:hAnsi="Times New Roman" w:cs="Times New Roman"/>
          <w:rtl w:val="0"/>
        </w:rPr>
        <w:t>☑ ORAL presentation</w:t>
      </w:r>
    </w:p>
    <w:p>
      <w:pPr>
        <w:pStyle w:val="19"/>
        <w:pBdr>
          <w:bottom w:val="single" w:color="000000" w:sz="6" w:space="1"/>
        </w:pBdr>
        <w:spacing w:line="276" w:lineRule="auto"/>
        <w:jc w:val="left"/>
        <w:rPr>
          <w:rFonts w:hint="default" w:ascii="Times New Roman" w:hAnsi="Times New Roman" w:cs="Times New Roman"/>
        </w:rPr>
      </w:pPr>
      <w:sdt>
        <w:sdtPr>
          <w:rPr>
            <w:rFonts w:hint="default" w:ascii="Times New Roman" w:hAnsi="Times New Roman" w:cs="Times New Roman"/>
          </w:rPr>
          <w:tag w:val="goog_rdk_0"/>
          <w:id w:val="1"/>
        </w:sdtPr>
        <w:sdtEndPr>
          <w:rPr>
            <w:rFonts w:hint="default" w:ascii="Times New Roman" w:hAnsi="Times New Roman" w:cs="Times New Roman"/>
          </w:rPr>
        </w:sdtEndPr>
        <w:sdtContent>
          <w:r>
            <w:rPr>
              <w:rFonts w:hint="default" w:ascii="Times New Roman" w:hAnsi="Times New Roman" w:eastAsia="Nova Mono" w:cs="Times New Roman"/>
              <w:rtl w:val="0"/>
            </w:rPr>
            <w:tab/>
          </w:r>
          <w:r>
            <w:rPr>
              <w:rFonts w:hint="default" w:ascii="Times New Roman" w:hAnsi="Times New Roman" w:eastAsia="Nova Mono" w:cs="Times New Roman"/>
              <w:rtl w:val="0"/>
            </w:rPr>
            <w:t xml:space="preserve">⬜ </w:t>
          </w:r>
          <w:r>
            <w:rPr>
              <w:rFonts w:hint="default" w:ascii="Times New Roman" w:hAnsi="Times New Roman" w:eastAsia="Nova Mono" w:cs="Times New Roman"/>
              <w:rtl w:val="0"/>
            </w:rPr>
            <w:t>POSTER presentation</w:t>
          </w:r>
        </w:sdtContent>
      </w:sdt>
    </w:p>
    <w:p>
      <w:pPr>
        <w:pStyle w:val="19"/>
        <w:spacing w:line="276" w:lineRule="auto"/>
        <w:jc w:val="left"/>
        <w:rPr>
          <w:sz w:val="18"/>
          <w:szCs w:val="18"/>
        </w:rPr>
      </w:pPr>
    </w:p>
    <w:p>
      <w:pPr>
        <w:rPr>
          <w:sz w:val="18"/>
          <w:szCs w:val="18"/>
        </w:rPr>
      </w:pPr>
    </w:p>
    <w:p>
      <w:pPr>
        <w:jc w:val="center"/>
        <w:rPr>
          <w:rFonts w:ascii="Arial" w:hAnsi="Arial" w:eastAsia="Arial" w:cs="Arial"/>
          <w:b/>
          <w:sz w:val="28"/>
          <w:szCs w:val="28"/>
        </w:rPr>
      </w:pPr>
      <w:r>
        <w:rPr>
          <w:rFonts w:ascii="Arial" w:hAnsi="Arial" w:eastAsia="Arial" w:cs="Arial"/>
          <w:b/>
          <w:sz w:val="28"/>
          <w:szCs w:val="28"/>
          <w:rtl w:val="0"/>
        </w:rPr>
        <w:t>I</w:t>
      </w:r>
      <w:sdt>
        <w:sdtPr>
          <w:tag w:val="goog_rdk_1"/>
          <w:id w:val="2"/>
        </w:sdtPr>
        <w:sdtContent/>
      </w:sdt>
      <w:r>
        <w:rPr>
          <w:rFonts w:ascii="Arial" w:hAnsi="Arial" w:eastAsia="Arial" w:cs="Arial"/>
          <w:b/>
          <w:sz w:val="28"/>
          <w:szCs w:val="28"/>
          <w:rtl w:val="0"/>
        </w:rPr>
        <w:t>n vitro models for biochar testing - evaluating its bioactivity according to 3R rules and translational studies</w:t>
      </w:r>
    </w:p>
    <w:p>
      <w:pPr>
        <w:rPr>
          <w:rFonts w:ascii="Arial" w:hAnsi="Arial" w:eastAsia="Arial" w:cs="Arial"/>
          <w:b/>
          <w:color w:val="000000"/>
          <w:sz w:val="28"/>
          <w:szCs w:val="28"/>
        </w:rPr>
      </w:pPr>
    </w:p>
    <w:p>
      <w:pPr>
        <w:rPr>
          <w:color w:val="000000"/>
          <w:sz w:val="28"/>
          <w:szCs w:val="28"/>
        </w:rPr>
      </w:pPr>
      <w:r>
        <w:rPr>
          <w:rFonts w:hint="default" w:ascii="Times New Roman" w:hAnsi="Times New Roman" w:cs="Times New Roman"/>
          <w:color w:val="000000"/>
          <w:sz w:val="28"/>
          <w:szCs w:val="28"/>
          <w:rtl w:val="0"/>
        </w:rPr>
        <w:t>Sidra Amin</w:t>
      </w:r>
      <w:r>
        <w:rPr>
          <w:rFonts w:hint="default" w:ascii="Times New Roman" w:hAnsi="Times New Roman" w:cs="Times New Roman"/>
          <w:color w:val="000000"/>
          <w:sz w:val="28"/>
          <w:szCs w:val="28"/>
          <w:vertAlign w:val="superscript"/>
          <w:rtl w:val="0"/>
        </w:rPr>
        <w:t>1,2</w:t>
      </w:r>
      <w:r>
        <w:rPr>
          <w:rFonts w:hint="default" w:ascii="Times New Roman" w:hAnsi="Times New Roman" w:cs="Times New Roman"/>
          <w:color w:val="000000"/>
          <w:sz w:val="28"/>
          <w:szCs w:val="28"/>
          <w:rtl w:val="0"/>
        </w:rPr>
        <w:t>*, Magdalena Wołoszyńska</w:t>
      </w:r>
      <w:r>
        <w:rPr>
          <w:rFonts w:hint="default" w:ascii="Times New Roman" w:hAnsi="Times New Roman" w:cs="Times New Roman"/>
          <w:color w:val="000000"/>
          <w:sz w:val="28"/>
          <w:szCs w:val="28"/>
          <w:vertAlign w:val="superscript"/>
          <w:rtl w:val="0"/>
        </w:rPr>
        <w:t>1</w:t>
      </w:r>
      <w:r>
        <w:rPr>
          <w:rFonts w:hint="default" w:ascii="Times New Roman" w:hAnsi="Times New Roman" w:cs="Times New Roman"/>
          <w:color w:val="000000"/>
          <w:sz w:val="28"/>
          <w:szCs w:val="28"/>
          <w:rtl w:val="0"/>
        </w:rPr>
        <w:t>, Sebastian Opaliński</w:t>
      </w:r>
      <w:r>
        <w:rPr>
          <w:rFonts w:hint="default" w:ascii="Times New Roman" w:hAnsi="Times New Roman" w:cs="Times New Roman"/>
          <w:color w:val="000000"/>
          <w:sz w:val="28"/>
          <w:szCs w:val="28"/>
          <w:vertAlign w:val="superscript"/>
          <w:rtl w:val="0"/>
        </w:rPr>
        <w:t>3</w:t>
      </w:r>
      <w:r>
        <w:rPr>
          <w:rFonts w:hint="default" w:ascii="Times New Roman" w:hAnsi="Times New Roman" w:cs="Times New Roman"/>
          <w:color w:val="000000"/>
          <w:sz w:val="28"/>
          <w:szCs w:val="28"/>
          <w:rtl w:val="0"/>
        </w:rPr>
        <w:t>, Agnieszka Śmieszek</w:t>
      </w:r>
      <w:r>
        <w:rPr>
          <w:rFonts w:hint="default" w:ascii="Times New Roman" w:hAnsi="Times New Roman" w:cs="Times New Roman"/>
          <w:color w:val="000000"/>
          <w:sz w:val="28"/>
          <w:szCs w:val="28"/>
          <w:vertAlign w:val="superscript"/>
          <w:rtl w:val="0"/>
        </w:rPr>
        <w:t>2</w:t>
      </w:r>
    </w:p>
    <w:p>
      <w:pPr>
        <w:rPr>
          <w:rFonts w:hint="default" w:ascii="Times New Roman" w:hAnsi="Times New Roman" w:cs="Times New Roman"/>
          <w:color w:val="000000"/>
        </w:rPr>
      </w:pPr>
      <w:r>
        <w:rPr>
          <w:rFonts w:hint="default" w:ascii="Times New Roman" w:hAnsi="Times New Roman" w:cs="Times New Roman"/>
          <w:color w:val="000000"/>
          <w:rtl w:val="0"/>
        </w:rPr>
        <w:t>*lead presenter</w:t>
      </w:r>
    </w:p>
    <w:p>
      <w:pPr>
        <w:rPr>
          <w:rFonts w:hint="default" w:ascii="Times New Roman" w:hAnsi="Times New Roman" w:cs="Times New Roman"/>
          <w:color w:val="000000"/>
        </w:rPr>
      </w:pPr>
      <w:r>
        <w:rPr>
          <w:rFonts w:hint="default" w:ascii="Times New Roman" w:hAnsi="Times New Roman" w:cs="Times New Roman"/>
          <w:color w:val="000000"/>
          <w:vertAlign w:val="superscript"/>
          <w:rtl w:val="0"/>
        </w:rPr>
        <w:t>1</w:t>
      </w:r>
      <w:r>
        <w:rPr>
          <w:rFonts w:hint="default" w:ascii="Times New Roman" w:hAnsi="Times New Roman" w:cs="Times New Roman"/>
        </w:rPr>
        <w:fldChar w:fldCharType="begin"/>
      </w:r>
      <w:r>
        <w:rPr>
          <w:rFonts w:hint="default" w:ascii="Times New Roman" w:hAnsi="Times New Roman" w:cs="Times New Roman"/>
        </w:rPr>
        <w:instrText xml:space="preserve"> HYPERLINK "mailto:sidra.amin@upwr.edu.pl" \h </w:instrText>
      </w:r>
      <w:r>
        <w:rPr>
          <w:rFonts w:hint="default" w:ascii="Times New Roman" w:hAnsi="Times New Roman" w:cs="Times New Roman"/>
        </w:rPr>
        <w:fldChar w:fldCharType="separate"/>
      </w:r>
      <w:r>
        <w:rPr>
          <w:rFonts w:hint="default" w:ascii="Times New Roman" w:hAnsi="Times New Roman" w:cs="Times New Roman"/>
          <w:color w:val="000000"/>
          <w:u w:val="single"/>
          <w:rtl w:val="0"/>
        </w:rPr>
        <w:t>sidra.amin@upwr.edu.pl</w:t>
      </w:r>
      <w:r>
        <w:rPr>
          <w:rFonts w:hint="default" w:ascii="Times New Roman" w:hAnsi="Times New Roman" w:cs="Times New Roman"/>
          <w:color w:val="000000"/>
          <w:u w:val="single"/>
          <w:rtl w:val="0"/>
        </w:rPr>
        <w:fldChar w:fldCharType="end"/>
      </w:r>
      <w:r>
        <w:rPr>
          <w:rFonts w:hint="default" w:ascii="Times New Roman" w:hAnsi="Times New Roman" w:cs="Times New Roman"/>
          <w:color w:val="000000"/>
          <w:rtl w:val="0"/>
        </w:rPr>
        <w:t xml:space="preserve">, Department of  </w:t>
      </w:r>
      <w:r>
        <w:rPr>
          <w:rFonts w:hint="default" w:ascii="Times New Roman" w:hAnsi="Times New Roman" w:cs="Times New Roman"/>
          <w:rtl w:val="0"/>
        </w:rPr>
        <w:t>Genetics</w:t>
      </w:r>
      <w:r>
        <w:rPr>
          <w:rFonts w:hint="default" w:ascii="Times New Roman" w:hAnsi="Times New Roman" w:cs="Times New Roman"/>
          <w:color w:val="000000"/>
          <w:rtl w:val="0"/>
        </w:rPr>
        <w:t xml:space="preserve">, Faculty of Biology and Animal Science, </w:t>
      </w:r>
      <w:r>
        <w:rPr>
          <w:rFonts w:hint="default" w:ascii="Times New Roman" w:hAnsi="Times New Roman" w:cs="Times New Roman"/>
          <w:rtl w:val="0"/>
        </w:rPr>
        <w:t>Wrocław University of Environmental and Life Sciences</w:t>
      </w:r>
      <w:r>
        <w:rPr>
          <w:rFonts w:hint="default" w:ascii="Times New Roman" w:hAnsi="Times New Roman" w:cs="Times New Roman"/>
          <w:color w:val="000000"/>
          <w:rtl w:val="0"/>
        </w:rPr>
        <w:t>, Poland</w:t>
      </w:r>
    </w:p>
    <w:p>
      <w:pPr>
        <w:rPr>
          <w:rFonts w:hint="default" w:ascii="Times New Roman" w:hAnsi="Times New Roman" w:cs="Times New Roman"/>
          <w:color w:val="000000"/>
        </w:rPr>
      </w:pPr>
      <w:r>
        <w:rPr>
          <w:rFonts w:hint="default" w:ascii="Times New Roman" w:hAnsi="Times New Roman" w:cs="Times New Roman"/>
          <w:color w:val="000000"/>
          <w:vertAlign w:val="superscript"/>
          <w:rtl w:val="0"/>
        </w:rPr>
        <w:t>2</w:t>
      </w:r>
      <w:r>
        <w:rPr>
          <w:rFonts w:hint="default" w:ascii="Times New Roman" w:hAnsi="Times New Roman" w:cs="Times New Roman"/>
          <w:color w:val="000000"/>
          <w:rtl w:val="0"/>
        </w:rPr>
        <w:t xml:space="preserve"> Department of</w:t>
      </w:r>
      <w:r>
        <w:rPr>
          <w:rFonts w:hint="default" w:ascii="Times New Roman" w:hAnsi="Times New Roman" w:cs="Times New Roman"/>
          <w:rtl w:val="0"/>
        </w:rPr>
        <w:t xml:space="preserve"> Department of Pharmacology and Toxicology,</w:t>
      </w:r>
      <w:r>
        <w:rPr>
          <w:rFonts w:hint="default" w:ascii="Times New Roman" w:hAnsi="Times New Roman" w:cs="Times New Roman"/>
          <w:color w:val="000000"/>
          <w:rtl w:val="0"/>
        </w:rPr>
        <w:t xml:space="preserve"> Faculty of Veterinary Medicine, </w:t>
      </w:r>
      <w:r>
        <w:rPr>
          <w:rFonts w:hint="default" w:ascii="Times New Roman" w:hAnsi="Times New Roman" w:cs="Times New Roman"/>
          <w:rtl w:val="0"/>
        </w:rPr>
        <w:t>Wrocław University of Environmental and Life Sciences</w:t>
      </w:r>
      <w:r>
        <w:rPr>
          <w:rFonts w:hint="default" w:ascii="Times New Roman" w:hAnsi="Times New Roman" w:cs="Times New Roman"/>
          <w:color w:val="000000"/>
          <w:rtl w:val="0"/>
        </w:rPr>
        <w:t>, Poland</w:t>
      </w:r>
    </w:p>
    <w:p>
      <w:pPr>
        <w:rPr>
          <w:rFonts w:hint="default" w:ascii="Times New Roman" w:hAnsi="Times New Roman" w:cs="Times New Roman"/>
          <w:color w:val="000000"/>
        </w:rPr>
      </w:pPr>
      <w:r>
        <w:rPr>
          <w:rFonts w:hint="default" w:ascii="Times New Roman" w:hAnsi="Times New Roman" w:cs="Times New Roman"/>
          <w:color w:val="000000"/>
          <w:vertAlign w:val="superscript"/>
          <w:rtl w:val="0"/>
        </w:rPr>
        <w:t>3</w:t>
      </w:r>
      <w:r>
        <w:rPr>
          <w:rFonts w:hint="default" w:ascii="Times New Roman" w:hAnsi="Times New Roman" w:cs="Times New Roman"/>
          <w:color w:val="000000"/>
          <w:rtl w:val="0"/>
        </w:rPr>
        <w:t xml:space="preserve"> Department of Environmental Hygiene and Animal Welfare, </w:t>
      </w:r>
      <w:r>
        <w:rPr>
          <w:rFonts w:hint="default" w:ascii="Times New Roman" w:hAnsi="Times New Roman" w:cs="Times New Roman"/>
          <w:rtl w:val="0"/>
        </w:rPr>
        <w:t>Faculty of Biology and Animal Science</w:t>
      </w:r>
      <w:r>
        <w:rPr>
          <w:rFonts w:hint="default" w:ascii="Times New Roman" w:hAnsi="Times New Roman" w:cs="Times New Roman"/>
          <w:color w:val="000000"/>
          <w:rtl w:val="0"/>
        </w:rPr>
        <w:t>. Wrocław University of Environmental and Life Sciences, Poland</w:t>
      </w:r>
    </w:p>
    <w:p>
      <w:pPr>
        <w:rPr>
          <w:rFonts w:hint="default" w:ascii="Times New Roman" w:hAnsi="Times New Roman" w:cs="Times New Roman"/>
          <w:color w:val="000000"/>
        </w:rPr>
      </w:pPr>
    </w:p>
    <w:p>
      <w:pPr>
        <w:jc w:val="both"/>
        <w:rPr>
          <w:rFonts w:hint="default" w:ascii="Times New Roman" w:hAnsi="Times New Roman" w:cs="Times New Roman"/>
          <w:b/>
          <w:color w:val="000000"/>
        </w:rPr>
      </w:pPr>
      <w:r>
        <w:rPr>
          <w:rFonts w:hint="default" w:ascii="Times New Roman" w:hAnsi="Times New Roman" w:cs="Times New Roman"/>
          <w:b/>
          <w:color w:val="000000"/>
          <w:rtl w:val="0"/>
        </w:rPr>
        <w:t>Ab</w:t>
      </w:r>
      <w:bookmarkStart w:id="1" w:name="_GoBack"/>
      <w:bookmarkEnd w:id="1"/>
      <w:r>
        <w:rPr>
          <w:rFonts w:hint="default" w:ascii="Times New Roman" w:hAnsi="Times New Roman" w:cs="Times New Roman"/>
          <w:b/>
          <w:color w:val="000000"/>
          <w:rtl w:val="0"/>
        </w:rPr>
        <w:t>stract</w:t>
      </w:r>
    </w:p>
    <w:p>
      <w:pPr>
        <w:jc w:val="both"/>
        <w:rPr>
          <w:rFonts w:hint="default" w:ascii="Times New Roman" w:hAnsi="Times New Roman" w:cs="Times New Roman"/>
          <w:color w:val="000000"/>
        </w:rPr>
      </w:pPr>
    </w:p>
    <w:p>
      <w:pPr>
        <w:jc w:val="both"/>
        <w:rPr>
          <w:rFonts w:hint="default" w:ascii="Times New Roman" w:hAnsi="Times New Roman" w:cs="Times New Roman"/>
          <w:b/>
          <w:color w:val="000000"/>
        </w:rPr>
      </w:pPr>
      <w:r>
        <w:rPr>
          <w:rFonts w:hint="default" w:ascii="Times New Roman" w:hAnsi="Times New Roman" w:cs="Times New Roman"/>
          <w:b/>
          <w:color w:val="000000"/>
          <w:rtl w:val="0"/>
        </w:rPr>
        <w:t xml:space="preserve">Background/Objective: </w:t>
      </w:r>
      <w:r>
        <w:rPr>
          <w:rFonts w:hint="default" w:ascii="Times New Roman" w:hAnsi="Times New Roman" w:cs="Times New Roman"/>
          <w:color w:val="000000"/>
          <w:rtl w:val="0"/>
        </w:rPr>
        <w:t xml:space="preserve">Biochar, derived from the pyrolysis of organic materials such as wheat straw or wood chips, is a feed additive used in livestock production. Nevertheless, the studies on biochar's role as a functional element of diet are poorly described and understood. In addition, the </w:t>
      </w:r>
      <w:r>
        <w:rPr>
          <w:rFonts w:hint="default" w:ascii="Times New Roman" w:hAnsi="Times New Roman" w:cs="Times New Roman"/>
          <w:i/>
          <w:color w:val="000000"/>
          <w:rtl w:val="0"/>
        </w:rPr>
        <w:t>in vitro</w:t>
      </w:r>
      <w:r>
        <w:rPr>
          <w:rFonts w:hint="default" w:ascii="Times New Roman" w:hAnsi="Times New Roman" w:cs="Times New Roman"/>
          <w:color w:val="000000"/>
          <w:rtl w:val="0"/>
        </w:rPr>
        <w:t xml:space="preserve"> studies aimed at biochar cytotoxicity evaluation are limited, while could be beneficial for further translational research on the pro-health features of biochar e.g. in poultry.      </w:t>
      </w:r>
    </w:p>
    <w:p>
      <w:pPr>
        <w:jc w:val="both"/>
        <w:rPr>
          <w:rFonts w:hint="default" w:ascii="Times New Roman" w:hAnsi="Times New Roman" w:cs="Times New Roman"/>
          <w:color w:val="0D0D0D"/>
        </w:rPr>
      </w:pPr>
      <w:r>
        <w:rPr>
          <w:rFonts w:hint="default" w:ascii="Times New Roman" w:hAnsi="Times New Roman" w:cs="Times New Roman"/>
          <w:b/>
          <w:color w:val="000000"/>
          <w:rtl w:val="0"/>
        </w:rPr>
        <w:t>Methods:</w:t>
      </w:r>
      <w:r>
        <w:rPr>
          <w:rFonts w:hint="default" w:ascii="Times New Roman" w:hAnsi="Times New Roman" w:cs="Times New Roman"/>
          <w:color w:val="000000"/>
          <w:rtl w:val="0"/>
        </w:rPr>
        <w:t xml:space="preserve"> A comprehensive literature review spanning a decade (2014-2024) was conducted (PubMed and Google Scholar databases) to summarize data considering biochar </w:t>
      </w:r>
      <w:r>
        <w:rPr>
          <w:rFonts w:hint="default" w:ascii="Times New Roman" w:hAnsi="Times New Roman" w:cs="Times New Roman"/>
          <w:i/>
          <w:color w:val="000000"/>
          <w:rtl w:val="0"/>
        </w:rPr>
        <w:t>in vitro</w:t>
      </w:r>
      <w:r>
        <w:rPr>
          <w:rFonts w:hint="default" w:ascii="Times New Roman" w:hAnsi="Times New Roman" w:cs="Times New Roman"/>
          <w:color w:val="000000"/>
          <w:rtl w:val="0"/>
        </w:rPr>
        <w:t xml:space="preserve"> bioactivity. Simultaneously, a pilot-scale </w:t>
      </w:r>
      <w:r>
        <w:rPr>
          <w:rFonts w:hint="default" w:ascii="Times New Roman" w:hAnsi="Times New Roman" w:cs="Times New Roman"/>
          <w:i/>
          <w:color w:val="000000"/>
          <w:rtl w:val="0"/>
        </w:rPr>
        <w:t>in vitro</w:t>
      </w:r>
      <w:r>
        <w:rPr>
          <w:rFonts w:hint="default" w:ascii="Times New Roman" w:hAnsi="Times New Roman" w:cs="Times New Roman"/>
          <w:color w:val="000000"/>
          <w:rtl w:val="0"/>
        </w:rPr>
        <w:t xml:space="preserve"> study was designed to assess the cytotoxicity of biochar, using the human Caco-2 cell line, which has proven to be a valuable model for evaluating various natural bioactive compounds like curcumin, resveratrol, and quercetin -  though it has not previously been used for biochar testing.</w:t>
      </w:r>
    </w:p>
    <w:p>
      <w:pPr>
        <w:jc w:val="both"/>
        <w:rPr>
          <w:rFonts w:hint="default" w:ascii="Times New Roman" w:hAnsi="Times New Roman" w:cs="Times New Roman"/>
          <w:color w:val="0D0D0D"/>
        </w:rPr>
      </w:pPr>
      <w:r>
        <w:rPr>
          <w:rFonts w:hint="default" w:ascii="Times New Roman" w:hAnsi="Times New Roman" w:cs="Times New Roman"/>
          <w:b/>
          <w:color w:val="0D0D0D"/>
          <w:rtl w:val="0"/>
        </w:rPr>
        <w:t>Results:</w:t>
      </w:r>
      <w:r>
        <w:rPr>
          <w:rFonts w:hint="default" w:ascii="Times New Roman" w:hAnsi="Times New Roman" w:cs="Times New Roman"/>
          <w:color w:val="0D0D0D"/>
          <w:rtl w:val="0"/>
        </w:rPr>
        <w:t xml:space="preserve"> The review of the literature confirms insufficient data on </w:t>
      </w:r>
      <w:r>
        <w:rPr>
          <w:rFonts w:hint="default" w:ascii="Times New Roman" w:hAnsi="Times New Roman" w:cs="Times New Roman"/>
          <w:i/>
          <w:color w:val="0D0D0D"/>
          <w:rtl w:val="0"/>
        </w:rPr>
        <w:t>in vitro</w:t>
      </w:r>
      <w:r>
        <w:rPr>
          <w:rFonts w:hint="default" w:ascii="Times New Roman" w:hAnsi="Times New Roman" w:cs="Times New Roman"/>
          <w:color w:val="0D0D0D"/>
          <w:rtl w:val="0"/>
        </w:rPr>
        <w:t xml:space="preserve"> studies related to biochar cytotoxicity and bioactivity. The Caco-2 cell line, an established and well-characterized in vitro model, possesses features beneficial for testing biochar and analyzing it as a feed additive in future livestock production. However, more in-depth studies are required.</w:t>
      </w:r>
    </w:p>
    <w:p>
      <w:pPr>
        <w:jc w:val="both"/>
        <w:rPr>
          <w:rFonts w:hint="default" w:ascii="Times New Roman" w:hAnsi="Times New Roman" w:cs="Times New Roman"/>
        </w:rPr>
      </w:pPr>
      <w:r>
        <w:rPr>
          <w:rFonts w:hint="default" w:ascii="Times New Roman" w:hAnsi="Times New Roman" w:cs="Times New Roman"/>
          <w:b/>
          <w:color w:val="000000"/>
          <w:rtl w:val="0"/>
        </w:rPr>
        <w:t>Conclusion:</w:t>
      </w:r>
      <w:r>
        <w:rPr>
          <w:rFonts w:hint="default" w:ascii="Times New Roman" w:hAnsi="Times New Roman" w:cs="Times New Roman"/>
          <w:rtl w:val="0"/>
        </w:rPr>
        <w:t xml:space="preserve"> There is a great need for biochar screening </w:t>
      </w:r>
      <w:r>
        <w:rPr>
          <w:rFonts w:hint="default" w:ascii="Times New Roman" w:hAnsi="Times New Roman" w:cs="Times New Roman"/>
          <w:i/>
          <w:rtl w:val="0"/>
        </w:rPr>
        <w:t>in vitro</w:t>
      </w:r>
      <w:r>
        <w:rPr>
          <w:rFonts w:hint="default" w:ascii="Times New Roman" w:hAnsi="Times New Roman" w:cs="Times New Roman"/>
          <w:rtl w:val="0"/>
        </w:rPr>
        <w:t xml:space="preserve">. The assays could help introduce novel functional feed additives affecting livestock productivity. </w:t>
      </w:r>
    </w:p>
    <w:p>
      <w:pPr>
        <w:rPr>
          <w:rFonts w:hint="default" w:ascii="Times New Roman" w:hAnsi="Times New Roman" w:cs="Times New Roman"/>
        </w:rPr>
      </w:pPr>
    </w:p>
    <w:p>
      <w:pPr>
        <w:jc w:val="both"/>
        <w:rPr>
          <w:rFonts w:hint="default" w:ascii="Times New Roman" w:hAnsi="Times New Roman" w:cs="Times New Roman"/>
          <w:color w:val="000000"/>
        </w:rPr>
      </w:pPr>
      <w:r>
        <w:rPr>
          <w:rFonts w:hint="default" w:ascii="Times New Roman" w:hAnsi="Times New Roman" w:cs="Times New Roman"/>
          <w:color w:val="000000"/>
          <w:rtl w:val="0"/>
        </w:rPr>
        <w:t xml:space="preserve">This study was conducted by the Animal Science for Future (ASc4Future) research group. </w:t>
      </w:r>
    </w:p>
    <w:p>
      <w:pPr>
        <w:jc w:val="both"/>
        <w:rPr>
          <w:rFonts w:hint="default" w:ascii="Times New Roman" w:hAnsi="Times New Roman" w:cs="Times New Roman"/>
          <w:b/>
          <w:color w:val="000000"/>
        </w:rPr>
      </w:pPr>
      <w:r>
        <w:rPr>
          <w:rFonts w:hint="default" w:ascii="Times New Roman" w:hAnsi="Times New Roman" w:cs="Times New Roman"/>
          <w:color w:val="000000"/>
          <w:rtl w:val="0"/>
        </w:rPr>
        <w:t>It was carried out as part of the research project OPUS-24 entitled “Biochar in the diet of laying hens and the expression of genes and proteins affecting the structure and physicochemical properties of eggs”, which was funded by the National Science Centre based on contract UMO-2022/47/B/NZ9/02182 dated August 1, 2023.</w:t>
      </w:r>
    </w:p>
    <w:p>
      <w:pPr>
        <w:jc w:val="both"/>
        <w:rPr>
          <w:rFonts w:hint="default" w:ascii="Times New Roman" w:hAnsi="Times New Roman" w:cs="Times New Roman"/>
          <w:b/>
          <w:color w:val="000000"/>
        </w:rPr>
      </w:pPr>
    </w:p>
    <w:p>
      <w:pPr>
        <w:jc w:val="both"/>
        <w:rPr>
          <w:rFonts w:hint="default" w:ascii="Times New Roman" w:hAnsi="Times New Roman" w:cs="Times New Roman"/>
          <w:color w:val="000000"/>
        </w:rPr>
      </w:pPr>
      <w:bookmarkStart w:id="0" w:name="_heading=h.gjdgxs" w:colFirst="0" w:colLast="0"/>
      <w:bookmarkEnd w:id="0"/>
      <w:r>
        <w:rPr>
          <w:rFonts w:hint="default" w:ascii="Times New Roman" w:hAnsi="Times New Roman" w:cs="Times New Roman"/>
          <w:b/>
          <w:color w:val="000000"/>
          <w:rtl w:val="0"/>
        </w:rPr>
        <w:t xml:space="preserve">Keywords: </w:t>
      </w:r>
      <w:r>
        <w:rPr>
          <w:rFonts w:hint="default" w:ascii="Times New Roman" w:hAnsi="Times New Roman" w:cs="Times New Roman"/>
          <w:rtl w:val="0"/>
        </w:rPr>
        <w:t>feed, additives, livestock</w:t>
      </w:r>
      <w:r>
        <w:rPr>
          <w:rFonts w:hint="default" w:ascii="Times New Roman" w:hAnsi="Times New Roman" w:cs="Times New Roman"/>
          <w:color w:val="0D0D0D"/>
          <w:highlight w:val="white"/>
          <w:rtl w:val="0"/>
        </w:rPr>
        <w:t>, animal health, cytotoxicity</w:t>
      </w:r>
      <w:r>
        <w:rPr>
          <w:rFonts w:hint="default" w:ascii="Times New Roman" w:hAnsi="Times New Roman" w:cs="Times New Roman"/>
          <w:color w:val="0D0D0D"/>
          <w:rtl w:val="0"/>
        </w:rPr>
        <w:t>, functional studies</w:t>
      </w:r>
    </w:p>
    <w:sectPr>
      <w:pgSz w:w="11909" w:h="16834"/>
      <w:pgMar w:top="1418" w:right="1418" w:bottom="1418" w:left="141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Nova Mono">
    <w:altName w:val="Alex Brush"/>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lex Brush">
    <w:panose1 w:val="02000400000000000000"/>
    <w:charset w:val="00"/>
    <w:family w:val="auto"/>
    <w:pitch w:val="default"/>
    <w:sig w:usb0="800000AF" w:usb1="5000204A" w:usb2="00000000" w:usb3="00000000" w:csb0="2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C25723D"/>
    <w:rsid w:val="534049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rPr>
  </w:style>
  <w:style w:type="paragraph" w:styleId="2">
    <w:name w:val="heading 1"/>
    <w:basedOn w:val="1"/>
    <w:next w:val="1"/>
    <w:qFormat/>
    <w:uiPriority w:val="9"/>
    <w:pPr>
      <w:keepNext/>
      <w:outlineLvl w:val="0"/>
    </w:pPr>
    <w:rPr>
      <w:b/>
      <w:color w:val="000000"/>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5"/>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3"/>
    <w:semiHidden/>
    <w:unhideWhenUsed/>
    <w:uiPriority w:val="99"/>
    <w:rPr>
      <w:sz w:val="20"/>
      <w:szCs w:val="20"/>
    </w:rPr>
  </w:style>
  <w:style w:type="paragraph" w:styleId="13">
    <w:name w:val="annotation subject"/>
    <w:basedOn w:val="12"/>
    <w:next w:val="12"/>
    <w:link w:val="24"/>
    <w:semiHidden/>
    <w:unhideWhenUsed/>
    <w:qFormat/>
    <w:uiPriority w:val="99"/>
    <w:rPr>
      <w:b/>
      <w:bCs/>
    </w:rPr>
  </w:style>
  <w:style w:type="character" w:styleId="14">
    <w:name w:val="Emphasis"/>
    <w:basedOn w:val="8"/>
    <w:qFormat/>
    <w:uiPriority w:val="20"/>
    <w:rPr>
      <w:i/>
      <w:iCs/>
    </w:rPr>
  </w:style>
  <w:style w:type="character" w:styleId="15">
    <w:name w:val="FollowedHyperlink"/>
    <w:basedOn w:val="8"/>
    <w:qFormat/>
    <w:uiPriority w:val="0"/>
    <w:rPr>
      <w:color w:val="800080"/>
      <w:u w:val="single"/>
    </w:rPr>
  </w:style>
  <w:style w:type="character" w:styleId="16">
    <w:name w:val="Hyperlink"/>
    <w:basedOn w:val="8"/>
    <w:qFormat/>
    <w:uiPriority w:val="0"/>
    <w:rPr>
      <w:color w:val="0000FF"/>
      <w:u w:val="single"/>
    </w:rPr>
  </w:style>
  <w:style w:type="character" w:styleId="17">
    <w:name w:val="Strong"/>
    <w:basedOn w:val="8"/>
    <w:qFormat/>
    <w:uiPriority w:val="22"/>
    <w:rPr>
      <w:b/>
      <w:bCs/>
    </w:r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9">
    <w:name w:val="Title"/>
    <w:basedOn w:val="1"/>
    <w:next w:val="1"/>
    <w:qFormat/>
    <w:uiPriority w:val="10"/>
    <w:pPr>
      <w:jc w:val="center"/>
    </w:pPr>
    <w:rPr>
      <w:b/>
      <w:sz w:val="28"/>
    </w:rPr>
  </w:style>
  <w:style w:type="table" w:customStyle="1" w:styleId="20">
    <w:name w:val="Table Normal1"/>
    <w:qFormat/>
    <w:uiPriority w:val="0"/>
  </w:style>
  <w:style w:type="table" w:customStyle="1" w:styleId="21">
    <w:name w:val="Table Normal2"/>
    <w:qFormat/>
    <w:uiPriority w:val="0"/>
    <w:tblPr>
      <w:tblCellMar>
        <w:top w:w="0" w:type="dxa"/>
        <w:left w:w="0" w:type="dxa"/>
        <w:bottom w:w="0" w:type="dxa"/>
        <w:right w:w="0" w:type="dxa"/>
      </w:tblCellMar>
    </w:tblPr>
  </w:style>
  <w:style w:type="paragraph" w:styleId="22">
    <w:name w:val="List Paragraph"/>
    <w:basedOn w:val="1"/>
    <w:qFormat/>
    <w:uiPriority w:val="34"/>
    <w:pPr>
      <w:ind w:left="720"/>
      <w:contextualSpacing/>
    </w:pPr>
  </w:style>
  <w:style w:type="character" w:customStyle="1" w:styleId="23">
    <w:name w:val="Tekst komentarza Znak"/>
    <w:basedOn w:val="8"/>
    <w:link w:val="12"/>
    <w:semiHidden/>
    <w:qFormat/>
    <w:uiPriority w:val="99"/>
    <w:rPr>
      <w:rFonts w:eastAsia="Times New Roman"/>
      <w:lang w:val="en-US" w:eastAsia="en-US"/>
    </w:rPr>
  </w:style>
  <w:style w:type="character" w:customStyle="1" w:styleId="24">
    <w:name w:val="Temat komentarza Znak"/>
    <w:basedOn w:val="23"/>
    <w:link w:val="13"/>
    <w:semiHidden/>
    <w:qFormat/>
    <w:uiPriority w:val="99"/>
    <w:rPr>
      <w:rFonts w:eastAsia="Times New Roman"/>
      <w:b/>
      <w:bCs/>
      <w:lang w:val="en-US" w:eastAsia="en-US"/>
    </w:rPr>
  </w:style>
  <w:style w:type="character" w:customStyle="1" w:styleId="25">
    <w:name w:val="Tekst dymka Znak"/>
    <w:basedOn w:val="8"/>
    <w:link w:val="10"/>
    <w:semiHidden/>
    <w:qFormat/>
    <w:uiPriority w:val="99"/>
    <w:rPr>
      <w:rFonts w:ascii="Segoe UI" w:hAnsi="Segoe UI" w:eastAsia="Times New Roman" w:cs="Segoe UI"/>
      <w:sz w:val="18"/>
      <w:szCs w:val="18"/>
      <w:lang w:val="en-US"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YK45Jyheo+arcayjxVwZxsDPZg==">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2024-04-15T13:29:00Z</dcterms:created>
  <dc:creator>Sergey Malugin</dc:creator>
  <cp:lastModifiedBy>Sidra Amin</cp:lastModifiedBy>
  <dcterms:modified xsi:type="dcterms:W3CDTF">2024-04-15T13:58:34Z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BAEDF27E5C6A45B4BCB321BA2035F405_12</vt:lpwstr>
  </property>
  <property fmtid="{D5CDD505-2E9C-101B-9397-08002B2CF9AE}" pid="4" name="GrammarlyDocumentId">
    <vt:lpwstr>65ad70d4a8e5728446ed2294f07b17e0187ec417e37256d6e8d056ac25c19bf6</vt:lpwstr>
  </property>
</Properties>
</file>