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12260C04" w:rsidR="0057539E" w:rsidRDefault="00275FCC" w:rsidP="00275FCC">
      <w:pPr>
        <w:pStyle w:val="a3"/>
        <w:pBdr>
          <w:bottom w:val="single" w:sz="6" w:space="1" w:color="auto"/>
        </w:pBdr>
        <w:spacing w:line="276" w:lineRule="auto"/>
        <w:jc w:val="left"/>
      </w:pPr>
      <w:r>
        <w:tab/>
      </w:r>
      <w:r>
        <w:sym w:font="Wingdings 2" w:char="F0A3"/>
      </w:r>
      <w:r w:rsidR="00071D3E">
        <w:rPr>
          <w:rFonts w:hint="eastAsia"/>
          <w:lang w:eastAsia="zh-CN"/>
        </w:rPr>
        <w:t>√</w:t>
      </w:r>
      <w:r>
        <w:t xml:space="preserve"> </w:t>
      </w:r>
      <w:r w:rsidR="00687CC2">
        <w:t>POSTER presentation</w:t>
      </w:r>
    </w:p>
    <w:p w14:paraId="73BAD38A" w14:textId="77777777" w:rsidR="0057539E" w:rsidRPr="007F6889" w:rsidRDefault="0057539E">
      <w:pPr>
        <w:rPr>
          <w:rFonts w:hint="eastAsia"/>
          <w:sz w:val="18"/>
          <w:szCs w:val="18"/>
          <w:lang w:eastAsia="zh-CN"/>
        </w:rPr>
      </w:pPr>
    </w:p>
    <w:p w14:paraId="2A98A458" w14:textId="2627701E" w:rsidR="00687CC2" w:rsidRDefault="00425C3F" w:rsidP="00425C3F">
      <w:pPr>
        <w:jc w:val="center"/>
        <w:rPr>
          <w:rFonts w:ascii="Arial" w:hAnsi="Arial" w:cs="Arial"/>
          <w:b/>
          <w:color w:val="000000"/>
          <w:sz w:val="28"/>
          <w:szCs w:val="28"/>
        </w:rPr>
      </w:pPr>
      <w:r w:rsidRPr="00425C3F">
        <w:rPr>
          <w:rFonts w:ascii="Arial" w:hAnsi="Arial" w:cs="Arial"/>
          <w:b/>
          <w:color w:val="000000"/>
          <w:sz w:val="28"/>
          <w:szCs w:val="28"/>
        </w:rPr>
        <w:t xml:space="preserve">Isolation, </w:t>
      </w:r>
      <w:proofErr w:type="gramStart"/>
      <w:r w:rsidRPr="00425C3F">
        <w:rPr>
          <w:rFonts w:ascii="Arial" w:hAnsi="Arial" w:cs="Arial"/>
          <w:b/>
          <w:color w:val="000000"/>
          <w:sz w:val="28"/>
          <w:szCs w:val="28"/>
        </w:rPr>
        <w:t>identification</w:t>
      </w:r>
      <w:proofErr w:type="gramEnd"/>
      <w:r w:rsidRPr="00425C3F">
        <w:rPr>
          <w:rFonts w:ascii="Arial" w:hAnsi="Arial" w:cs="Arial"/>
          <w:b/>
          <w:color w:val="000000"/>
          <w:sz w:val="28"/>
          <w:szCs w:val="28"/>
        </w:rPr>
        <w:t xml:space="preserve"> and safety evaluation of OTA-detoxification strain </w:t>
      </w:r>
      <w:r w:rsidRPr="00870A03">
        <w:rPr>
          <w:rFonts w:ascii="Arial" w:hAnsi="Arial" w:cs="Arial"/>
          <w:b/>
          <w:i/>
          <w:iCs/>
          <w:color w:val="000000"/>
          <w:sz w:val="28"/>
          <w:szCs w:val="28"/>
        </w:rPr>
        <w:t>Pediococcus acidilactici NJB421</w:t>
      </w:r>
      <w:r w:rsidRPr="00425C3F">
        <w:rPr>
          <w:rFonts w:ascii="Arial" w:hAnsi="Arial" w:cs="Arial"/>
          <w:b/>
          <w:color w:val="000000"/>
          <w:sz w:val="28"/>
          <w:szCs w:val="28"/>
        </w:rPr>
        <w:t xml:space="preserve"> and its effects on OTA-induced toxicity in mice.</w:t>
      </w:r>
    </w:p>
    <w:p w14:paraId="3CE58CA6" w14:textId="744E2572" w:rsidR="00687CC2" w:rsidRPr="00687CC2" w:rsidRDefault="00425C3F" w:rsidP="008844BD">
      <w:pPr>
        <w:jc w:val="both"/>
        <w:rPr>
          <w:color w:val="000000"/>
          <w:sz w:val="28"/>
          <w:szCs w:val="28"/>
        </w:rPr>
      </w:pPr>
      <w:r>
        <w:rPr>
          <w:rFonts w:hint="eastAsia"/>
          <w:color w:val="000000"/>
          <w:sz w:val="28"/>
          <w:szCs w:val="28"/>
          <w:lang w:eastAsia="zh-CN"/>
        </w:rPr>
        <w:t>Jiangyu Tang</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proofErr w:type="spellStart"/>
      <w:r w:rsidRPr="00425C3F">
        <w:rPr>
          <w:color w:val="000000"/>
          <w:sz w:val="28"/>
          <w:szCs w:val="28"/>
        </w:rPr>
        <w:t>Liuwen</w:t>
      </w:r>
      <w:proofErr w:type="spellEnd"/>
      <w:r w:rsidRPr="00425C3F">
        <w:rPr>
          <w:color w:val="000000"/>
          <w:sz w:val="28"/>
          <w:szCs w:val="28"/>
        </w:rPr>
        <w:t xml:space="preserve"> Yin</w:t>
      </w:r>
      <w:r w:rsidR="00687CC2" w:rsidRPr="00275FCC">
        <w:rPr>
          <w:color w:val="000000"/>
          <w:sz w:val="28"/>
          <w:szCs w:val="28"/>
          <w:vertAlign w:val="superscript"/>
        </w:rPr>
        <w:t>2</w:t>
      </w:r>
      <w:r w:rsidR="00275FCC">
        <w:rPr>
          <w:color w:val="000000"/>
          <w:sz w:val="28"/>
          <w:szCs w:val="28"/>
        </w:rPr>
        <w:t xml:space="preserve">, </w:t>
      </w:r>
      <w:proofErr w:type="spellStart"/>
      <w:r w:rsidRPr="00425C3F">
        <w:rPr>
          <w:color w:val="000000"/>
          <w:sz w:val="28"/>
          <w:szCs w:val="28"/>
        </w:rPr>
        <w:t>Zhiyong</w:t>
      </w:r>
      <w:proofErr w:type="spellEnd"/>
      <w:r w:rsidRPr="00425C3F">
        <w:rPr>
          <w:color w:val="000000"/>
          <w:sz w:val="28"/>
          <w:szCs w:val="28"/>
        </w:rPr>
        <w:t xml:space="preserve"> Zhao</w:t>
      </w:r>
      <w:r w:rsidR="00275FCC" w:rsidRPr="00275FCC">
        <w:rPr>
          <w:color w:val="000000"/>
          <w:sz w:val="28"/>
          <w:szCs w:val="28"/>
          <w:vertAlign w:val="superscript"/>
        </w:rPr>
        <w:t>3</w:t>
      </w:r>
    </w:p>
    <w:p w14:paraId="4D519D7C" w14:textId="77777777" w:rsidR="00687CC2" w:rsidRPr="00687CC2" w:rsidRDefault="00687CC2" w:rsidP="008844BD">
      <w:pPr>
        <w:jc w:val="both"/>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0B626403" w:rsidR="00687CC2" w:rsidRPr="00687CC2" w:rsidRDefault="00687CC2" w:rsidP="008844BD">
      <w:pPr>
        <w:jc w:val="both"/>
        <w:rPr>
          <w:color w:val="000000"/>
        </w:rPr>
      </w:pPr>
      <w:r w:rsidRPr="00687CC2">
        <w:rPr>
          <w:color w:val="000000"/>
          <w:vertAlign w:val="superscript"/>
        </w:rPr>
        <w:t>1</w:t>
      </w:r>
      <w:r w:rsidR="00870A03">
        <w:rPr>
          <w:rFonts w:hint="eastAsia"/>
          <w:color w:val="000000"/>
          <w:lang w:eastAsia="zh-CN"/>
        </w:rPr>
        <w:t xml:space="preserve"> </w:t>
      </w:r>
      <w:hyperlink r:id="rId5" w:history="1">
        <w:r w:rsidR="008844BD" w:rsidRPr="00227846">
          <w:rPr>
            <w:rStyle w:val="a4"/>
          </w:rPr>
          <w:t>tangjiangyu@stu.njau.edu.cn</w:t>
        </w:r>
      </w:hyperlink>
      <w:r w:rsidRPr="00687CC2">
        <w:rPr>
          <w:color w:val="000000"/>
        </w:rPr>
        <w:t>,</w:t>
      </w:r>
      <w:r w:rsidR="008844BD">
        <w:rPr>
          <w:rFonts w:hint="eastAsia"/>
          <w:color w:val="000000"/>
          <w:lang w:eastAsia="zh-CN"/>
        </w:rPr>
        <w:t xml:space="preserve"> </w:t>
      </w:r>
      <w:r w:rsidR="008844BD" w:rsidRPr="008844BD">
        <w:rPr>
          <w:color w:val="000000"/>
        </w:rPr>
        <w:t>College of Veterinary Medicine, Nanjing Agricultural</w:t>
      </w:r>
      <w:r w:rsidR="008844BD">
        <w:rPr>
          <w:rFonts w:hint="eastAsia"/>
          <w:color w:val="000000"/>
          <w:lang w:eastAsia="zh-CN"/>
        </w:rPr>
        <w:t xml:space="preserve"> </w:t>
      </w:r>
      <w:r w:rsidR="008844BD" w:rsidRPr="008844BD">
        <w:rPr>
          <w:color w:val="000000"/>
        </w:rPr>
        <w:t>University, Nanjing, Jiangsu, China</w:t>
      </w:r>
    </w:p>
    <w:p w14:paraId="3C4C4A36" w14:textId="38B1A5C0" w:rsidR="00687CC2" w:rsidRDefault="00687CC2" w:rsidP="008844BD">
      <w:pPr>
        <w:jc w:val="both"/>
        <w:rPr>
          <w:color w:val="000000"/>
        </w:rPr>
      </w:pPr>
      <w:r w:rsidRPr="00687CC2">
        <w:rPr>
          <w:color w:val="000000"/>
          <w:vertAlign w:val="superscript"/>
        </w:rPr>
        <w:t>2</w:t>
      </w:r>
      <w:r w:rsidRPr="00687CC2">
        <w:rPr>
          <w:color w:val="000000"/>
        </w:rPr>
        <w:t xml:space="preserve"> </w:t>
      </w:r>
      <w:r w:rsidR="008844BD" w:rsidRPr="008844BD">
        <w:rPr>
          <w:color w:val="000000"/>
        </w:rPr>
        <w:t>College of Veterinary Medicine, Nanjing Agricultural</w:t>
      </w:r>
      <w:r w:rsidR="008844BD">
        <w:rPr>
          <w:rFonts w:hint="eastAsia"/>
          <w:color w:val="000000"/>
          <w:lang w:eastAsia="zh-CN"/>
        </w:rPr>
        <w:t xml:space="preserve"> </w:t>
      </w:r>
      <w:r w:rsidR="008844BD" w:rsidRPr="008844BD">
        <w:rPr>
          <w:color w:val="000000"/>
        </w:rPr>
        <w:t>University, Nanjing, Jiangsu, China</w:t>
      </w:r>
    </w:p>
    <w:p w14:paraId="18C0F8B7" w14:textId="2B236AC9" w:rsidR="00275FCC" w:rsidRDefault="00275FCC" w:rsidP="008844BD">
      <w:pPr>
        <w:jc w:val="both"/>
        <w:rPr>
          <w:color w:val="000000"/>
        </w:rPr>
      </w:pPr>
      <w:r>
        <w:rPr>
          <w:color w:val="000000"/>
          <w:vertAlign w:val="superscript"/>
        </w:rPr>
        <w:t>3</w:t>
      </w:r>
      <w:r w:rsidRPr="00687CC2">
        <w:rPr>
          <w:color w:val="000000"/>
        </w:rPr>
        <w:t xml:space="preserve"> </w:t>
      </w:r>
      <w:r w:rsidR="008844BD" w:rsidRPr="008844BD">
        <w:rPr>
          <w:color w:val="000000"/>
        </w:rPr>
        <w:t xml:space="preserve">Institute for </w:t>
      </w:r>
      <w:proofErr w:type="spellStart"/>
      <w:r w:rsidR="008844BD" w:rsidRPr="008844BD">
        <w:rPr>
          <w:color w:val="000000"/>
        </w:rPr>
        <w:t>Agro</w:t>
      </w:r>
      <w:proofErr w:type="spellEnd"/>
      <w:r w:rsidR="008844BD" w:rsidRPr="008844BD">
        <w:rPr>
          <w:color w:val="000000"/>
        </w:rPr>
        <w:t>-food Standards and Testing Technology, Shanghai Academy of Agricultural Sciences, Shanghai, 201403, China</w:t>
      </w:r>
    </w:p>
    <w:p w14:paraId="4FA219B4" w14:textId="77777777" w:rsidR="00275FCC" w:rsidRDefault="00275FCC">
      <w:pPr>
        <w:rPr>
          <w:color w:val="000000"/>
        </w:rPr>
      </w:pPr>
    </w:p>
    <w:p w14:paraId="44D48410" w14:textId="27DB35FA" w:rsidR="00B76EE6" w:rsidRPr="00275FCC" w:rsidRDefault="00275FCC">
      <w:pPr>
        <w:rPr>
          <w:rFonts w:hint="eastAsia"/>
          <w:b/>
          <w:bCs/>
          <w:color w:val="000000"/>
          <w:lang w:eastAsia="zh-CN"/>
        </w:rPr>
      </w:pPr>
      <w:r w:rsidRPr="00275FCC">
        <w:rPr>
          <w:b/>
          <w:bCs/>
          <w:color w:val="000000"/>
        </w:rPr>
        <w:t>Abstract:</w:t>
      </w:r>
    </w:p>
    <w:p w14:paraId="59EDA93D" w14:textId="24799B67" w:rsidR="00275FCC" w:rsidRDefault="00275FCC" w:rsidP="0054438F">
      <w:pPr>
        <w:jc w:val="both"/>
        <w:rPr>
          <w:color w:val="000000"/>
        </w:rPr>
      </w:pPr>
      <w:r w:rsidRPr="00275FCC">
        <w:rPr>
          <w:b/>
          <w:bCs/>
          <w:color w:val="000000"/>
        </w:rPr>
        <w:t>Background/Objective:</w:t>
      </w:r>
      <w:r w:rsidRPr="00275FCC">
        <w:rPr>
          <w:color w:val="000000"/>
        </w:rPr>
        <w:t xml:space="preserve"> </w:t>
      </w:r>
      <w:r w:rsidR="00A06D5A" w:rsidRPr="00A06D5A">
        <w:rPr>
          <w:color w:val="000000"/>
        </w:rPr>
        <w:t xml:space="preserve">Ochratoxin A (OTA) is a potent mycotoxin found in many foods and feeds, posing a health risk to animals and humans. Biodegradation of OTA is considered the best approach for OTA detoxification, and many single bacteria and fungi capable of detoxifying OTA are isolated. However, research on the isolates’ safety and the alleviating toxic effects </w:t>
      </w:r>
      <w:r w:rsidR="00A06D5A" w:rsidRPr="00A06D5A">
        <w:rPr>
          <w:i/>
          <w:iCs/>
          <w:color w:val="000000"/>
        </w:rPr>
        <w:t>in vivo</w:t>
      </w:r>
      <w:r w:rsidR="00A06D5A" w:rsidRPr="00A06D5A">
        <w:rPr>
          <w:color w:val="000000"/>
        </w:rPr>
        <w:t xml:space="preserve"> are scarce. The present study aims to isolate OTA-degrading probiotics from nature samples and evaluate their safety and protective effects in mice.</w:t>
      </w:r>
    </w:p>
    <w:p w14:paraId="0572BE18" w14:textId="77777777" w:rsidR="0054438F" w:rsidRDefault="0054438F" w:rsidP="0054438F">
      <w:pPr>
        <w:jc w:val="both"/>
        <w:rPr>
          <w:color w:val="000000"/>
        </w:rPr>
      </w:pPr>
    </w:p>
    <w:p w14:paraId="1DF350FF" w14:textId="46720973" w:rsidR="0054438F" w:rsidRDefault="00275FCC" w:rsidP="009E7715">
      <w:pPr>
        <w:jc w:val="both"/>
        <w:rPr>
          <w:rFonts w:hint="eastAsia"/>
          <w:color w:val="000000"/>
          <w:lang w:eastAsia="zh-CN"/>
        </w:rPr>
      </w:pPr>
      <w:r w:rsidRPr="00275FCC">
        <w:rPr>
          <w:b/>
          <w:bCs/>
          <w:color w:val="000000"/>
        </w:rPr>
        <w:t>Methods:</w:t>
      </w:r>
      <w:r w:rsidRPr="00275FCC">
        <w:rPr>
          <w:color w:val="000000"/>
        </w:rPr>
        <w:t xml:space="preserve"> </w:t>
      </w:r>
      <w:r w:rsidR="009E7715">
        <w:rPr>
          <w:rFonts w:hint="eastAsia"/>
          <w:color w:val="000000"/>
          <w:lang w:eastAsia="zh-CN"/>
        </w:rPr>
        <w:t>I</w:t>
      </w:r>
      <w:r w:rsidR="009E7715" w:rsidRPr="009E7715">
        <w:rPr>
          <w:color w:val="000000"/>
        </w:rPr>
        <w:t>n our present study</w:t>
      </w:r>
      <w:r w:rsidR="009E7715">
        <w:rPr>
          <w:rFonts w:hint="eastAsia"/>
          <w:color w:val="000000"/>
          <w:lang w:eastAsia="zh-CN"/>
        </w:rPr>
        <w:t>,</w:t>
      </w:r>
      <w:r w:rsidR="009E7715" w:rsidRPr="009E7715">
        <w:rPr>
          <w:color w:val="000000"/>
        </w:rPr>
        <w:t xml:space="preserve"> </w:t>
      </w:r>
      <w:r w:rsidR="009E7715">
        <w:rPr>
          <w:rFonts w:hint="eastAsia"/>
          <w:color w:val="000000"/>
          <w:lang w:eastAsia="zh-CN"/>
        </w:rPr>
        <w:t>a</w:t>
      </w:r>
      <w:r w:rsidR="009E7715" w:rsidRPr="009E7715">
        <w:rPr>
          <w:color w:val="000000"/>
        </w:rPr>
        <w:t xml:space="preserve"> new OTA-degrading strain </w:t>
      </w:r>
      <w:r w:rsidR="009E7715" w:rsidRPr="009E7715">
        <w:rPr>
          <w:i/>
          <w:iCs/>
          <w:color w:val="000000"/>
        </w:rPr>
        <w:t>Pediococcus acidilactici NJB421</w:t>
      </w:r>
      <w:r w:rsidR="009E7715" w:rsidRPr="009E7715">
        <w:rPr>
          <w:color w:val="000000"/>
        </w:rPr>
        <w:t xml:space="preserve"> (</w:t>
      </w:r>
      <w:r w:rsidR="009E7715" w:rsidRPr="009E7715">
        <w:rPr>
          <w:i/>
          <w:iCs/>
          <w:color w:val="000000"/>
        </w:rPr>
        <w:t>P. acidilactici NJB421</w:t>
      </w:r>
      <w:r w:rsidR="009E7715" w:rsidRPr="009E7715">
        <w:rPr>
          <w:color w:val="000000"/>
        </w:rPr>
        <w:t xml:space="preserve">) was isolated from fresh cow manure </w:t>
      </w:r>
      <w:r w:rsidR="009E7715">
        <w:rPr>
          <w:rFonts w:hint="eastAsia"/>
          <w:color w:val="000000"/>
          <w:lang w:eastAsia="zh-CN"/>
        </w:rPr>
        <w:t xml:space="preserve">using </w:t>
      </w:r>
      <w:r w:rsidR="009E7715">
        <w:rPr>
          <w:color w:val="000000"/>
          <w:lang w:eastAsia="zh-CN"/>
        </w:rPr>
        <w:t>nutrient</w:t>
      </w:r>
      <w:r w:rsidR="009E7715">
        <w:rPr>
          <w:rFonts w:hint="eastAsia"/>
          <w:color w:val="000000"/>
          <w:lang w:eastAsia="zh-CN"/>
        </w:rPr>
        <w:t xml:space="preserve">-deficient medium. </w:t>
      </w:r>
      <w:r w:rsidR="009E7715" w:rsidRPr="009E7715">
        <w:rPr>
          <w:color w:val="000000"/>
        </w:rPr>
        <w:t>The OTA-detoxification bacteria were characterized using 16S rDNA gene sequencing.</w:t>
      </w:r>
      <w:r w:rsidR="009E7715" w:rsidRPr="009E7715">
        <w:rPr>
          <w:rFonts w:hint="eastAsia"/>
          <w:color w:val="000000"/>
          <w:lang w:eastAsia="zh-CN"/>
        </w:rPr>
        <w:t xml:space="preserve"> </w:t>
      </w:r>
      <w:r w:rsidR="009E7715">
        <w:rPr>
          <w:rFonts w:hint="eastAsia"/>
          <w:color w:val="000000"/>
          <w:lang w:eastAsia="zh-CN"/>
        </w:rPr>
        <w:t xml:space="preserve">Then the </w:t>
      </w:r>
      <w:r w:rsidR="009E7715" w:rsidRPr="009E7715">
        <w:rPr>
          <w:color w:val="000000"/>
          <w:lang w:eastAsia="zh-CN"/>
        </w:rPr>
        <w:t>strain was used to intragastric C57</w:t>
      </w:r>
      <w:r w:rsidR="009E7715">
        <w:rPr>
          <w:rFonts w:hint="eastAsia"/>
          <w:color w:val="000000"/>
          <w:lang w:eastAsia="zh-CN"/>
        </w:rPr>
        <w:t>/BL</w:t>
      </w:r>
      <w:r w:rsidR="009E7715" w:rsidRPr="009E7715">
        <w:rPr>
          <w:color w:val="000000"/>
          <w:lang w:eastAsia="zh-CN"/>
        </w:rPr>
        <w:t xml:space="preserve"> mice for safety </w:t>
      </w:r>
      <w:r w:rsidR="009E7715">
        <w:rPr>
          <w:rFonts w:hint="eastAsia"/>
          <w:color w:val="000000"/>
          <w:lang w:eastAsia="zh-CN"/>
        </w:rPr>
        <w:t>evaluation</w:t>
      </w:r>
      <w:r w:rsidR="009E7715" w:rsidRPr="009E7715">
        <w:rPr>
          <w:color w:val="000000"/>
          <w:lang w:eastAsia="zh-CN"/>
        </w:rPr>
        <w:t xml:space="preserve"> and </w:t>
      </w:r>
      <w:r w:rsidR="001B6C6B" w:rsidRPr="009E7715">
        <w:rPr>
          <w:color w:val="000000"/>
        </w:rPr>
        <w:t>protective evaluation</w:t>
      </w:r>
      <w:r w:rsidR="009E7715">
        <w:rPr>
          <w:rFonts w:hint="eastAsia"/>
          <w:color w:val="000000"/>
          <w:lang w:eastAsia="zh-CN"/>
        </w:rPr>
        <w:t xml:space="preserve">. </w:t>
      </w:r>
      <w:r w:rsidR="009E7715" w:rsidRPr="009E7715">
        <w:rPr>
          <w:color w:val="000000"/>
          <w:lang w:eastAsia="zh-CN"/>
        </w:rPr>
        <w:t>At the end of the experiment, blood samples and organ tissues were collected from mice euthanized by CO</w:t>
      </w:r>
      <w:r w:rsidR="009E7715" w:rsidRPr="009E7715">
        <w:rPr>
          <w:color w:val="000000"/>
          <w:vertAlign w:val="subscript"/>
          <w:lang w:eastAsia="zh-CN"/>
        </w:rPr>
        <w:t>2</w:t>
      </w:r>
      <w:r w:rsidR="009E7715" w:rsidRPr="009E7715">
        <w:rPr>
          <w:color w:val="000000"/>
          <w:lang w:eastAsia="zh-CN"/>
        </w:rPr>
        <w:t xml:space="preserve"> inhalation. Frozen liver, kidney and ileum samples were used for T-AOC and MDA levels and gene mRNA levels analysis. Tissues fixed with 4% para</w:t>
      </w:r>
      <w:r w:rsidR="009E7715" w:rsidRPr="009E7715">
        <w:rPr>
          <w:color w:val="000000"/>
          <w:lang w:eastAsia="zh-CN"/>
        </w:rPr>
        <w:t>formaldehyde solution were used for histopathology evaluation.</w:t>
      </w:r>
    </w:p>
    <w:p w14:paraId="1A771BE8" w14:textId="77777777" w:rsidR="0054438F" w:rsidRDefault="0054438F" w:rsidP="0054438F">
      <w:pPr>
        <w:jc w:val="both"/>
        <w:rPr>
          <w:color w:val="000000"/>
        </w:rPr>
      </w:pPr>
    </w:p>
    <w:p w14:paraId="667661E1" w14:textId="0D14FF65" w:rsidR="0054438F" w:rsidRDefault="00275FCC" w:rsidP="0054438F">
      <w:pPr>
        <w:jc w:val="both"/>
        <w:rPr>
          <w:color w:val="000000"/>
        </w:rPr>
      </w:pPr>
      <w:r w:rsidRPr="00275FCC">
        <w:rPr>
          <w:b/>
          <w:bCs/>
          <w:color w:val="000000"/>
        </w:rPr>
        <w:t>Results:</w:t>
      </w:r>
      <w:r w:rsidRPr="00275FCC">
        <w:rPr>
          <w:color w:val="000000"/>
        </w:rPr>
        <w:t xml:space="preserve"> </w:t>
      </w:r>
      <w:r w:rsidR="00354B5C" w:rsidRPr="00354B5C">
        <w:rPr>
          <w:i/>
          <w:iCs/>
          <w:color w:val="000000"/>
        </w:rPr>
        <w:t>P. acidilactici NJB421</w:t>
      </w:r>
      <w:r w:rsidR="00354B5C">
        <w:rPr>
          <w:rFonts w:hint="eastAsia"/>
          <w:color w:val="000000"/>
          <w:lang w:eastAsia="zh-CN"/>
        </w:rPr>
        <w:t xml:space="preserve"> </w:t>
      </w:r>
      <w:r w:rsidR="009E7715" w:rsidRPr="009E7715">
        <w:rPr>
          <w:color w:val="000000"/>
        </w:rPr>
        <w:t>exhibited a degradation rate of OTA at 48.53% for 48 h</w:t>
      </w:r>
      <w:r w:rsidR="00354B5C">
        <w:rPr>
          <w:rFonts w:hint="eastAsia"/>
          <w:color w:val="000000"/>
          <w:lang w:eastAsia="zh-CN"/>
        </w:rPr>
        <w:t xml:space="preserve">, and </w:t>
      </w:r>
      <w:r w:rsidR="009E7715" w:rsidRPr="009E7715">
        <w:rPr>
          <w:color w:val="000000"/>
        </w:rPr>
        <w:t xml:space="preserve">exhibits high temperature resistance, acid tolerance, 0.3% bile salt tolerance and 1.4% trypsin resistance. The safety evaluation results in C57BL/6 mice showed that </w:t>
      </w:r>
      <w:r w:rsidR="009E7715" w:rsidRPr="00354B5C">
        <w:rPr>
          <w:i/>
          <w:iCs/>
          <w:color w:val="000000"/>
        </w:rPr>
        <w:t>P. acidilactici NJB421</w:t>
      </w:r>
      <w:r w:rsidR="009E7715" w:rsidRPr="009E7715">
        <w:rPr>
          <w:color w:val="000000"/>
        </w:rPr>
        <w:t xml:space="preserve"> at 2×108 CFU/per mice </w:t>
      </w:r>
      <w:proofErr w:type="gramStart"/>
      <w:r w:rsidR="009E7715" w:rsidRPr="009E7715">
        <w:rPr>
          <w:color w:val="000000"/>
        </w:rPr>
        <w:t>has</w:t>
      </w:r>
      <w:proofErr w:type="gramEnd"/>
      <w:r w:rsidR="009E7715" w:rsidRPr="009E7715">
        <w:rPr>
          <w:color w:val="000000"/>
        </w:rPr>
        <w:t xml:space="preserve"> no abnormalities in body weight, organ indices, ALT, AST and ALP activities, BUN, CREA and TP contents. In addition, the results of the protective evaluation in C57BL/6 mice showed that </w:t>
      </w:r>
      <w:r w:rsidR="009E7715" w:rsidRPr="00354B5C">
        <w:rPr>
          <w:i/>
          <w:iCs/>
          <w:color w:val="000000"/>
        </w:rPr>
        <w:t>P. acidilactici NJB421</w:t>
      </w:r>
      <w:r w:rsidR="009E7715" w:rsidRPr="009E7715">
        <w:rPr>
          <w:color w:val="000000"/>
        </w:rPr>
        <w:t xml:space="preserve"> could rescue OTA-induced decreased body weight, organ index and small intestinal length. Meanwhile, </w:t>
      </w:r>
      <w:r w:rsidR="009E7715" w:rsidRPr="00354B5C">
        <w:rPr>
          <w:i/>
          <w:iCs/>
          <w:color w:val="000000"/>
        </w:rPr>
        <w:t>P. acidilactici NJB421</w:t>
      </w:r>
      <w:r w:rsidR="009E7715" w:rsidRPr="009E7715">
        <w:rPr>
          <w:color w:val="000000"/>
        </w:rPr>
        <w:t xml:space="preserve"> could reduce the OTA-induced elevation of serum biochemical parameters levels and mRNA levels of α-SMA, Vimentin, TGF-β in liver and kidney and ZO-1, </w:t>
      </w:r>
      <w:proofErr w:type="spellStart"/>
      <w:r w:rsidR="009E7715" w:rsidRPr="009E7715">
        <w:rPr>
          <w:color w:val="000000"/>
        </w:rPr>
        <w:t>Occludin</w:t>
      </w:r>
      <w:proofErr w:type="spellEnd"/>
      <w:r w:rsidR="009E7715" w:rsidRPr="009E7715">
        <w:rPr>
          <w:color w:val="000000"/>
        </w:rPr>
        <w:t xml:space="preserve">, Claudin-1 in ileum, and mRNA levels of IL-6, IL-1β, TNF-α in liver, </w:t>
      </w:r>
      <w:proofErr w:type="gramStart"/>
      <w:r w:rsidR="009E7715" w:rsidRPr="009E7715">
        <w:rPr>
          <w:color w:val="000000"/>
        </w:rPr>
        <w:t>kidney</w:t>
      </w:r>
      <w:proofErr w:type="gramEnd"/>
      <w:r w:rsidR="009E7715" w:rsidRPr="009E7715">
        <w:rPr>
          <w:color w:val="000000"/>
        </w:rPr>
        <w:t xml:space="preserve"> and ileum.</w:t>
      </w:r>
    </w:p>
    <w:p w14:paraId="6695E355" w14:textId="77777777" w:rsidR="00380081" w:rsidRDefault="00380081" w:rsidP="0054438F">
      <w:pPr>
        <w:jc w:val="both"/>
        <w:rPr>
          <w:color w:val="000000"/>
        </w:rPr>
      </w:pPr>
    </w:p>
    <w:p w14:paraId="1F3F119E" w14:textId="1467B552" w:rsidR="00380081" w:rsidRDefault="00275FCC" w:rsidP="00380081">
      <w:pPr>
        <w:jc w:val="both"/>
        <w:rPr>
          <w:rFonts w:hint="eastAsia"/>
          <w:color w:val="000000"/>
          <w:lang w:eastAsia="zh-CN"/>
        </w:rPr>
      </w:pPr>
      <w:r w:rsidRPr="00275FCC">
        <w:rPr>
          <w:b/>
          <w:bCs/>
          <w:color w:val="000000"/>
        </w:rPr>
        <w:t>Conclusion:</w:t>
      </w:r>
      <w:r w:rsidRPr="00275FCC">
        <w:rPr>
          <w:color w:val="000000"/>
        </w:rPr>
        <w:t xml:space="preserve"> </w:t>
      </w:r>
      <w:r w:rsidR="00A06D5A" w:rsidRPr="00A06D5A">
        <w:rPr>
          <w:color w:val="000000"/>
        </w:rPr>
        <w:t>These results provide a new OTA-degradation strain that is safe and has protection against OTA poisoning.</w:t>
      </w:r>
      <w:r w:rsidR="00A06D5A">
        <w:rPr>
          <w:rFonts w:hint="eastAsia"/>
          <w:color w:val="000000"/>
          <w:lang w:eastAsia="zh-CN"/>
        </w:rPr>
        <w:t xml:space="preserve"> </w:t>
      </w:r>
      <w:r w:rsidR="00A06D5A" w:rsidRPr="00A06D5A">
        <w:rPr>
          <w:i/>
          <w:iCs/>
          <w:color w:val="000000"/>
          <w:lang w:eastAsia="zh-CN"/>
        </w:rPr>
        <w:t>P. acidilactici NJB421</w:t>
      </w:r>
      <w:r w:rsidR="00A06D5A" w:rsidRPr="00A06D5A">
        <w:rPr>
          <w:color w:val="000000"/>
          <w:lang w:eastAsia="zh-CN"/>
        </w:rPr>
        <w:t xml:space="preserve"> emerges as a promising candidate for OTA detoxification, offering new avenues for livestock protection and food safety enhancement.</w:t>
      </w:r>
    </w:p>
    <w:p w14:paraId="519396CA" w14:textId="14C8AE0C" w:rsidR="00380081" w:rsidRDefault="00380081" w:rsidP="00380081">
      <w:pPr>
        <w:jc w:val="both"/>
        <w:rPr>
          <w:color w:val="000000"/>
        </w:rPr>
      </w:pPr>
      <w:r>
        <w:rPr>
          <w:color w:val="000000"/>
        </w:rPr>
        <w:t xml:space="preserve"> </w:t>
      </w:r>
    </w:p>
    <w:p w14:paraId="2CFF491B" w14:textId="5A2EA274" w:rsidR="00F96649" w:rsidRDefault="00275FCC" w:rsidP="0054438F">
      <w:pPr>
        <w:jc w:val="both"/>
        <w:rPr>
          <w:color w:val="000000"/>
        </w:rPr>
      </w:pPr>
      <w:r w:rsidRPr="00275FCC">
        <w:rPr>
          <w:b/>
          <w:bCs/>
          <w:color w:val="000000"/>
        </w:rPr>
        <w:t>Keywords:</w:t>
      </w:r>
      <w:r w:rsidRPr="00275FCC">
        <w:rPr>
          <w:color w:val="000000"/>
        </w:rPr>
        <w:t xml:space="preserve"> </w:t>
      </w:r>
      <w:r w:rsidR="00A06D5A" w:rsidRPr="00A06D5A">
        <w:rPr>
          <w:color w:val="000000"/>
        </w:rPr>
        <w:t>Ochratoxin A; Biodegradation; Pediococcus acidilactici; Detoxification; Mice</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71D3E"/>
    <w:rsid w:val="001B6C6B"/>
    <w:rsid w:val="00275FCC"/>
    <w:rsid w:val="00354B5C"/>
    <w:rsid w:val="00380081"/>
    <w:rsid w:val="003E7C21"/>
    <w:rsid w:val="00425C3F"/>
    <w:rsid w:val="004A3688"/>
    <w:rsid w:val="0054438F"/>
    <w:rsid w:val="0057539E"/>
    <w:rsid w:val="00687CC2"/>
    <w:rsid w:val="007F6889"/>
    <w:rsid w:val="00857999"/>
    <w:rsid w:val="00870A03"/>
    <w:rsid w:val="008844BD"/>
    <w:rsid w:val="009E7715"/>
    <w:rsid w:val="00A06D5A"/>
    <w:rsid w:val="00A8666D"/>
    <w:rsid w:val="00B76EE6"/>
    <w:rsid w:val="00DB5C59"/>
    <w:rsid w:val="00E236D8"/>
    <w:rsid w:val="00F9664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 w:type="character" w:styleId="a6">
    <w:name w:val="Unresolved Mention"/>
    <w:basedOn w:val="a0"/>
    <w:uiPriority w:val="99"/>
    <w:semiHidden/>
    <w:unhideWhenUsed/>
    <w:rsid w:val="0088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ngjiangyu@stu.nja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tanh Jasar</cp:lastModifiedBy>
  <cp:revision>10</cp:revision>
  <dcterms:created xsi:type="dcterms:W3CDTF">2024-01-05T02:35:00Z</dcterms:created>
  <dcterms:modified xsi:type="dcterms:W3CDTF">2024-05-15T15:07:00Z</dcterms:modified>
</cp:coreProperties>
</file>