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6A427" w14:textId="77777777" w:rsidR="00275FCC" w:rsidRDefault="004A3688" w:rsidP="00275FCC">
      <w:pPr>
        <w:pStyle w:val="a3"/>
        <w:spacing w:line="276" w:lineRule="auto"/>
        <w:jc w:val="left"/>
      </w:pPr>
      <w:r>
        <w:t>I prefer</w:t>
      </w:r>
      <w:r w:rsidR="00687CC2">
        <w:t xml:space="preserve">: </w:t>
      </w:r>
    </w:p>
    <w:p w14:paraId="240824C5" w14:textId="5E7380A0" w:rsidR="00275FCC" w:rsidRPr="00F256F3" w:rsidRDefault="00275FCC" w:rsidP="00275FCC">
      <w:pPr>
        <w:pStyle w:val="a3"/>
        <w:spacing w:line="276" w:lineRule="auto"/>
        <w:jc w:val="left"/>
        <w:rPr>
          <w:color w:val="000000" w:themeColor="text1"/>
        </w:rPr>
      </w:pPr>
      <w:r w:rsidRPr="00F256F3">
        <w:rPr>
          <w:color w:val="000000" w:themeColor="text1"/>
        </w:rPr>
        <w:tab/>
      </w:r>
      <w:r w:rsidRPr="00F256F3">
        <w:rPr>
          <w:color w:val="000000" w:themeColor="text1"/>
          <w:highlight w:val="yellow"/>
        </w:rPr>
        <w:sym w:font="Wingdings 2" w:char="F0A3"/>
      </w:r>
      <w:r w:rsidRPr="00F256F3">
        <w:rPr>
          <w:color w:val="000000" w:themeColor="text1"/>
          <w:highlight w:val="yellow"/>
        </w:rPr>
        <w:t xml:space="preserve"> </w:t>
      </w:r>
      <w:r w:rsidR="00687CC2" w:rsidRPr="00F256F3">
        <w:rPr>
          <w:color w:val="000000" w:themeColor="text1"/>
          <w:highlight w:val="yellow"/>
        </w:rPr>
        <w:t xml:space="preserve">ORAL </w:t>
      </w:r>
      <w:r w:rsidRPr="00F256F3">
        <w:rPr>
          <w:color w:val="000000" w:themeColor="text1"/>
          <w:highlight w:val="yellow"/>
        </w:rPr>
        <w:t>presentation</w:t>
      </w:r>
    </w:p>
    <w:p w14:paraId="0B4F13E4" w14:textId="205CE963" w:rsidR="0057539E" w:rsidRDefault="00275FCC" w:rsidP="00275FCC">
      <w:pPr>
        <w:pStyle w:val="a3"/>
        <w:pBdr>
          <w:bottom w:val="single" w:sz="6" w:space="1" w:color="auto"/>
        </w:pBdr>
        <w:spacing w:line="276" w:lineRule="auto"/>
        <w:jc w:val="left"/>
      </w:pPr>
      <w:r>
        <w:tab/>
      </w:r>
      <w:r>
        <w:sym w:font="Wingdings 2" w:char="F0A3"/>
      </w:r>
      <w:r>
        <w:t xml:space="preserve"> </w:t>
      </w:r>
      <w:r w:rsidR="00687CC2">
        <w:t>POSTER presentation</w:t>
      </w:r>
    </w:p>
    <w:p w14:paraId="73BAD38A" w14:textId="77777777" w:rsidR="0057539E" w:rsidRPr="007F6889" w:rsidRDefault="0057539E">
      <w:pPr>
        <w:rPr>
          <w:sz w:val="18"/>
          <w:szCs w:val="18"/>
        </w:rPr>
      </w:pPr>
    </w:p>
    <w:p w14:paraId="2A98A458" w14:textId="3BC9004D" w:rsidR="00687CC2" w:rsidRPr="006C3CD3" w:rsidRDefault="006C3CD3" w:rsidP="006C3CD3">
      <w:pPr>
        <w:autoSpaceDE w:val="0"/>
        <w:autoSpaceDN w:val="0"/>
        <w:adjustRightInd w:val="0"/>
        <w:spacing w:after="240"/>
        <w:rPr>
          <w:rFonts w:ascii="Times" w:hAnsi="Times" w:cs="Times"/>
        </w:rPr>
      </w:pPr>
      <w:bookmarkStart w:id="0" w:name="_GoBack"/>
      <w:proofErr w:type="spellStart"/>
      <w:r w:rsidRPr="006C3CD3">
        <w:rPr>
          <w:rFonts w:ascii="Arial" w:hAnsi="Arial" w:cs="Arial"/>
          <w:b/>
          <w:i/>
          <w:color w:val="000000"/>
          <w:sz w:val="28"/>
          <w:szCs w:val="28"/>
        </w:rPr>
        <w:t>Scoparia</w:t>
      </w:r>
      <w:proofErr w:type="spellEnd"/>
      <w:r w:rsidRPr="006C3CD3">
        <w:rPr>
          <w:rFonts w:ascii="Arial" w:hAnsi="Arial" w:cs="Arial"/>
          <w:b/>
          <w:i/>
          <w:color w:val="000000"/>
          <w:sz w:val="28"/>
          <w:szCs w:val="28"/>
        </w:rPr>
        <w:t xml:space="preserve"> </w:t>
      </w:r>
      <w:proofErr w:type="spellStart"/>
      <w:r w:rsidRPr="006C3CD3">
        <w:rPr>
          <w:rFonts w:ascii="Arial" w:hAnsi="Arial" w:cs="Arial"/>
          <w:b/>
          <w:i/>
          <w:color w:val="000000"/>
          <w:sz w:val="28"/>
          <w:szCs w:val="28"/>
        </w:rPr>
        <w:t>dulcis</w:t>
      </w:r>
      <w:proofErr w:type="spellEnd"/>
      <w:r w:rsidRPr="006C3CD3">
        <w:rPr>
          <w:rFonts w:ascii="Arial" w:hAnsi="Arial" w:cs="Arial"/>
          <w:b/>
          <w:color w:val="000000"/>
          <w:sz w:val="28"/>
          <w:szCs w:val="28"/>
        </w:rPr>
        <w:t xml:space="preserve"> L. Extract Relieved High Stocking Density-Induced Stress in Crucian Carp (</w:t>
      </w:r>
      <w:proofErr w:type="spellStart"/>
      <w:r w:rsidRPr="006C3CD3">
        <w:rPr>
          <w:rFonts w:ascii="Arial" w:hAnsi="Arial" w:cs="Arial"/>
          <w:b/>
          <w:i/>
          <w:color w:val="000000"/>
          <w:sz w:val="28"/>
          <w:szCs w:val="28"/>
        </w:rPr>
        <w:t>Carassius</w:t>
      </w:r>
      <w:proofErr w:type="spellEnd"/>
      <w:r w:rsidRPr="006C3CD3">
        <w:rPr>
          <w:rFonts w:ascii="Arial" w:hAnsi="Arial" w:cs="Arial"/>
          <w:b/>
          <w:i/>
          <w:color w:val="000000"/>
          <w:sz w:val="28"/>
          <w:szCs w:val="28"/>
        </w:rPr>
        <w:t xml:space="preserve"> </w:t>
      </w:r>
      <w:proofErr w:type="spellStart"/>
      <w:r w:rsidRPr="006C3CD3">
        <w:rPr>
          <w:rFonts w:ascii="Arial" w:hAnsi="Arial" w:cs="Arial"/>
          <w:b/>
          <w:i/>
          <w:color w:val="000000"/>
          <w:sz w:val="28"/>
          <w:szCs w:val="28"/>
        </w:rPr>
        <w:t>auratus</w:t>
      </w:r>
      <w:proofErr w:type="spellEnd"/>
      <w:r w:rsidRPr="006C3CD3">
        <w:rPr>
          <w:rFonts w:ascii="Arial" w:hAnsi="Arial" w:cs="Arial"/>
          <w:b/>
          <w:color w:val="000000"/>
          <w:sz w:val="28"/>
          <w:szCs w:val="28"/>
        </w:rPr>
        <w:t xml:space="preserve">) </w:t>
      </w:r>
    </w:p>
    <w:bookmarkEnd w:id="0"/>
    <w:p w14:paraId="3CE58CA6" w14:textId="7110DE89" w:rsidR="00687CC2" w:rsidRPr="00687CC2" w:rsidRDefault="006C3CD3">
      <w:pPr>
        <w:rPr>
          <w:color w:val="000000"/>
          <w:sz w:val="28"/>
          <w:szCs w:val="28"/>
        </w:rPr>
      </w:pPr>
      <w:proofErr w:type="spellStart"/>
      <w:r>
        <w:rPr>
          <w:rFonts w:hint="eastAsia"/>
          <w:color w:val="000000"/>
          <w:sz w:val="28"/>
          <w:szCs w:val="28"/>
          <w:lang w:eastAsia="zh-CN"/>
        </w:rPr>
        <w:t>Gangfu</w:t>
      </w:r>
      <w:proofErr w:type="spellEnd"/>
      <w:r>
        <w:rPr>
          <w:rFonts w:hint="eastAsia"/>
          <w:color w:val="000000"/>
          <w:sz w:val="28"/>
          <w:szCs w:val="28"/>
          <w:lang w:eastAsia="zh-CN"/>
        </w:rPr>
        <w:t xml:space="preserve"> Chen</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r>
        <w:rPr>
          <w:rFonts w:hint="eastAsia"/>
          <w:color w:val="000000"/>
          <w:sz w:val="28"/>
          <w:szCs w:val="28"/>
          <w:lang w:eastAsia="zh-CN"/>
        </w:rPr>
        <w:t>Jing</w:t>
      </w:r>
      <w:r w:rsidR="00275FCC">
        <w:rPr>
          <w:color w:val="000000"/>
          <w:sz w:val="28"/>
          <w:szCs w:val="28"/>
        </w:rPr>
        <w:t xml:space="preserve"> </w:t>
      </w:r>
      <w:r>
        <w:rPr>
          <w:rFonts w:hint="eastAsia"/>
          <w:color w:val="000000"/>
          <w:sz w:val="28"/>
          <w:szCs w:val="28"/>
          <w:lang w:eastAsia="zh-CN"/>
        </w:rPr>
        <w:t>Xu</w:t>
      </w:r>
      <w:r w:rsidR="00687CC2" w:rsidRPr="00275FCC">
        <w:rPr>
          <w:color w:val="000000"/>
          <w:sz w:val="28"/>
          <w:szCs w:val="28"/>
          <w:vertAlign w:val="superscript"/>
        </w:rPr>
        <w:t>2</w:t>
      </w:r>
      <w:r w:rsidR="00275FCC">
        <w:rPr>
          <w:color w:val="000000"/>
          <w:sz w:val="28"/>
          <w:szCs w:val="28"/>
        </w:rPr>
        <w:t xml:space="preserve">, </w:t>
      </w:r>
      <w:proofErr w:type="spellStart"/>
      <w:r>
        <w:rPr>
          <w:rFonts w:hint="eastAsia"/>
          <w:color w:val="000000"/>
          <w:sz w:val="28"/>
          <w:szCs w:val="28"/>
          <w:lang w:eastAsia="zh-CN"/>
        </w:rPr>
        <w:t>Huatao</w:t>
      </w:r>
      <w:proofErr w:type="spellEnd"/>
      <w:r w:rsidR="00275FCC">
        <w:rPr>
          <w:color w:val="000000"/>
          <w:sz w:val="28"/>
          <w:szCs w:val="28"/>
        </w:rPr>
        <w:t xml:space="preserve"> </w:t>
      </w:r>
      <w:r>
        <w:rPr>
          <w:rFonts w:hint="eastAsia"/>
          <w:color w:val="000000"/>
          <w:sz w:val="28"/>
          <w:szCs w:val="28"/>
          <w:lang w:eastAsia="zh-CN"/>
        </w:rPr>
        <w:t>Li</w:t>
      </w:r>
      <w:r w:rsidR="00275FCC" w:rsidRPr="00275FCC">
        <w:rPr>
          <w:color w:val="000000"/>
          <w:sz w:val="28"/>
          <w:szCs w:val="28"/>
          <w:vertAlign w:val="superscript"/>
        </w:rPr>
        <w:t>3</w:t>
      </w:r>
    </w:p>
    <w:p w14:paraId="4F138E70" w14:textId="2D97304C" w:rsidR="00687CC2" w:rsidRPr="00687CC2" w:rsidRDefault="00687CC2" w:rsidP="005847D4">
      <w:pPr>
        <w:jc w:val="both"/>
        <w:rPr>
          <w:color w:val="000000"/>
          <w:lang w:eastAsia="zh-CN"/>
        </w:rPr>
      </w:pPr>
      <w:r w:rsidRPr="00687CC2">
        <w:rPr>
          <w:color w:val="000000"/>
          <w:vertAlign w:val="superscript"/>
        </w:rPr>
        <w:t>1</w:t>
      </w:r>
      <w:r w:rsidR="006C3CD3">
        <w:rPr>
          <w:rFonts w:hint="eastAsia"/>
          <w:color w:val="000000"/>
          <w:vertAlign w:val="superscript"/>
          <w:lang w:eastAsia="zh-CN"/>
        </w:rPr>
        <w:t xml:space="preserve"> </w:t>
      </w:r>
      <w:r w:rsidR="006C3CD3">
        <w:rPr>
          <w:rFonts w:hint="eastAsia"/>
          <w:color w:val="000000"/>
          <w:lang w:eastAsia="zh-CN"/>
        </w:rPr>
        <w:t>fayahr@163.com</w:t>
      </w:r>
      <w:r w:rsidRPr="00687CC2">
        <w:rPr>
          <w:color w:val="000000"/>
        </w:rPr>
        <w:t xml:space="preserve">, </w:t>
      </w:r>
      <w:r w:rsidR="006C3CD3" w:rsidRPr="006C3CD3">
        <w:rPr>
          <w:color w:val="000000"/>
        </w:rPr>
        <w:t xml:space="preserve">Key Laboratory of Sichuan Province for Conservation and Utilization of Fishes Resources in the Upper Reaches of the Yangtze River, College of Life Sciences, </w:t>
      </w:r>
      <w:proofErr w:type="spellStart"/>
      <w:r w:rsidR="006C3CD3" w:rsidRPr="006C3CD3">
        <w:rPr>
          <w:color w:val="000000"/>
        </w:rPr>
        <w:t>Neijiang</w:t>
      </w:r>
      <w:proofErr w:type="spellEnd"/>
      <w:r w:rsidR="006C3CD3" w:rsidRPr="006C3CD3">
        <w:rPr>
          <w:color w:val="000000"/>
        </w:rPr>
        <w:t xml:space="preserve"> Normal University,</w:t>
      </w:r>
      <w:r w:rsidR="006C3CD3">
        <w:rPr>
          <w:rFonts w:hint="eastAsia"/>
          <w:color w:val="000000"/>
          <w:lang w:eastAsia="zh-CN"/>
        </w:rPr>
        <w:t xml:space="preserve"> China</w:t>
      </w:r>
    </w:p>
    <w:p w14:paraId="3C4C4A36" w14:textId="0D5A1A6D" w:rsidR="00687CC2" w:rsidRDefault="00687CC2" w:rsidP="005847D4">
      <w:pPr>
        <w:jc w:val="both"/>
        <w:rPr>
          <w:color w:val="000000"/>
        </w:rPr>
      </w:pPr>
      <w:r w:rsidRPr="00687CC2">
        <w:rPr>
          <w:color w:val="000000"/>
          <w:vertAlign w:val="superscript"/>
        </w:rPr>
        <w:t>2</w:t>
      </w:r>
      <w:r w:rsidRPr="00687CC2">
        <w:rPr>
          <w:color w:val="000000"/>
        </w:rPr>
        <w:t xml:space="preserve"> </w:t>
      </w:r>
      <w:r w:rsidR="006C3CD3" w:rsidRPr="006C3CD3">
        <w:rPr>
          <w:color w:val="000000"/>
        </w:rPr>
        <w:t xml:space="preserve">Key Laboratory of Sichuan Province for Conservation and Utilization of Fishes Resources in the Upper Reaches of the Yangtze River, College of Life Sciences, </w:t>
      </w:r>
      <w:proofErr w:type="spellStart"/>
      <w:r w:rsidR="006C3CD3" w:rsidRPr="006C3CD3">
        <w:rPr>
          <w:color w:val="000000"/>
        </w:rPr>
        <w:t>Neijiang</w:t>
      </w:r>
      <w:proofErr w:type="spellEnd"/>
      <w:r w:rsidR="006C3CD3" w:rsidRPr="006C3CD3">
        <w:rPr>
          <w:color w:val="000000"/>
        </w:rPr>
        <w:t xml:space="preserve"> Normal University,</w:t>
      </w:r>
      <w:r w:rsidR="006C3CD3">
        <w:rPr>
          <w:rFonts w:hint="eastAsia"/>
          <w:color w:val="000000"/>
          <w:lang w:eastAsia="zh-CN"/>
        </w:rPr>
        <w:t xml:space="preserve"> China</w:t>
      </w:r>
    </w:p>
    <w:p w14:paraId="69BC28AA" w14:textId="2AD11A5A" w:rsidR="006C3CD3" w:rsidRDefault="00275FCC" w:rsidP="005847D4">
      <w:pPr>
        <w:jc w:val="both"/>
        <w:rPr>
          <w:color w:val="000000"/>
        </w:rPr>
      </w:pPr>
      <w:r>
        <w:rPr>
          <w:color w:val="000000"/>
          <w:vertAlign w:val="superscript"/>
        </w:rPr>
        <w:t>3</w:t>
      </w:r>
      <w:r w:rsidRPr="00687CC2">
        <w:rPr>
          <w:color w:val="000000"/>
        </w:rPr>
        <w:t xml:space="preserve"> </w:t>
      </w:r>
      <w:r w:rsidR="006C3CD3" w:rsidRPr="006C3CD3">
        <w:rPr>
          <w:color w:val="000000"/>
        </w:rPr>
        <w:t xml:space="preserve">Key Laboratory of Sichuan Province for Conservation and Utilization of Fishes Resources in the Upper Reaches of the Yangtze River, College of Life Sciences, </w:t>
      </w:r>
      <w:proofErr w:type="spellStart"/>
      <w:r w:rsidR="006C3CD3" w:rsidRPr="006C3CD3">
        <w:rPr>
          <w:color w:val="000000"/>
        </w:rPr>
        <w:t>Neijiang</w:t>
      </w:r>
      <w:proofErr w:type="spellEnd"/>
      <w:r w:rsidR="006C3CD3" w:rsidRPr="006C3CD3">
        <w:rPr>
          <w:color w:val="000000"/>
        </w:rPr>
        <w:t xml:space="preserve"> Normal University,</w:t>
      </w:r>
      <w:r w:rsidR="006C3CD3">
        <w:rPr>
          <w:rFonts w:hint="eastAsia"/>
          <w:color w:val="000000"/>
          <w:lang w:eastAsia="zh-CN"/>
        </w:rPr>
        <w:t xml:space="preserve"> China</w:t>
      </w:r>
    </w:p>
    <w:p w14:paraId="7270EC3A" w14:textId="77777777" w:rsidR="006C3CD3" w:rsidRDefault="006C3CD3" w:rsidP="005847D4">
      <w:pPr>
        <w:jc w:val="both"/>
        <w:rPr>
          <w:color w:val="000000"/>
        </w:rPr>
      </w:pPr>
    </w:p>
    <w:p w14:paraId="55C7C631" w14:textId="2624CE0C" w:rsidR="00687CC2" w:rsidRPr="00275FCC" w:rsidRDefault="00275FCC" w:rsidP="005847D4">
      <w:pPr>
        <w:jc w:val="both"/>
        <w:rPr>
          <w:b/>
          <w:bCs/>
          <w:color w:val="000000"/>
        </w:rPr>
      </w:pPr>
      <w:r w:rsidRPr="00275FCC">
        <w:rPr>
          <w:b/>
          <w:bCs/>
          <w:color w:val="000000"/>
        </w:rPr>
        <w:t>Abstract:</w:t>
      </w:r>
    </w:p>
    <w:p w14:paraId="6D01742E" w14:textId="77777777" w:rsidR="00275FCC" w:rsidRDefault="00275FCC" w:rsidP="005847D4">
      <w:pPr>
        <w:jc w:val="both"/>
        <w:rPr>
          <w:color w:val="000000"/>
        </w:rPr>
      </w:pPr>
    </w:p>
    <w:p w14:paraId="2890B898" w14:textId="1A219E35" w:rsidR="005847D4" w:rsidRPr="005847D4" w:rsidRDefault="00275FCC" w:rsidP="005847D4">
      <w:pPr>
        <w:jc w:val="both"/>
        <w:rPr>
          <w:color w:val="000000"/>
        </w:rPr>
      </w:pPr>
      <w:r w:rsidRPr="00275FCC">
        <w:rPr>
          <w:b/>
          <w:bCs/>
          <w:color w:val="000000"/>
        </w:rPr>
        <w:t>Background/Objective:</w:t>
      </w:r>
      <w:r w:rsidRPr="00275FCC">
        <w:rPr>
          <w:color w:val="000000"/>
        </w:rPr>
        <w:t xml:space="preserve"> </w:t>
      </w:r>
      <w:r w:rsidR="005847D4">
        <w:rPr>
          <w:rFonts w:ascii="Times" w:hAnsi="Times" w:cs="Times"/>
        </w:rPr>
        <w:t xml:space="preserve">High stocking density </w:t>
      </w:r>
      <w:r w:rsidR="005847D4">
        <w:rPr>
          <w:rFonts w:ascii="Times" w:hAnsi="Times" w:cs="Times" w:hint="eastAsia"/>
          <w:lang w:eastAsia="zh-CN"/>
        </w:rPr>
        <w:t>is a</w:t>
      </w:r>
      <w:r w:rsidR="005847D4">
        <w:rPr>
          <w:rFonts w:ascii="Times" w:hAnsi="Times" w:cs="Times"/>
        </w:rPr>
        <w:t xml:space="preserve"> typical inducers of physiological stress in fish. It is well known that the stress response may be harmful to aquatic animals, inhibiting growth, causing reproductive failure, and reducing resistance to pathogens. Hence, it is important to attenuate the detrimental effects induced by these stressors in modern farming systems. Although </w:t>
      </w:r>
      <w:proofErr w:type="spellStart"/>
      <w:r w:rsidR="005847D4">
        <w:rPr>
          <w:rFonts w:ascii="Times" w:hAnsi="Times" w:cs="Times"/>
          <w:i/>
          <w:iCs/>
        </w:rPr>
        <w:t>Scoparia</w:t>
      </w:r>
      <w:proofErr w:type="spellEnd"/>
      <w:r w:rsidR="005847D4">
        <w:rPr>
          <w:rFonts w:ascii="Times" w:hAnsi="Times" w:cs="Times"/>
          <w:i/>
          <w:iCs/>
        </w:rPr>
        <w:t xml:space="preserve"> </w:t>
      </w:r>
      <w:proofErr w:type="spellStart"/>
      <w:r w:rsidR="005847D4">
        <w:rPr>
          <w:rFonts w:ascii="Times" w:hAnsi="Times" w:cs="Times"/>
          <w:i/>
          <w:iCs/>
        </w:rPr>
        <w:t>dulcis</w:t>
      </w:r>
      <w:proofErr w:type="spellEnd"/>
      <w:r w:rsidR="005847D4">
        <w:rPr>
          <w:rFonts w:ascii="Times" w:hAnsi="Times" w:cs="Times"/>
          <w:i/>
          <w:iCs/>
        </w:rPr>
        <w:t xml:space="preserve"> </w:t>
      </w:r>
      <w:r w:rsidR="005847D4">
        <w:rPr>
          <w:rFonts w:ascii="Times" w:hAnsi="Times" w:cs="Times"/>
        </w:rPr>
        <w:t xml:space="preserve">relieved cadmium-induced oxidative stress in rats, little information is available on the effects of high stocking density in fish. Therefore, this study investigates the protective effects of dietary supplementation with </w:t>
      </w:r>
      <w:proofErr w:type="spellStart"/>
      <w:r w:rsidR="005847D4">
        <w:rPr>
          <w:rFonts w:ascii="Times" w:hAnsi="Times" w:cs="Times"/>
          <w:i/>
          <w:iCs/>
        </w:rPr>
        <w:t>Scoparia</w:t>
      </w:r>
      <w:proofErr w:type="spellEnd"/>
      <w:r w:rsidR="005847D4">
        <w:rPr>
          <w:rFonts w:ascii="Times" w:hAnsi="Times" w:cs="Times"/>
          <w:i/>
          <w:iCs/>
        </w:rPr>
        <w:t xml:space="preserve"> </w:t>
      </w:r>
      <w:proofErr w:type="spellStart"/>
      <w:r w:rsidR="005847D4">
        <w:rPr>
          <w:rFonts w:ascii="Times" w:hAnsi="Times" w:cs="Times"/>
          <w:i/>
          <w:iCs/>
        </w:rPr>
        <w:t>dulcis</w:t>
      </w:r>
      <w:proofErr w:type="spellEnd"/>
      <w:r w:rsidR="005847D4">
        <w:rPr>
          <w:rFonts w:ascii="Times" w:hAnsi="Times" w:cs="Times"/>
          <w:i/>
          <w:iCs/>
        </w:rPr>
        <w:t xml:space="preserve"> </w:t>
      </w:r>
      <w:r w:rsidR="005847D4">
        <w:rPr>
          <w:rFonts w:ascii="Times" w:hAnsi="Times" w:cs="Times"/>
        </w:rPr>
        <w:t>extract on fish maintained at a high stocking density</w:t>
      </w:r>
      <w:r w:rsidR="005847D4">
        <w:rPr>
          <w:rFonts w:ascii="Times" w:hAnsi="Times" w:cs="Times" w:hint="eastAsia"/>
          <w:lang w:eastAsia="zh-CN"/>
        </w:rPr>
        <w:t xml:space="preserve">. </w:t>
      </w:r>
      <w:r w:rsidR="005847D4">
        <w:rPr>
          <w:rFonts w:ascii="Times" w:hAnsi="Times" w:cs="Times"/>
        </w:rPr>
        <w:t xml:space="preserve"> </w:t>
      </w:r>
    </w:p>
    <w:p w14:paraId="50DB156D" w14:textId="77777777" w:rsidR="005847D4" w:rsidRDefault="005847D4" w:rsidP="005847D4">
      <w:pPr>
        <w:jc w:val="both"/>
        <w:rPr>
          <w:color w:val="000000"/>
        </w:rPr>
      </w:pPr>
    </w:p>
    <w:p w14:paraId="3C378C64" w14:textId="60B9ACF4" w:rsidR="00F4701A" w:rsidRDefault="00275FCC" w:rsidP="00F256F3">
      <w:pPr>
        <w:jc w:val="both"/>
        <w:rPr>
          <w:color w:val="000000"/>
        </w:rPr>
      </w:pPr>
      <w:r w:rsidRPr="00275FCC">
        <w:rPr>
          <w:b/>
          <w:bCs/>
          <w:color w:val="000000"/>
        </w:rPr>
        <w:t>Methods:</w:t>
      </w:r>
      <w:r w:rsidRPr="00275FCC">
        <w:rPr>
          <w:color w:val="000000"/>
        </w:rPr>
        <w:t xml:space="preserve"> </w:t>
      </w:r>
      <w:proofErr w:type="spellStart"/>
      <w:r w:rsidR="00F4701A">
        <w:rPr>
          <w:rFonts w:ascii="Times" w:hAnsi="Times" w:cs="Times"/>
          <w:i/>
          <w:iCs/>
        </w:rPr>
        <w:t>Scoparia</w:t>
      </w:r>
      <w:proofErr w:type="spellEnd"/>
      <w:r w:rsidR="00F4701A">
        <w:rPr>
          <w:rFonts w:ascii="Times" w:hAnsi="Times" w:cs="Times"/>
          <w:i/>
          <w:iCs/>
        </w:rPr>
        <w:t xml:space="preserve"> </w:t>
      </w:r>
      <w:proofErr w:type="spellStart"/>
      <w:r w:rsidR="00F4701A">
        <w:rPr>
          <w:rFonts w:ascii="Times" w:hAnsi="Times" w:cs="Times"/>
          <w:i/>
          <w:iCs/>
        </w:rPr>
        <w:t>dulcis</w:t>
      </w:r>
      <w:proofErr w:type="spellEnd"/>
      <w:r w:rsidR="00F4701A">
        <w:rPr>
          <w:rFonts w:ascii="Times" w:hAnsi="Times" w:cs="Times"/>
          <w:i/>
          <w:iCs/>
        </w:rPr>
        <w:t xml:space="preserve"> </w:t>
      </w:r>
      <w:r w:rsidR="00F4701A">
        <w:rPr>
          <w:rFonts w:ascii="Times" w:hAnsi="Times" w:cs="Times"/>
        </w:rPr>
        <w:t xml:space="preserve">extract </w:t>
      </w:r>
      <w:r w:rsidR="00F4701A">
        <w:rPr>
          <w:rFonts w:ascii="Times" w:hAnsi="Times" w:cs="Times" w:hint="eastAsia"/>
          <w:lang w:eastAsia="zh-CN"/>
        </w:rPr>
        <w:t>(</w:t>
      </w:r>
      <w:r w:rsidR="00F4701A">
        <w:rPr>
          <w:rFonts w:ascii="Times" w:hAnsi="Times" w:cs="Times"/>
        </w:rPr>
        <w:t>SDE</w:t>
      </w:r>
      <w:r w:rsidR="00F4701A">
        <w:rPr>
          <w:rFonts w:ascii="Times" w:hAnsi="Times" w:cs="Times" w:hint="eastAsia"/>
          <w:lang w:eastAsia="zh-CN"/>
        </w:rPr>
        <w:t xml:space="preserve">) was prepared first. </w:t>
      </w:r>
      <w:r w:rsidR="00F4701A" w:rsidRPr="00F256F3">
        <w:rPr>
          <w:color w:val="000000"/>
        </w:rPr>
        <w:t>Juvenile crucian carp (8.3 ± 0.3 g) were randomly assigned into eight groups, each of which contained 4 replicate aquariums. Group one (control) contained 15 fish per aquarium (normal density, 0.48 fish L</w:t>
      </w:r>
      <w:r w:rsidR="00F256F3" w:rsidRPr="00F256F3">
        <w:rPr>
          <w:rFonts w:hint="eastAsia"/>
          <w:color w:val="000000"/>
          <w:vertAlign w:val="superscript"/>
          <w:lang w:eastAsia="zh-CN"/>
        </w:rPr>
        <w:t>-1</w:t>
      </w:r>
      <w:r w:rsidR="00F4701A" w:rsidRPr="00F256F3">
        <w:rPr>
          <w:color w:val="000000"/>
        </w:rPr>
        <w:t>), while the other groups contained 30 fish per aquarium (high density, 0.97 fish L</w:t>
      </w:r>
      <w:r w:rsidR="00F256F3" w:rsidRPr="00F256F3">
        <w:rPr>
          <w:rFonts w:hint="eastAsia"/>
          <w:color w:val="000000"/>
          <w:vertAlign w:val="superscript"/>
          <w:lang w:eastAsia="zh-CN"/>
        </w:rPr>
        <w:t>-1</w:t>
      </w:r>
      <w:r w:rsidR="00F4701A" w:rsidRPr="00F256F3">
        <w:rPr>
          <w:color w:val="000000"/>
        </w:rPr>
        <w:t>). The basal diet was fed to the control group, and experimental diets supplemented with AE at 0.0, 1.0, 2.0, 3.0, 4.0, 5.0, and 6.0 g kg</w:t>
      </w:r>
      <w:r w:rsidR="00F256F3" w:rsidRPr="00F256F3">
        <w:rPr>
          <w:rFonts w:hint="eastAsia"/>
          <w:color w:val="000000"/>
          <w:vertAlign w:val="superscript"/>
          <w:lang w:eastAsia="zh-CN"/>
        </w:rPr>
        <w:t>-1</w:t>
      </w:r>
      <w:r w:rsidR="00F4701A" w:rsidRPr="00F256F3">
        <w:rPr>
          <w:color w:val="000000"/>
          <w:vertAlign w:val="superscript"/>
        </w:rPr>
        <w:t xml:space="preserve"> </w:t>
      </w:r>
      <w:r w:rsidR="00F4701A" w:rsidRPr="00F256F3">
        <w:rPr>
          <w:color w:val="000000"/>
        </w:rPr>
        <w:t xml:space="preserve">were fed to groups two to eight for 60 days. </w:t>
      </w:r>
      <w:r w:rsidR="00F256F3">
        <w:rPr>
          <w:color w:val="000000"/>
          <w:lang w:eastAsia="zh-CN"/>
        </w:rPr>
        <w:t>F</w:t>
      </w:r>
      <w:r w:rsidR="00F256F3">
        <w:rPr>
          <w:rFonts w:hint="eastAsia"/>
          <w:color w:val="000000"/>
          <w:lang w:eastAsia="zh-CN"/>
        </w:rPr>
        <w:t xml:space="preserve">ish </w:t>
      </w:r>
      <w:r w:rsidR="00F256F3">
        <w:rPr>
          <w:rFonts w:ascii="Times" w:hAnsi="Times" w:cs="Times"/>
        </w:rPr>
        <w:t>growth performance, digestive</w:t>
      </w:r>
      <w:r w:rsidR="00F256F3">
        <w:rPr>
          <w:rFonts w:ascii="Times" w:hAnsi="Times" w:cs="Times" w:hint="eastAsia"/>
          <w:lang w:eastAsia="zh-CN"/>
        </w:rPr>
        <w:t xml:space="preserve"> </w:t>
      </w:r>
      <w:r w:rsidR="00F256F3">
        <w:rPr>
          <w:rFonts w:ascii="Times" w:hAnsi="Times" w:cs="Times"/>
        </w:rPr>
        <w:t>activities</w:t>
      </w:r>
      <w:r w:rsidR="00F256F3">
        <w:rPr>
          <w:rFonts w:ascii="Times" w:hAnsi="Times" w:cs="Times" w:hint="eastAsia"/>
          <w:lang w:eastAsia="zh-CN"/>
        </w:rPr>
        <w:t xml:space="preserve"> and </w:t>
      </w:r>
      <w:r w:rsidR="00F256F3">
        <w:rPr>
          <w:rFonts w:ascii="Times" w:hAnsi="Times" w:cs="Times"/>
        </w:rPr>
        <w:t>antioxidant status</w:t>
      </w:r>
      <w:r w:rsidR="00F256F3">
        <w:rPr>
          <w:rFonts w:ascii="Times" w:hAnsi="Times" w:cs="Times" w:hint="eastAsia"/>
          <w:lang w:eastAsia="zh-CN"/>
        </w:rPr>
        <w:t xml:space="preserve"> were detected.</w:t>
      </w:r>
    </w:p>
    <w:p w14:paraId="6695E355" w14:textId="21AC71C7" w:rsidR="00380081" w:rsidRDefault="00275FCC" w:rsidP="00F4701A">
      <w:pPr>
        <w:jc w:val="both"/>
        <w:rPr>
          <w:rFonts w:ascii="Times" w:hAnsi="Times" w:cs="Times"/>
          <w:lang w:eastAsia="zh-CN"/>
        </w:rPr>
      </w:pPr>
      <w:r w:rsidRPr="00275FCC">
        <w:rPr>
          <w:b/>
          <w:bCs/>
          <w:color w:val="000000"/>
        </w:rPr>
        <w:t>Results:</w:t>
      </w:r>
      <w:r w:rsidRPr="00275FCC">
        <w:rPr>
          <w:color w:val="000000"/>
        </w:rPr>
        <w:t xml:space="preserve"> </w:t>
      </w:r>
      <w:r w:rsidR="00F4701A">
        <w:rPr>
          <w:rFonts w:ascii="Times" w:hAnsi="Times" w:cs="Times"/>
        </w:rPr>
        <w:t xml:space="preserve">The results showed that </w:t>
      </w:r>
      <w:r w:rsidR="00F4701A">
        <w:rPr>
          <w:rFonts w:ascii="Times" w:hAnsi="Times" w:cs="Times" w:hint="eastAsia"/>
          <w:lang w:eastAsia="zh-CN"/>
        </w:rPr>
        <w:t>h</w:t>
      </w:r>
      <w:r w:rsidR="00F4701A">
        <w:rPr>
          <w:rFonts w:ascii="Times" w:hAnsi="Times" w:cs="Times"/>
        </w:rPr>
        <w:t>igh stocking density exerted detrimental effects in fish, such as inhibition of growth performance. Under high stocking density, dietary SDE</w:t>
      </w:r>
      <w:r w:rsidR="00F4701A">
        <w:rPr>
          <w:rFonts w:ascii="Times" w:hAnsi="Times" w:cs="Times" w:hint="eastAsia"/>
          <w:lang w:eastAsia="zh-CN"/>
        </w:rPr>
        <w:t xml:space="preserve"> </w:t>
      </w:r>
      <w:r w:rsidR="00F4701A">
        <w:rPr>
          <w:rFonts w:ascii="Times" w:hAnsi="Times" w:cs="Times"/>
        </w:rPr>
        <w:t xml:space="preserve">supplementation increased the content of reduced glutathione (GSH) and the activities of amylase, catalase (CAT), and glutathione reductase (GR) and decreased the content of </w:t>
      </w:r>
      <w:proofErr w:type="spellStart"/>
      <w:r w:rsidR="00F4701A">
        <w:rPr>
          <w:rFonts w:ascii="Times" w:hAnsi="Times" w:cs="Times"/>
        </w:rPr>
        <w:t>malonaldehyde</w:t>
      </w:r>
      <w:proofErr w:type="spellEnd"/>
      <w:r w:rsidR="00F4701A">
        <w:rPr>
          <w:rFonts w:ascii="Times" w:hAnsi="Times" w:cs="Times"/>
        </w:rPr>
        <w:t xml:space="preserve"> (MDA) in the intestine of crucian carp. The optimum dietary SDE supplementation levels w</w:t>
      </w:r>
      <w:r w:rsidR="00F4701A">
        <w:rPr>
          <w:rFonts w:ascii="Times" w:hAnsi="Times" w:cs="Times" w:hint="eastAsia"/>
          <w:lang w:eastAsia="zh-CN"/>
        </w:rPr>
        <w:t>as</w:t>
      </w:r>
      <w:r w:rsidR="00F4701A">
        <w:rPr>
          <w:rFonts w:ascii="Times" w:hAnsi="Times" w:cs="Times"/>
        </w:rPr>
        <w:t xml:space="preserve"> 4.07 g kg</w:t>
      </w:r>
      <w:r w:rsidR="00F4701A">
        <w:rPr>
          <w:rFonts w:ascii="Times" w:hAnsi="Times" w:cs="Times"/>
          <w:position w:val="8"/>
          <w:sz w:val="18"/>
          <w:szCs w:val="18"/>
        </w:rPr>
        <w:t xml:space="preserve">1 </w:t>
      </w:r>
      <w:r w:rsidR="00F4701A">
        <w:rPr>
          <w:rFonts w:ascii="Times" w:hAnsi="Times" w:cs="Times"/>
        </w:rPr>
        <w:t xml:space="preserve">diet based on the recovery rate of weight gain (RWG) for crucian carp under high stocking density </w:t>
      </w:r>
    </w:p>
    <w:p w14:paraId="07417EFB" w14:textId="77777777" w:rsidR="00F256F3" w:rsidRPr="00F4701A" w:rsidRDefault="00F256F3" w:rsidP="00F4701A">
      <w:pPr>
        <w:jc w:val="both"/>
        <w:rPr>
          <w:color w:val="000000"/>
          <w:lang w:eastAsia="zh-CN"/>
        </w:rPr>
      </w:pPr>
    </w:p>
    <w:p w14:paraId="7DEC3F75" w14:textId="20B7F150" w:rsidR="00F4701A" w:rsidRPr="00F4701A" w:rsidRDefault="00275FCC" w:rsidP="00F4701A">
      <w:pPr>
        <w:jc w:val="both"/>
        <w:rPr>
          <w:color w:val="000000"/>
        </w:rPr>
      </w:pPr>
      <w:r w:rsidRPr="00275FCC">
        <w:rPr>
          <w:b/>
          <w:bCs/>
          <w:color w:val="000000"/>
        </w:rPr>
        <w:t>Conclusion:</w:t>
      </w:r>
      <w:r w:rsidRPr="00275FCC">
        <w:rPr>
          <w:color w:val="000000"/>
        </w:rPr>
        <w:t xml:space="preserve"> </w:t>
      </w:r>
      <w:r w:rsidR="00F4701A">
        <w:rPr>
          <w:rFonts w:ascii="Times" w:hAnsi="Times" w:cs="Times" w:hint="eastAsia"/>
          <w:lang w:eastAsia="zh-CN"/>
        </w:rPr>
        <w:t>D</w:t>
      </w:r>
      <w:r w:rsidR="00F4701A">
        <w:rPr>
          <w:rFonts w:ascii="Times" w:hAnsi="Times" w:cs="Times"/>
        </w:rPr>
        <w:t xml:space="preserve">ietary supplementation with SDE may be a useful </w:t>
      </w:r>
      <w:r w:rsidR="00F4701A">
        <w:rPr>
          <w:rFonts w:ascii="Times" w:hAnsi="Times" w:cs="Times" w:hint="eastAsia"/>
          <w:lang w:eastAsia="zh-CN"/>
        </w:rPr>
        <w:t>welfare</w:t>
      </w:r>
      <w:r w:rsidR="00F4701A">
        <w:rPr>
          <w:rFonts w:ascii="Times" w:hAnsi="Times" w:cs="Times"/>
        </w:rPr>
        <w:t xml:space="preserve"> strategy for relieving these stresses in aquatic animals. </w:t>
      </w:r>
    </w:p>
    <w:p w14:paraId="1790E9D4" w14:textId="77777777" w:rsidR="00F4701A" w:rsidRDefault="00F4701A" w:rsidP="005847D4">
      <w:pPr>
        <w:jc w:val="both"/>
        <w:rPr>
          <w:color w:val="000000"/>
          <w:lang w:eastAsia="zh-CN"/>
        </w:rPr>
      </w:pPr>
    </w:p>
    <w:p w14:paraId="01235116" w14:textId="78005204" w:rsidR="00F4701A" w:rsidRPr="00F4701A" w:rsidRDefault="00275FCC" w:rsidP="00F4701A">
      <w:pPr>
        <w:jc w:val="both"/>
        <w:rPr>
          <w:color w:val="000000"/>
          <w:lang w:eastAsia="zh-CN"/>
        </w:rPr>
      </w:pPr>
      <w:r w:rsidRPr="00275FCC">
        <w:rPr>
          <w:b/>
          <w:bCs/>
          <w:color w:val="000000"/>
        </w:rPr>
        <w:t>Keywords:</w:t>
      </w:r>
      <w:r w:rsidRPr="00275FCC">
        <w:rPr>
          <w:color w:val="000000"/>
        </w:rPr>
        <w:t xml:space="preserve"> </w:t>
      </w:r>
      <w:r w:rsidR="00F4701A">
        <w:rPr>
          <w:rFonts w:hint="eastAsia"/>
          <w:color w:val="000000"/>
          <w:lang w:eastAsia="zh-CN"/>
        </w:rPr>
        <w:t xml:space="preserve">fish welfare; </w:t>
      </w:r>
      <w:r w:rsidR="00F4701A">
        <w:rPr>
          <w:rFonts w:ascii="Times" w:hAnsi="Times" w:cs="Times"/>
        </w:rPr>
        <w:t xml:space="preserve">growth performance; digestive ability; antioxidant status </w:t>
      </w:r>
    </w:p>
    <w:p w14:paraId="257CBE11" w14:textId="77777777" w:rsidR="00F4701A" w:rsidRDefault="00F4701A" w:rsidP="005847D4">
      <w:pPr>
        <w:jc w:val="both"/>
        <w:rPr>
          <w:color w:val="000000"/>
          <w:lang w:eastAsia="zh-CN"/>
        </w:rPr>
      </w:pPr>
    </w:p>
    <w:sectPr w:rsidR="00F4701A"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Wingdings 2">
    <w:panose1 w:val="050201020105070707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275FCC"/>
    <w:rsid w:val="00380081"/>
    <w:rsid w:val="003E7C21"/>
    <w:rsid w:val="004A3688"/>
    <w:rsid w:val="0054438F"/>
    <w:rsid w:val="0057539E"/>
    <w:rsid w:val="005847D4"/>
    <w:rsid w:val="00687CC2"/>
    <w:rsid w:val="006C3CD3"/>
    <w:rsid w:val="007F6889"/>
    <w:rsid w:val="00857999"/>
    <w:rsid w:val="00A8666D"/>
    <w:rsid w:val="00AA48FD"/>
    <w:rsid w:val="00DB5C59"/>
    <w:rsid w:val="00F256F3"/>
    <w:rsid w:val="00F4701A"/>
    <w:rsid w:val="00F9664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256F3"/>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2471</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Abstract Template</vt:lpstr>
    </vt:vector>
  </TitlesOfParts>
  <Company>Copernicus Gesellschaft e.V.</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Microsoft Office 用户</cp:lastModifiedBy>
  <cp:revision>2</cp:revision>
  <dcterms:created xsi:type="dcterms:W3CDTF">2024-05-19T00:09:00Z</dcterms:created>
  <dcterms:modified xsi:type="dcterms:W3CDTF">2024-05-19T00:09:00Z</dcterms:modified>
</cp:coreProperties>
</file>