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el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0FA23720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 w:rsidR="00176794">
        <w:t>X</w:t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774B4AC3" w:rsidR="0057539E" w:rsidRDefault="005728D1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Stack sampling:</w:t>
      </w:r>
      <w:r w:rsidR="00B3429D" w:rsidRPr="00B3429D">
        <w:rPr>
          <w:rFonts w:ascii="Arial" w:hAnsi="Arial" w:cs="Arial"/>
          <w:b/>
          <w:color w:val="000000"/>
          <w:sz w:val="28"/>
          <w:szCs w:val="28"/>
        </w:rPr>
        <w:t xml:space="preserve"> Comparison of three methods for the detection of airborne viruses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713649C0" w:rsidR="00687CC2" w:rsidRPr="00176794" w:rsidRDefault="00D46FB6">
      <w:pPr>
        <w:rPr>
          <w:color w:val="000000"/>
          <w:sz w:val="28"/>
          <w:szCs w:val="28"/>
          <w:lang w:val="de-DE"/>
        </w:rPr>
      </w:pPr>
      <w:r w:rsidRPr="00176794">
        <w:rPr>
          <w:color w:val="000000"/>
          <w:sz w:val="28"/>
          <w:szCs w:val="28"/>
          <w:lang w:val="de-DE"/>
        </w:rPr>
        <w:t>V.N. Lochte</w:t>
      </w:r>
      <w:r w:rsidR="002C521F">
        <w:rPr>
          <w:color w:val="000000"/>
          <w:sz w:val="28"/>
          <w:szCs w:val="28"/>
          <w:vertAlign w:val="superscript"/>
          <w:lang w:val="de-DE"/>
        </w:rPr>
        <w:t>1</w:t>
      </w:r>
      <w:r w:rsidRPr="00176794">
        <w:rPr>
          <w:color w:val="000000"/>
          <w:sz w:val="28"/>
          <w:szCs w:val="28"/>
          <w:lang w:val="de-DE"/>
        </w:rPr>
        <w:t>, A.C. Springorum</w:t>
      </w:r>
      <w:r w:rsidR="002C521F">
        <w:rPr>
          <w:color w:val="000000"/>
          <w:sz w:val="28"/>
          <w:szCs w:val="28"/>
          <w:vertAlign w:val="superscript"/>
          <w:lang w:val="de-DE"/>
        </w:rPr>
        <w:t>2</w:t>
      </w:r>
      <w:r w:rsidRPr="00176794">
        <w:rPr>
          <w:color w:val="000000"/>
          <w:sz w:val="28"/>
          <w:szCs w:val="28"/>
          <w:lang w:val="de-DE"/>
        </w:rPr>
        <w:t>,</w:t>
      </w:r>
      <w:r w:rsidR="002C521F">
        <w:rPr>
          <w:color w:val="000000"/>
          <w:sz w:val="28"/>
          <w:szCs w:val="28"/>
          <w:lang w:val="de-DE"/>
        </w:rPr>
        <w:t xml:space="preserve"> </w:t>
      </w:r>
      <w:r w:rsidRPr="00176794">
        <w:rPr>
          <w:color w:val="000000"/>
          <w:sz w:val="28"/>
          <w:szCs w:val="28"/>
          <w:lang w:val="de-DE"/>
        </w:rPr>
        <w:t>N. Kemper</w:t>
      </w:r>
      <w:r w:rsidR="002C521F">
        <w:rPr>
          <w:color w:val="000000"/>
          <w:sz w:val="28"/>
          <w:szCs w:val="28"/>
          <w:vertAlign w:val="superscript"/>
          <w:lang w:val="de-DE"/>
        </w:rPr>
        <w:t>1</w:t>
      </w:r>
      <w:r w:rsidR="009572D2">
        <w:rPr>
          <w:color w:val="000000"/>
          <w:sz w:val="28"/>
          <w:szCs w:val="28"/>
          <w:lang w:val="de-DE"/>
        </w:rPr>
        <w:t xml:space="preserve"> and </w:t>
      </w:r>
      <w:r w:rsidR="009572D2" w:rsidRPr="00176794">
        <w:rPr>
          <w:color w:val="000000"/>
          <w:sz w:val="28"/>
          <w:szCs w:val="28"/>
          <w:lang w:val="de-DE"/>
        </w:rPr>
        <w:t>J. Schulz</w:t>
      </w:r>
      <w:r w:rsidR="009572D2" w:rsidRPr="00176794">
        <w:rPr>
          <w:color w:val="000000"/>
          <w:sz w:val="28"/>
          <w:szCs w:val="28"/>
          <w:vertAlign w:val="superscript"/>
          <w:lang w:val="de-DE"/>
        </w:rPr>
        <w:t>1</w:t>
      </w:r>
      <w:r w:rsidR="009572D2" w:rsidRPr="00176794">
        <w:rPr>
          <w:color w:val="000000"/>
          <w:sz w:val="28"/>
          <w:szCs w:val="28"/>
          <w:lang w:val="de-DE"/>
        </w:rPr>
        <w:t>*</w:t>
      </w:r>
      <w:r w:rsidRPr="00176794">
        <w:rPr>
          <w:color w:val="000000"/>
          <w:sz w:val="28"/>
          <w:szCs w:val="28"/>
          <w:lang w:val="de-DE"/>
        </w:rPr>
        <w:t xml:space="preserve"> 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62E4E512" w14:textId="77777777" w:rsidR="002C521F" w:rsidRPr="00687CC2" w:rsidRDefault="002C521F" w:rsidP="002C521F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>
        <w:rPr>
          <w:color w:val="000000"/>
        </w:rPr>
        <w:t>Jochen.Schulz@tiho-hannover.de</w:t>
      </w:r>
      <w:r w:rsidRPr="00687CC2">
        <w:rPr>
          <w:color w:val="000000"/>
        </w:rPr>
        <w:t xml:space="preserve">, </w:t>
      </w:r>
      <w:r w:rsidRPr="00A12525">
        <w:rPr>
          <w:color w:val="000000"/>
        </w:rPr>
        <w:t>Institute for Animal Hygiene, Animal Welfare and Farm Animal Behavior, University of Veterinary Medicine Hannover, Foundation, 30173 Hannover, Germany</w:t>
      </w:r>
    </w:p>
    <w:p w14:paraId="18C0F8B7" w14:textId="3DADFE3B" w:rsidR="00275FCC" w:rsidRDefault="002C521F" w:rsidP="00275FCC">
      <w:pPr>
        <w:rPr>
          <w:color w:val="000000"/>
        </w:rPr>
      </w:pPr>
      <w:r>
        <w:rPr>
          <w:color w:val="000000"/>
          <w:vertAlign w:val="superscript"/>
        </w:rPr>
        <w:t>2</w:t>
      </w:r>
      <w:r w:rsidR="00D46FB6">
        <w:rPr>
          <w:color w:val="000000"/>
        </w:rPr>
        <w:t xml:space="preserve">Department </w:t>
      </w:r>
      <w:r w:rsidR="00D46FB6">
        <w:rPr>
          <w:rFonts w:cstheme="minorHAnsi"/>
          <w:lang w:val="en-GB"/>
        </w:rPr>
        <w:t xml:space="preserve">Material Analysis and Indoor Chemistry, </w:t>
      </w:r>
      <w:proofErr w:type="spellStart"/>
      <w:r w:rsidR="00D46FB6">
        <w:rPr>
          <w:rFonts w:cstheme="minorHAnsi"/>
          <w:lang w:val="en-GB"/>
        </w:rPr>
        <w:t>Fraunhofer</w:t>
      </w:r>
      <w:proofErr w:type="spellEnd"/>
      <w:r w:rsidR="00D46FB6">
        <w:rPr>
          <w:rFonts w:cstheme="minorHAnsi"/>
          <w:lang w:val="en-GB"/>
        </w:rPr>
        <w:t xml:space="preserve"> WKI,</w:t>
      </w:r>
      <w:r w:rsidR="008B506E" w:rsidRPr="008B506E">
        <w:t xml:space="preserve"> </w:t>
      </w:r>
      <w:r w:rsidR="008B506E">
        <w:t>38108</w:t>
      </w:r>
      <w:r w:rsidR="008B506E">
        <w:rPr>
          <w:rFonts w:cstheme="minorHAnsi"/>
          <w:lang w:val="en-GB"/>
        </w:rPr>
        <w:t xml:space="preserve"> </w:t>
      </w:r>
      <w:proofErr w:type="spellStart"/>
      <w:r w:rsidR="00D46FB6">
        <w:rPr>
          <w:rFonts w:cstheme="minorHAnsi"/>
          <w:lang w:val="en-GB"/>
        </w:rPr>
        <w:t>Braunschweig</w:t>
      </w:r>
      <w:proofErr w:type="spellEnd"/>
      <w:r w:rsidR="00D46FB6">
        <w:rPr>
          <w:rFonts w:cstheme="minorHAnsi"/>
          <w:lang w:val="en-GB"/>
        </w:rPr>
        <w:t>, Germany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55E6D360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="000224D1">
        <w:rPr>
          <w:color w:val="000000"/>
        </w:rPr>
        <w:t xml:space="preserve"> </w:t>
      </w:r>
      <w:r w:rsidR="005728D1">
        <w:rPr>
          <w:color w:val="000000"/>
        </w:rPr>
        <w:t>E</w:t>
      </w:r>
      <w:r w:rsidR="00451EC7" w:rsidRPr="00451EC7">
        <w:rPr>
          <w:color w:val="000000"/>
        </w:rPr>
        <w:t>mitting airborne infectious agents</w:t>
      </w:r>
      <w:r w:rsidR="005728D1">
        <w:rPr>
          <w:color w:val="000000"/>
        </w:rPr>
        <w:t xml:space="preserve"> from livestock productions into the ambient air may pose a risk for adjacent</w:t>
      </w:r>
      <w:r w:rsidR="00D10167">
        <w:rPr>
          <w:color w:val="000000"/>
        </w:rPr>
        <w:t xml:space="preserve"> farms or residential areas.</w:t>
      </w:r>
      <w:r w:rsidR="00451EC7" w:rsidRPr="00451EC7">
        <w:rPr>
          <w:color w:val="000000"/>
        </w:rPr>
        <w:t xml:space="preserve"> In times of infectious viral disease outbreaks, reliable measurements of virus concentrations via air sampling can help to assess transmission risks. This raises the question which method is </w:t>
      </w:r>
      <w:r w:rsidR="005728D1">
        <w:rPr>
          <w:color w:val="000000"/>
        </w:rPr>
        <w:t>suitable</w:t>
      </w:r>
      <w:r w:rsidR="00451EC7" w:rsidRPr="00451EC7">
        <w:rPr>
          <w:color w:val="000000"/>
        </w:rPr>
        <w:t xml:space="preserve"> to sample viruses from </w:t>
      </w:r>
      <w:r w:rsidR="005728D1">
        <w:rPr>
          <w:color w:val="000000"/>
        </w:rPr>
        <w:t xml:space="preserve">the exhaust air of </w:t>
      </w:r>
      <w:r w:rsidR="006F0965">
        <w:rPr>
          <w:color w:val="000000"/>
        </w:rPr>
        <w:t>barns</w:t>
      </w:r>
      <w:r w:rsidR="000224D1">
        <w:rPr>
          <w:color w:val="000000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059D921D" w14:textId="468A214A" w:rsidR="00451EC7" w:rsidRDefault="00275FCC" w:rsidP="00451EC7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451EC7" w:rsidRPr="00451EC7">
        <w:rPr>
          <w:color w:val="000000"/>
        </w:rPr>
        <w:t>In this study, we compared t</w:t>
      </w:r>
      <w:r w:rsidR="00D10167">
        <w:rPr>
          <w:color w:val="000000"/>
        </w:rPr>
        <w:t xml:space="preserve">he </w:t>
      </w:r>
      <w:r w:rsidR="0036078A">
        <w:rPr>
          <w:color w:val="000000"/>
        </w:rPr>
        <w:t>stack sampling efficiencies</w:t>
      </w:r>
      <w:r w:rsidR="00D10167">
        <w:rPr>
          <w:color w:val="000000"/>
        </w:rPr>
        <w:t xml:space="preserve"> of </w:t>
      </w:r>
      <w:proofErr w:type="spellStart"/>
      <w:proofErr w:type="gramStart"/>
      <w:r w:rsidR="00D10167">
        <w:rPr>
          <w:color w:val="000000"/>
        </w:rPr>
        <w:t>teflon</w:t>
      </w:r>
      <w:proofErr w:type="spellEnd"/>
      <w:proofErr w:type="gramEnd"/>
      <w:r w:rsidR="00D10167">
        <w:rPr>
          <w:color w:val="000000"/>
        </w:rPr>
        <w:t xml:space="preserve"> filters</w:t>
      </w:r>
      <w:r w:rsidR="003E3E58" w:rsidRPr="003E3E58">
        <w:t xml:space="preserve"> </w:t>
      </w:r>
      <w:r w:rsidR="003E3E58">
        <w:rPr>
          <w:color w:val="000000"/>
        </w:rPr>
        <w:t>in three</w:t>
      </w:r>
      <w:r w:rsidR="003E3E58" w:rsidRPr="003E3E58">
        <w:rPr>
          <w:color w:val="000000"/>
        </w:rPr>
        <w:t xml:space="preserve"> part filter cassettes</w:t>
      </w:r>
      <w:r w:rsidR="00D10167">
        <w:rPr>
          <w:color w:val="000000"/>
        </w:rPr>
        <w:t xml:space="preserve"> and </w:t>
      </w:r>
      <w:proofErr w:type="spellStart"/>
      <w:r w:rsidR="00451EC7" w:rsidRPr="00451EC7">
        <w:rPr>
          <w:color w:val="000000"/>
        </w:rPr>
        <w:t>gelatin</w:t>
      </w:r>
      <w:r w:rsidR="00D10167">
        <w:rPr>
          <w:color w:val="000000"/>
        </w:rPr>
        <w:t>e</w:t>
      </w:r>
      <w:proofErr w:type="spellEnd"/>
      <w:r w:rsidR="00451EC7" w:rsidRPr="00451EC7">
        <w:rPr>
          <w:color w:val="000000"/>
        </w:rPr>
        <w:t xml:space="preserve"> filters in GSP3.5 filter holders as well as AGI-30 </w:t>
      </w:r>
      <w:proofErr w:type="spellStart"/>
      <w:r w:rsidR="00D10167">
        <w:rPr>
          <w:color w:val="000000"/>
        </w:rPr>
        <w:t>impingers</w:t>
      </w:r>
      <w:proofErr w:type="spellEnd"/>
      <w:r w:rsidR="005107EA">
        <w:rPr>
          <w:color w:val="000000"/>
        </w:rPr>
        <w:t xml:space="preserve"> at air velocities</w:t>
      </w:r>
      <w:r w:rsidR="00B13EAB">
        <w:rPr>
          <w:color w:val="000000"/>
        </w:rPr>
        <w:t xml:space="preserve"> of 3 m/s</w:t>
      </w:r>
      <w:r w:rsidR="00451EC7" w:rsidRPr="00451EC7">
        <w:rPr>
          <w:color w:val="000000"/>
        </w:rPr>
        <w:t xml:space="preserve">. </w:t>
      </w:r>
      <w:r w:rsidR="006F0965">
        <w:rPr>
          <w:color w:val="000000"/>
        </w:rPr>
        <w:t>Two</w:t>
      </w:r>
      <w:r w:rsidR="00451EC7" w:rsidRPr="00451EC7">
        <w:rPr>
          <w:color w:val="000000"/>
        </w:rPr>
        <w:t xml:space="preserve"> non-pathogenic surrogate viruses </w:t>
      </w:r>
      <w:proofErr w:type="gramStart"/>
      <w:r w:rsidR="00451EC7" w:rsidRPr="00451EC7">
        <w:rPr>
          <w:color w:val="000000"/>
        </w:rPr>
        <w:t>were used</w:t>
      </w:r>
      <w:proofErr w:type="gramEnd"/>
      <w:r w:rsidR="00451EC7" w:rsidRPr="00451EC7">
        <w:rPr>
          <w:color w:val="000000"/>
        </w:rPr>
        <w:t xml:space="preserve"> for </w:t>
      </w:r>
      <w:proofErr w:type="spellStart"/>
      <w:r w:rsidR="00451EC7" w:rsidRPr="00451EC7">
        <w:rPr>
          <w:color w:val="000000"/>
        </w:rPr>
        <w:t>aerosolisation</w:t>
      </w:r>
      <w:proofErr w:type="spellEnd"/>
      <w:r w:rsidR="0036078A">
        <w:rPr>
          <w:color w:val="000000"/>
        </w:rPr>
        <w:t xml:space="preserve">. First, </w:t>
      </w:r>
      <w:r w:rsidR="006F0965">
        <w:rPr>
          <w:color w:val="000000"/>
        </w:rPr>
        <w:t xml:space="preserve">the </w:t>
      </w:r>
      <w:proofErr w:type="spellStart"/>
      <w:r w:rsidR="006F0965">
        <w:rPr>
          <w:color w:val="000000"/>
        </w:rPr>
        <w:t>coliphage</w:t>
      </w:r>
      <w:proofErr w:type="spellEnd"/>
      <w:r w:rsidR="006F0965">
        <w:rPr>
          <w:color w:val="000000"/>
        </w:rPr>
        <w:t xml:space="preserve"> MS2, </w:t>
      </w:r>
      <w:r w:rsidR="00451EC7" w:rsidRPr="00451EC7">
        <w:rPr>
          <w:color w:val="000000"/>
        </w:rPr>
        <w:t xml:space="preserve">a non-enveloped </w:t>
      </w:r>
      <w:proofErr w:type="spellStart"/>
      <w:r w:rsidR="00451EC7" w:rsidRPr="00451EC7">
        <w:rPr>
          <w:color w:val="000000"/>
        </w:rPr>
        <w:t>ssRNA</w:t>
      </w:r>
      <w:proofErr w:type="spellEnd"/>
      <w:r w:rsidR="00451EC7" w:rsidRPr="00451EC7">
        <w:rPr>
          <w:color w:val="000000"/>
        </w:rPr>
        <w:t xml:space="preserve"> </w:t>
      </w:r>
      <w:r w:rsidR="009E52B3">
        <w:rPr>
          <w:color w:val="000000"/>
        </w:rPr>
        <w:t>bacteriophage and</w:t>
      </w:r>
      <w:r w:rsidR="00451EC7" w:rsidRPr="00451EC7">
        <w:rPr>
          <w:color w:val="000000"/>
        </w:rPr>
        <w:t xml:space="preserve"> established surrogate organism for noroviruses and several pathogenic re</w:t>
      </w:r>
      <w:r w:rsidR="00CF3EA5">
        <w:rPr>
          <w:color w:val="000000"/>
        </w:rPr>
        <w:t xml:space="preserve">spiratory viruses. Second, </w:t>
      </w:r>
      <w:r w:rsidR="00451EC7" w:rsidRPr="00451EC7">
        <w:rPr>
          <w:color w:val="000000"/>
        </w:rPr>
        <w:t>the</w:t>
      </w:r>
      <w:r w:rsidR="009E52B3">
        <w:rPr>
          <w:color w:val="000000"/>
        </w:rPr>
        <w:t xml:space="preserve"> enveloped dsRNA bacteriophage </w:t>
      </w:r>
      <w:r w:rsidR="00C2056F">
        <w:rPr>
          <w:color w:val="000000"/>
        </w:rPr>
        <w:t xml:space="preserve">Phi6, typically </w:t>
      </w:r>
      <w:r w:rsidR="00451EC7" w:rsidRPr="00451EC7">
        <w:rPr>
          <w:color w:val="000000"/>
        </w:rPr>
        <w:t xml:space="preserve">used as a </w:t>
      </w:r>
      <w:r w:rsidR="00245A7A">
        <w:rPr>
          <w:color w:val="000000"/>
        </w:rPr>
        <w:t>surrogate</w:t>
      </w:r>
      <w:r w:rsidR="00451EC7" w:rsidRPr="00451EC7">
        <w:rPr>
          <w:color w:val="000000"/>
        </w:rPr>
        <w:t xml:space="preserve"> for influenza and coronaviruses</w:t>
      </w:r>
      <w:r w:rsidR="00245A7A">
        <w:rPr>
          <w:color w:val="000000"/>
        </w:rPr>
        <w:t xml:space="preserve"> in recent years</w:t>
      </w:r>
      <w:bookmarkStart w:id="0" w:name="_GoBack"/>
      <w:bookmarkEnd w:id="0"/>
      <w:r w:rsidR="00451EC7" w:rsidRPr="00451EC7">
        <w:rPr>
          <w:color w:val="000000"/>
        </w:rPr>
        <w:t>.</w:t>
      </w:r>
    </w:p>
    <w:p w14:paraId="1DF350FF" w14:textId="23140D59" w:rsidR="0054438F" w:rsidRDefault="00451EC7" w:rsidP="00451EC7">
      <w:pPr>
        <w:jc w:val="both"/>
        <w:rPr>
          <w:color w:val="000000"/>
        </w:rPr>
      </w:pPr>
      <w:r w:rsidRPr="00451EC7">
        <w:rPr>
          <w:color w:val="000000"/>
        </w:rPr>
        <w:t xml:space="preserve">The </w:t>
      </w:r>
      <w:r w:rsidR="004B16A9">
        <w:rPr>
          <w:color w:val="000000"/>
        </w:rPr>
        <w:t xml:space="preserve">air </w:t>
      </w:r>
      <w:r w:rsidRPr="00451EC7">
        <w:rPr>
          <w:color w:val="000000"/>
        </w:rPr>
        <w:t xml:space="preserve">samples were analyzed by counting </w:t>
      </w:r>
      <w:proofErr w:type="gramStart"/>
      <w:r w:rsidRPr="00451EC7">
        <w:rPr>
          <w:color w:val="000000"/>
        </w:rPr>
        <w:t>plaque forming</w:t>
      </w:r>
      <w:proofErr w:type="gramEnd"/>
      <w:r w:rsidRPr="00451EC7">
        <w:rPr>
          <w:color w:val="000000"/>
        </w:rPr>
        <w:t xml:space="preserve"> units (PFU) and by </w:t>
      </w:r>
      <w:r w:rsidR="004B16A9">
        <w:rPr>
          <w:color w:val="000000"/>
        </w:rPr>
        <w:t>detecting</w:t>
      </w:r>
      <w:r w:rsidRPr="00451EC7">
        <w:rPr>
          <w:color w:val="000000"/>
        </w:rPr>
        <w:t xml:space="preserve"> RNA copy numbers.</w:t>
      </w:r>
      <w:r w:rsidR="000A58F3">
        <w:rPr>
          <w:color w:val="000000"/>
        </w:rPr>
        <w:t xml:space="preserve"> The </w:t>
      </w:r>
      <w:proofErr w:type="spellStart"/>
      <w:r w:rsidR="000A58F3">
        <w:rPr>
          <w:color w:val="000000"/>
        </w:rPr>
        <w:t>Kruskal</w:t>
      </w:r>
      <w:proofErr w:type="spellEnd"/>
      <w:r w:rsidR="000A58F3">
        <w:rPr>
          <w:color w:val="000000"/>
        </w:rPr>
        <w:t>-Wallis test with</w:t>
      </w:r>
      <w:r w:rsidR="00245A7A">
        <w:rPr>
          <w:color w:val="000000"/>
        </w:rPr>
        <w:t xml:space="preserve"> the</w:t>
      </w:r>
      <w:r w:rsidR="000A58F3">
        <w:rPr>
          <w:color w:val="000000"/>
        </w:rPr>
        <w:t xml:space="preserve"> post-hoc Dunn’s test </w:t>
      </w:r>
      <w:proofErr w:type="gramStart"/>
      <w:r w:rsidR="000A58F3">
        <w:rPr>
          <w:color w:val="000000"/>
        </w:rPr>
        <w:t>were used</w:t>
      </w:r>
      <w:proofErr w:type="gramEnd"/>
      <w:r w:rsidR="000A58F3">
        <w:rPr>
          <w:color w:val="000000"/>
        </w:rPr>
        <w:t xml:space="preserve"> for multiple comparisons.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7AA55B7E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="000224D1">
        <w:rPr>
          <w:color w:val="000000"/>
        </w:rPr>
        <w:t xml:space="preserve"> </w:t>
      </w:r>
      <w:r w:rsidR="00451EC7" w:rsidRPr="00451EC7">
        <w:rPr>
          <w:color w:val="000000"/>
        </w:rPr>
        <w:t xml:space="preserve">All sampling methods showed significantly higher RNA copy numbers compared to PFU, as the RT-PCR does not only detect viable, but also non-cultivable and incomplete virus particles. </w:t>
      </w:r>
      <w:r w:rsidR="000A58F3">
        <w:rPr>
          <w:color w:val="000000"/>
        </w:rPr>
        <w:t>Samples from</w:t>
      </w:r>
      <w:r w:rsidR="00451EC7" w:rsidRPr="00451EC7">
        <w:rPr>
          <w:color w:val="000000"/>
        </w:rPr>
        <w:t xml:space="preserve"> </w:t>
      </w:r>
      <w:r w:rsidR="00D04B7B" w:rsidRPr="00451EC7">
        <w:rPr>
          <w:color w:val="000000"/>
        </w:rPr>
        <w:t xml:space="preserve">AGI-30 </w:t>
      </w:r>
      <w:proofErr w:type="spellStart"/>
      <w:r w:rsidR="00D04B7B" w:rsidRPr="00451EC7">
        <w:rPr>
          <w:color w:val="000000"/>
        </w:rPr>
        <w:t>impingers</w:t>
      </w:r>
      <w:proofErr w:type="spellEnd"/>
      <w:r w:rsidR="00D04B7B" w:rsidRPr="00451EC7">
        <w:rPr>
          <w:color w:val="000000"/>
        </w:rPr>
        <w:t xml:space="preserve"> </w:t>
      </w:r>
      <w:r w:rsidR="00451EC7" w:rsidRPr="00451EC7">
        <w:rPr>
          <w:color w:val="000000"/>
        </w:rPr>
        <w:t xml:space="preserve">resulted in </w:t>
      </w:r>
      <w:r w:rsidR="00D04B7B">
        <w:rPr>
          <w:color w:val="000000"/>
        </w:rPr>
        <w:t xml:space="preserve">significant </w:t>
      </w:r>
      <w:r w:rsidR="00451EC7" w:rsidRPr="00451EC7">
        <w:rPr>
          <w:color w:val="000000"/>
        </w:rPr>
        <w:t>higher PFU concentration</w:t>
      </w:r>
      <w:r w:rsidR="006C6D9A">
        <w:rPr>
          <w:color w:val="000000"/>
        </w:rPr>
        <w:t>s</w:t>
      </w:r>
      <w:r w:rsidR="00451EC7" w:rsidRPr="00451EC7">
        <w:rPr>
          <w:color w:val="000000"/>
        </w:rPr>
        <w:t xml:space="preserve"> than both filter methods and showed less</w:t>
      </w:r>
      <w:r w:rsidR="00D04B7B">
        <w:rPr>
          <w:color w:val="000000"/>
        </w:rPr>
        <w:t xml:space="preserve"> </w:t>
      </w:r>
      <w:r w:rsidR="00451EC7" w:rsidRPr="00451EC7">
        <w:rPr>
          <w:color w:val="000000"/>
        </w:rPr>
        <w:t xml:space="preserve">deviations. Interestingly, the efficacy of the </w:t>
      </w:r>
      <w:proofErr w:type="spellStart"/>
      <w:r w:rsidR="00451EC7" w:rsidRPr="00451EC7">
        <w:rPr>
          <w:color w:val="000000"/>
        </w:rPr>
        <w:t>gelatin</w:t>
      </w:r>
      <w:r w:rsidR="00D04B7B">
        <w:rPr>
          <w:color w:val="000000"/>
        </w:rPr>
        <w:t>e</w:t>
      </w:r>
      <w:proofErr w:type="spellEnd"/>
      <w:r w:rsidR="00451EC7" w:rsidRPr="00451EC7">
        <w:rPr>
          <w:color w:val="000000"/>
        </w:rPr>
        <w:t xml:space="preserve"> filter, often recommended, was n</w:t>
      </w:r>
      <w:r w:rsidR="00D04B7B">
        <w:rPr>
          <w:color w:val="000000"/>
        </w:rPr>
        <w:t xml:space="preserve">ot higher compared to the used </w:t>
      </w:r>
      <w:proofErr w:type="spellStart"/>
      <w:proofErr w:type="gramStart"/>
      <w:r w:rsidR="00D04B7B">
        <w:rPr>
          <w:color w:val="000000"/>
        </w:rPr>
        <w:t>t</w:t>
      </w:r>
      <w:r w:rsidR="006C6D9A">
        <w:rPr>
          <w:color w:val="000000"/>
        </w:rPr>
        <w:t>eflon</w:t>
      </w:r>
      <w:proofErr w:type="spellEnd"/>
      <w:proofErr w:type="gramEnd"/>
      <w:r w:rsidR="006C6D9A">
        <w:rPr>
          <w:color w:val="000000"/>
        </w:rPr>
        <w:t xml:space="preserve"> filter</w:t>
      </w:r>
      <w:r w:rsidR="00451EC7" w:rsidRPr="00451EC7">
        <w:rPr>
          <w:color w:val="000000"/>
        </w:rPr>
        <w:t>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1E658F9A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="000224D1">
        <w:rPr>
          <w:color w:val="000000"/>
        </w:rPr>
        <w:t xml:space="preserve"> </w:t>
      </w:r>
      <w:r w:rsidR="007D6ED0">
        <w:rPr>
          <w:color w:val="000000"/>
        </w:rPr>
        <w:t>For</w:t>
      </w:r>
      <w:r w:rsidR="00557DEF">
        <w:rPr>
          <w:color w:val="000000"/>
        </w:rPr>
        <w:t xml:space="preserve"> sampling virus</w:t>
      </w:r>
      <w:r w:rsidR="00985EED">
        <w:rPr>
          <w:color w:val="000000"/>
        </w:rPr>
        <w:t>es</w:t>
      </w:r>
      <w:r w:rsidR="00557DEF">
        <w:rPr>
          <w:color w:val="000000"/>
        </w:rPr>
        <w:t xml:space="preserve"> </w:t>
      </w:r>
      <w:r w:rsidR="00985EED">
        <w:rPr>
          <w:color w:val="000000"/>
        </w:rPr>
        <w:t>in ducts,</w:t>
      </w:r>
      <w:r w:rsidR="007D6ED0">
        <w:rPr>
          <w:color w:val="000000"/>
        </w:rPr>
        <w:t xml:space="preserve"> the</w:t>
      </w:r>
      <w:r w:rsidR="00557DEF">
        <w:rPr>
          <w:color w:val="000000"/>
        </w:rPr>
        <w:t xml:space="preserve"> </w:t>
      </w:r>
      <w:r w:rsidR="00985EED">
        <w:rPr>
          <w:color w:val="000000"/>
        </w:rPr>
        <w:t xml:space="preserve">impingement </w:t>
      </w:r>
      <w:proofErr w:type="gramStart"/>
      <w:r w:rsidR="00985EED">
        <w:rPr>
          <w:color w:val="000000"/>
        </w:rPr>
        <w:t>can be recommended</w:t>
      </w:r>
      <w:proofErr w:type="gramEnd"/>
      <w:r w:rsidR="00557DEF">
        <w:rPr>
          <w:color w:val="000000"/>
        </w:rPr>
        <w:t xml:space="preserve"> </w:t>
      </w:r>
      <w:r w:rsidR="00985EED">
        <w:rPr>
          <w:color w:val="000000"/>
        </w:rPr>
        <w:t xml:space="preserve">as a </w:t>
      </w:r>
      <w:r w:rsidR="00557DEF">
        <w:rPr>
          <w:color w:val="000000"/>
        </w:rPr>
        <w:t>sampling</w:t>
      </w:r>
      <w:r w:rsidR="00F31479">
        <w:rPr>
          <w:color w:val="000000"/>
        </w:rPr>
        <w:t xml:space="preserve"> method</w:t>
      </w:r>
      <w:r w:rsidR="00557DEF">
        <w:rPr>
          <w:color w:val="000000"/>
        </w:rPr>
        <w:t xml:space="preserve"> </w:t>
      </w:r>
      <w:r w:rsidR="007D6ED0">
        <w:rPr>
          <w:color w:val="000000"/>
        </w:rPr>
        <w:t>for</w:t>
      </w:r>
      <w:r w:rsidR="001241D9">
        <w:rPr>
          <w:color w:val="000000"/>
        </w:rPr>
        <w:t xml:space="preserve"> infectious</w:t>
      </w:r>
      <w:r w:rsidR="00985EED">
        <w:rPr>
          <w:color w:val="000000"/>
        </w:rPr>
        <w:t xml:space="preserve"> particles. </w:t>
      </w:r>
      <w:r w:rsidR="00C54A6A">
        <w:rPr>
          <w:color w:val="000000"/>
        </w:rPr>
        <w:t xml:space="preserve">However, the </w:t>
      </w:r>
      <w:proofErr w:type="spellStart"/>
      <w:proofErr w:type="gramStart"/>
      <w:r w:rsidR="00C54A6A">
        <w:rPr>
          <w:color w:val="000000"/>
        </w:rPr>
        <w:t>teflon</w:t>
      </w:r>
      <w:proofErr w:type="spellEnd"/>
      <w:proofErr w:type="gramEnd"/>
      <w:r w:rsidR="00C54A6A">
        <w:rPr>
          <w:color w:val="000000"/>
        </w:rPr>
        <w:t xml:space="preserve"> filter seems</w:t>
      </w:r>
      <w:r w:rsidR="00F31479">
        <w:rPr>
          <w:color w:val="000000"/>
        </w:rPr>
        <w:t xml:space="preserve"> significantly more efficient to detect </w:t>
      </w:r>
      <w:r w:rsidR="00985EED">
        <w:rPr>
          <w:color w:val="000000"/>
        </w:rPr>
        <w:t>viral RNA</w:t>
      </w:r>
      <w:r w:rsidR="00002FAF">
        <w:rPr>
          <w:color w:val="000000"/>
        </w:rPr>
        <w:t xml:space="preserve"> from air flows</w:t>
      </w:r>
      <w:r w:rsidR="007D6ED0">
        <w:rPr>
          <w:color w:val="000000"/>
        </w:rPr>
        <w:t>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1293221F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="000D32EE">
        <w:rPr>
          <w:color w:val="000000"/>
        </w:rPr>
        <w:t xml:space="preserve"> stack sampling, air flow, viruses, AGI-30 </w:t>
      </w:r>
      <w:proofErr w:type="spellStart"/>
      <w:r w:rsidR="000D32EE">
        <w:rPr>
          <w:color w:val="000000"/>
        </w:rPr>
        <w:t>impinger</w:t>
      </w:r>
      <w:proofErr w:type="spellEnd"/>
      <w:r w:rsidR="000D32EE">
        <w:rPr>
          <w:color w:val="000000"/>
        </w:rPr>
        <w:t xml:space="preserve">, </w:t>
      </w:r>
      <w:proofErr w:type="spellStart"/>
      <w:proofErr w:type="gramStart"/>
      <w:r w:rsidR="000D32EE">
        <w:rPr>
          <w:color w:val="000000"/>
        </w:rPr>
        <w:t>teflon</w:t>
      </w:r>
      <w:proofErr w:type="spellEnd"/>
      <w:proofErr w:type="gramEnd"/>
      <w:r w:rsidR="000D32EE">
        <w:rPr>
          <w:color w:val="000000"/>
        </w:rPr>
        <w:t xml:space="preserve"> filter, </w:t>
      </w:r>
      <w:proofErr w:type="spellStart"/>
      <w:r w:rsidR="000D32EE">
        <w:rPr>
          <w:color w:val="000000"/>
        </w:rPr>
        <w:t>gelatine</w:t>
      </w:r>
      <w:proofErr w:type="spellEnd"/>
      <w:r w:rsidR="000D32EE">
        <w:rPr>
          <w:color w:val="000000"/>
        </w:rPr>
        <w:t xml:space="preserve"> filter</w:t>
      </w:r>
    </w:p>
    <w:p w14:paraId="6625207F" w14:textId="1DACDF52" w:rsidR="00451EC7" w:rsidRDefault="00451EC7" w:rsidP="0054438F">
      <w:pPr>
        <w:jc w:val="both"/>
        <w:rPr>
          <w:color w:val="000000"/>
        </w:rPr>
      </w:pPr>
    </w:p>
    <w:sectPr w:rsidR="00451EC7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2FAF"/>
    <w:rsid w:val="000224D1"/>
    <w:rsid w:val="0003357F"/>
    <w:rsid w:val="000A58F3"/>
    <w:rsid w:val="000C5595"/>
    <w:rsid w:val="000D32EE"/>
    <w:rsid w:val="001241D9"/>
    <w:rsid w:val="001363CE"/>
    <w:rsid w:val="00176794"/>
    <w:rsid w:val="00245A7A"/>
    <w:rsid w:val="00275FCC"/>
    <w:rsid w:val="002C521F"/>
    <w:rsid w:val="0036078A"/>
    <w:rsid w:val="00380081"/>
    <w:rsid w:val="003E3E58"/>
    <w:rsid w:val="003E7C21"/>
    <w:rsid w:val="00425BDE"/>
    <w:rsid w:val="00451EC7"/>
    <w:rsid w:val="004A3688"/>
    <w:rsid w:val="004B16A9"/>
    <w:rsid w:val="005107EA"/>
    <w:rsid w:val="0054438F"/>
    <w:rsid w:val="00557DEF"/>
    <w:rsid w:val="005728D1"/>
    <w:rsid w:val="0057539E"/>
    <w:rsid w:val="00687CC2"/>
    <w:rsid w:val="006C6D9A"/>
    <w:rsid w:val="006F0965"/>
    <w:rsid w:val="00732BEB"/>
    <w:rsid w:val="007D6ED0"/>
    <w:rsid w:val="007F6889"/>
    <w:rsid w:val="00857999"/>
    <w:rsid w:val="008B506E"/>
    <w:rsid w:val="009347C2"/>
    <w:rsid w:val="009572D2"/>
    <w:rsid w:val="00982AE0"/>
    <w:rsid w:val="00985EED"/>
    <w:rsid w:val="009E52B3"/>
    <w:rsid w:val="00A8666D"/>
    <w:rsid w:val="00B13EAB"/>
    <w:rsid w:val="00B3429D"/>
    <w:rsid w:val="00C2056F"/>
    <w:rsid w:val="00C54A6A"/>
    <w:rsid w:val="00CF3EA5"/>
    <w:rsid w:val="00D04B7B"/>
    <w:rsid w:val="00D10167"/>
    <w:rsid w:val="00D46FB6"/>
    <w:rsid w:val="00DB5C59"/>
    <w:rsid w:val="00F3147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Schulz, Jochen</cp:lastModifiedBy>
  <cp:revision>33</cp:revision>
  <dcterms:created xsi:type="dcterms:W3CDTF">2024-04-04T12:01:00Z</dcterms:created>
  <dcterms:modified xsi:type="dcterms:W3CDTF">2024-04-16T08:18:00Z</dcterms:modified>
</cp:coreProperties>
</file>