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F0A3"/>
      </w:r>
      <w:r>
        <w:t xml:space="preserve"> POSTER presentation</w:t>
      </w:r>
    </w:p>
    <w:p>
      <w:pPr>
        <w:pStyle w:val="3"/>
        <w:spacing w:line="276" w:lineRule="auto"/>
        <w:jc w:val="left"/>
        <w:rPr>
          <w:sz w:val="18"/>
          <w:szCs w:val="18"/>
        </w:rPr>
      </w:pPr>
    </w:p>
    <w:p>
      <w:pPr>
        <w:rPr>
          <w:sz w:val="18"/>
          <w:szCs w:val="18"/>
        </w:rPr>
      </w:pPr>
    </w:p>
    <w:p>
      <w:pPr>
        <w:pStyle w:val="3"/>
        <w:spacing w:beforeLines="100" w:afterLines="100" w:line="360" w:lineRule="auto"/>
        <w:jc w:val="center"/>
        <w:rPr>
          <w:rFonts w:ascii="Arial" w:hAnsi="Arial" w:cs="Arial"/>
          <w:b/>
          <w:color w:val="000000"/>
          <w:sz w:val="28"/>
          <w:szCs w:val="28"/>
        </w:rPr>
      </w:pPr>
      <w:r>
        <w:rPr>
          <w:rFonts w:ascii="Arial" w:hAnsi="Arial" w:cs="Arial"/>
          <w:b/>
          <w:color w:val="000000"/>
          <w:sz w:val="28"/>
          <w:szCs w:val="28"/>
        </w:rPr>
        <w:t xml:space="preserve">Title of abstract in Arial font: </w:t>
      </w:r>
      <w:r>
        <w:rPr>
          <w:rFonts w:hint="default" w:ascii="Times New Roman Bold" w:hAnsi="Times New Roman Bold" w:eastAsia="黑体" w:cs="Times New Roman Bold"/>
          <w:b/>
          <w:bCs/>
          <w:kern w:val="2"/>
          <w:sz w:val="32"/>
          <w:szCs w:val="32"/>
          <w:lang w:val="en-US" w:eastAsia="zh-CN" w:bidi="ar-SA"/>
        </w:rPr>
        <w:t>Study on Ethanol Extraction Process of Gynostemma pentaphyllum Saponin</w:t>
      </w:r>
    </w:p>
    <w:p>
      <w:pPr>
        <w:rPr>
          <w:color w:val="000000"/>
        </w:rPr>
      </w:pPr>
      <w:r>
        <w:rPr>
          <w:rFonts w:hint="default"/>
          <w:color w:val="000000"/>
          <w:sz w:val="28"/>
          <w:szCs w:val="28"/>
          <w:lang w:val="en-US"/>
        </w:rPr>
        <w:t>W</w:t>
      </w:r>
      <w:r>
        <w:rPr>
          <w:rFonts w:hint="eastAsia" w:eastAsia="宋体"/>
          <w:color w:val="000000"/>
          <w:sz w:val="28"/>
          <w:szCs w:val="28"/>
          <w:lang w:val="en-US" w:eastAsia="zh-CN"/>
        </w:rPr>
        <w:t>ang</w:t>
      </w:r>
      <w:r>
        <w:rPr>
          <w:rFonts w:hint="default" w:eastAsia="宋体"/>
          <w:color w:val="000000"/>
          <w:sz w:val="28"/>
          <w:szCs w:val="28"/>
          <w:lang w:val="en-US" w:eastAsia="zh-CN"/>
        </w:rPr>
        <w:t xml:space="preserve"> D</w:t>
      </w:r>
      <w:r>
        <w:rPr>
          <w:rFonts w:hint="eastAsia" w:eastAsia="宋体"/>
          <w:color w:val="000000"/>
          <w:sz w:val="28"/>
          <w:szCs w:val="28"/>
          <w:lang w:val="en-US" w:eastAsia="zh-CN"/>
        </w:rPr>
        <w:t>ongyue</w:t>
      </w:r>
      <w:r>
        <w:rPr>
          <w:color w:val="000000"/>
          <w:sz w:val="28"/>
          <w:szCs w:val="28"/>
          <w:vertAlign w:val="superscript"/>
        </w:rPr>
        <w:t>1</w:t>
      </w:r>
      <w:r>
        <w:rPr>
          <w:color w:val="000000"/>
          <w:sz w:val="28"/>
          <w:szCs w:val="28"/>
        </w:rPr>
        <w:t xml:space="preserve">*, </w:t>
      </w:r>
      <w:r>
        <w:rPr>
          <w:rFonts w:hint="default"/>
          <w:color w:val="000000"/>
          <w:sz w:val="28"/>
          <w:szCs w:val="28"/>
          <w:lang w:val="en-US"/>
        </w:rPr>
        <w:t>C</w:t>
      </w:r>
      <w:r>
        <w:rPr>
          <w:rFonts w:hint="eastAsia" w:eastAsia="宋体"/>
          <w:color w:val="000000"/>
          <w:sz w:val="28"/>
          <w:szCs w:val="28"/>
          <w:lang w:val="en-US" w:eastAsia="zh-CN"/>
        </w:rPr>
        <w:t xml:space="preserve">hu </w:t>
      </w:r>
      <w:r>
        <w:rPr>
          <w:rFonts w:hint="default" w:eastAsia="宋体"/>
          <w:color w:val="000000"/>
          <w:sz w:val="28"/>
          <w:szCs w:val="28"/>
          <w:lang w:val="en-US" w:eastAsia="zh-CN"/>
        </w:rPr>
        <w:t>X</w:t>
      </w:r>
      <w:r>
        <w:rPr>
          <w:rFonts w:hint="eastAsia" w:eastAsia="宋体"/>
          <w:color w:val="000000"/>
          <w:sz w:val="28"/>
          <w:szCs w:val="28"/>
          <w:lang w:val="en-US" w:eastAsia="zh-CN"/>
        </w:rPr>
        <w:t>iuling</w:t>
      </w:r>
      <w:r>
        <w:rPr>
          <w:color w:val="000000"/>
          <w:sz w:val="28"/>
          <w:szCs w:val="28"/>
          <w:vertAlign w:val="superscript"/>
        </w:rPr>
        <w:t>2</w:t>
      </w:r>
    </w:p>
    <w:p>
      <w:pPr>
        <w:rPr>
          <w:color w:val="000000"/>
        </w:rPr>
      </w:pPr>
      <w:r>
        <w:rPr>
          <w:color w:val="000000"/>
        </w:rPr>
        <w:t>*lead presenter</w:t>
      </w:r>
    </w:p>
    <w:p>
      <w:pPr>
        <w:rPr>
          <w:rFonts w:hint="default" w:eastAsia="宋体"/>
          <w:color w:val="000000"/>
          <w:lang w:val="en-US" w:eastAsia="zh-CN"/>
        </w:rPr>
      </w:pPr>
      <w:r>
        <w:rPr>
          <w:color w:val="000000"/>
          <w:vertAlign w:val="superscript"/>
        </w:rPr>
        <w:t>1</w:t>
      </w:r>
      <w:r>
        <w:rPr>
          <w:rFonts w:hint="eastAsia" w:eastAsia="宋体"/>
          <w:color w:val="000000"/>
          <w:vertAlign w:val="superscript"/>
          <w:lang w:val="en-US" w:eastAsia="zh-CN"/>
        </w:rPr>
        <w:t xml:space="preserve">  </w:t>
      </w:r>
      <w:r>
        <w:rPr>
          <w:rFonts w:hint="eastAsia" w:eastAsia="宋体"/>
          <w:color w:val="000000"/>
          <w:lang w:val="en-US" w:eastAsia="zh-CN"/>
        </w:rPr>
        <w:t>mw0816@126.com</w:t>
      </w:r>
      <w:r>
        <w:rPr>
          <w:color w:val="000000"/>
        </w:rPr>
        <w:t xml:space="preserve">  </w:t>
      </w:r>
      <w:r>
        <w:rPr>
          <w:rFonts w:hint="eastAsia"/>
          <w:color w:val="000000"/>
        </w:rPr>
        <w:t>College of Agronomy and Agricultural Engineering, Liaocheng University</w:t>
      </w:r>
      <w:r>
        <w:rPr>
          <w:color w:val="000000"/>
        </w:rPr>
        <w:t xml:space="preserve">, </w:t>
      </w:r>
      <w:r>
        <w:rPr>
          <w:rFonts w:hint="eastAsia" w:eastAsia="宋体"/>
          <w:color w:val="000000"/>
          <w:lang w:val="en-US" w:eastAsia="zh-CN"/>
        </w:rPr>
        <w:t>China</w:t>
      </w:r>
    </w:p>
    <w:p>
      <w:pPr>
        <w:rPr>
          <w:color w:val="000000"/>
        </w:rPr>
      </w:pPr>
      <w:r>
        <w:rPr>
          <w:color w:val="000000"/>
          <w:vertAlign w:val="superscript"/>
        </w:rPr>
        <w:t>2</w:t>
      </w:r>
      <w:r>
        <w:rPr>
          <w:color w:val="000000"/>
        </w:rPr>
        <w:t xml:space="preserve"> </w:t>
      </w:r>
      <w:r>
        <w:rPr>
          <w:rFonts w:hint="eastAsia"/>
          <w:color w:val="000000"/>
        </w:rPr>
        <w:t>College of Agronomy and Agricultural Engineering</w:t>
      </w:r>
      <w:r>
        <w:rPr>
          <w:color w:val="000000"/>
        </w:rPr>
        <w:t xml:space="preserve">, </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pStyle w:val="3"/>
        <w:spacing w:beforeLines="100" w:afterLines="100" w:line="360" w:lineRule="auto"/>
        <w:jc w:val="both"/>
        <w:rPr>
          <w:rFonts w:hint="default" w:ascii="Times New Roman Regular" w:hAnsi="Times New Roman Regular" w:cs="Times New Roman Regular"/>
          <w:b w:val="0"/>
          <w:bCs w:val="0"/>
          <w:kern w:val="2"/>
          <w:sz w:val="24"/>
          <w:szCs w:val="24"/>
          <w:lang w:val="en-US" w:eastAsia="zh-CN" w:bidi="ar-SA"/>
        </w:rPr>
      </w:pPr>
      <w:r>
        <w:rPr>
          <w:b/>
          <w:bCs/>
          <w:color w:val="000000"/>
        </w:rPr>
        <w:t>Background/Objective:</w:t>
      </w:r>
      <w:r>
        <w:rPr>
          <w:color w:val="000000"/>
        </w:rPr>
        <w:t>[</w:t>
      </w:r>
      <w:r>
        <w:rPr>
          <w:rFonts w:hint="default" w:ascii="Times New Roman Regular" w:hAnsi="Times New Roman Regular" w:cs="Times New Roman Regular"/>
          <w:b w:val="0"/>
          <w:bCs w:val="0"/>
          <w:kern w:val="2"/>
          <w:sz w:val="24"/>
          <w:szCs w:val="24"/>
          <w:lang w:val="en-US" w:eastAsia="zh-CN" w:bidi="ar-SA"/>
        </w:rPr>
        <w:t>To obtain the best extraction plan for gypenosides, the influence of ethanol concentration, solid-liquid ratio, alcohol extraction temperature, and alcohol extraction time on the extraction rate was studied.</w:t>
      </w:r>
      <w:r>
        <w:rPr>
          <w:color w:val="000000"/>
        </w:rPr>
        <w:t>]</w:t>
      </w:r>
    </w:p>
    <w:p>
      <w:pPr>
        <w:pStyle w:val="3"/>
        <w:spacing w:beforeLines="100" w:afterLines="100" w:line="360" w:lineRule="auto"/>
        <w:jc w:val="both"/>
        <w:rPr>
          <w:rFonts w:hint="default" w:ascii="Times New Roman Regular" w:hAnsi="Times New Roman Regular" w:cs="Times New Roman Regular"/>
          <w:b w:val="0"/>
          <w:bCs w:val="0"/>
          <w:kern w:val="2"/>
          <w:sz w:val="24"/>
          <w:szCs w:val="24"/>
          <w:lang w:val="en-US" w:eastAsia="zh-CN" w:bidi="ar-SA"/>
        </w:rPr>
      </w:pPr>
      <w:r>
        <w:rPr>
          <w:b/>
          <w:bCs/>
          <w:color w:val="000000"/>
        </w:rPr>
        <w:t>Methods:</w:t>
      </w:r>
      <w:r>
        <w:rPr>
          <w:color w:val="000000"/>
        </w:rPr>
        <w:t>[</w:t>
      </w:r>
      <w:r>
        <w:rPr>
          <w:rFonts w:hint="default" w:ascii="Times New Roman Regular" w:hAnsi="Times New Roman Regular" w:cs="Times New Roman Regular"/>
          <w:b w:val="0"/>
          <w:bCs w:val="0"/>
          <w:kern w:val="2"/>
          <w:sz w:val="24"/>
          <w:szCs w:val="24"/>
          <w:lang w:val="en-US" w:eastAsia="zh-CN" w:bidi="ar-SA"/>
        </w:rPr>
        <w:t xml:space="preserve">Single-factor experiments were conducted on ethanol concentration, extraction temperature, extraction time, and solid-liquid ratio under ethanol extraction conditions. The results of the single-factor experiments were analyzed, and response surface experiments were conducted on these influencing factors. Based on the results of the response surface experiment, the ethanol extraction process for gypenosides was optimized. </w:t>
      </w:r>
      <w:r>
        <w:rPr>
          <w:color w:val="000000"/>
        </w:rPr>
        <w:t>]</w:t>
      </w:r>
    </w:p>
    <w:p>
      <w:pPr>
        <w:pStyle w:val="3"/>
        <w:spacing w:beforeLines="100" w:afterLines="100" w:line="360" w:lineRule="auto"/>
        <w:jc w:val="both"/>
        <w:rPr>
          <w:rFonts w:hint="default" w:ascii="Times New Roman Regular" w:hAnsi="Times New Roman Regular" w:cs="Times New Roman Regular"/>
          <w:b w:val="0"/>
          <w:bCs w:val="0"/>
          <w:kern w:val="2"/>
          <w:sz w:val="24"/>
          <w:szCs w:val="24"/>
          <w:lang w:val="en-US" w:eastAsia="zh-CN" w:bidi="ar-SA"/>
        </w:rPr>
      </w:pPr>
      <w:r>
        <w:rPr>
          <w:b/>
          <w:bCs/>
          <w:color w:val="000000"/>
        </w:rPr>
        <w:t>Results:</w:t>
      </w:r>
      <w:r>
        <w:rPr>
          <w:color w:val="000000"/>
        </w:rPr>
        <w:t>[</w:t>
      </w:r>
      <w:r>
        <w:rPr>
          <w:rFonts w:hint="default" w:ascii="Times New Roman Regular" w:hAnsi="Times New Roman Regular" w:cs="Times New Roman Regular"/>
          <w:b w:val="0"/>
          <w:bCs w:val="0"/>
          <w:kern w:val="2"/>
          <w:sz w:val="24"/>
          <w:szCs w:val="24"/>
          <w:lang w:val="en-US" w:eastAsia="zh-CN" w:bidi="ar-SA"/>
        </w:rPr>
        <w:t xml:space="preserve">The results showed that the optimal extraction conditions were a 70% ethanol concentration, a solid-liquid ratio of 1:8, an extraction temperature of 60°C, and an extraction time of 50 minutes. </w:t>
      </w:r>
      <w:r>
        <w:rPr>
          <w:color w:val="000000"/>
        </w:rPr>
        <w:t>]</w:t>
      </w:r>
    </w:p>
    <w:p>
      <w:pPr>
        <w:pStyle w:val="3"/>
        <w:spacing w:beforeLines="100" w:afterLines="100" w:line="360" w:lineRule="auto"/>
        <w:jc w:val="both"/>
        <w:rPr>
          <w:rFonts w:hint="default" w:ascii="Times New Roman Regular" w:hAnsi="Times New Roman Regular" w:cs="Times New Roman Regular"/>
          <w:b w:val="0"/>
          <w:bCs w:val="0"/>
          <w:kern w:val="2"/>
          <w:sz w:val="24"/>
          <w:szCs w:val="24"/>
          <w:lang w:val="en-US" w:eastAsia="zh-CN" w:bidi="ar-SA"/>
        </w:rPr>
      </w:pPr>
      <w:r>
        <w:rPr>
          <w:b/>
          <w:bCs/>
          <w:color w:val="000000"/>
        </w:rPr>
        <w:t>Conclusion:</w:t>
      </w:r>
      <w:r>
        <w:rPr>
          <w:color w:val="000000"/>
        </w:rPr>
        <w:t>[</w:t>
      </w:r>
      <w:r>
        <w:rPr>
          <w:rFonts w:hint="default" w:ascii="Times New Roman Regular" w:hAnsi="Times New Roman Regular" w:cs="Times New Roman Regular"/>
          <w:b w:val="0"/>
          <w:bCs w:val="0"/>
          <w:kern w:val="2"/>
          <w:sz w:val="24"/>
          <w:szCs w:val="24"/>
          <w:lang w:val="en-US" w:eastAsia="zh-CN" w:bidi="ar-SA"/>
        </w:rPr>
        <w:t>Under these conditions, the ethanol extraction rate of gypenosides was the highest.</w:t>
      </w:r>
      <w:r>
        <w:rPr>
          <w:color w:val="000000"/>
        </w:rPr>
        <w:t>]</w:t>
      </w:r>
    </w:p>
    <w:p>
      <w:pPr>
        <w:pStyle w:val="3"/>
        <w:spacing w:beforeLines="100" w:afterLines="100" w:line="360" w:lineRule="auto"/>
        <w:jc w:val="both"/>
        <w:rPr>
          <w:rFonts w:hint="default" w:ascii="Times New Roman Regular" w:hAnsi="Times New Roman Regular" w:cs="Times New Roman Regular" w:eastAsiaTheme="minorEastAsia"/>
          <w:b w:val="0"/>
          <w:bCs w:val="0"/>
          <w:kern w:val="2"/>
          <w:sz w:val="24"/>
          <w:szCs w:val="24"/>
          <w:lang w:val="en-US" w:eastAsia="zh-CN" w:bidi="ar-SA"/>
        </w:rPr>
      </w:pPr>
      <w:r>
        <w:rPr>
          <w:b/>
          <w:bCs/>
          <w:color w:val="000000"/>
        </w:rPr>
        <w:t>Keywords:</w:t>
      </w:r>
      <w:r>
        <w:rPr>
          <w:color w:val="000000"/>
        </w:rPr>
        <w:t>[</w:t>
      </w:r>
      <w:r>
        <w:rPr>
          <w:rFonts w:hint="default" w:ascii="Times New Roman Regular" w:hAnsi="Times New Roman Regular" w:cs="Times New Roman Regular" w:eastAsiaTheme="minorEastAsia"/>
          <w:b w:val="0"/>
          <w:bCs w:val="0"/>
          <w:kern w:val="2"/>
          <w:sz w:val="24"/>
          <w:szCs w:val="24"/>
          <w:lang w:val="en-US" w:eastAsia="zh-CN" w:bidi="ar-SA"/>
        </w:rPr>
        <w:t>Gynostemma gynostemma; Ethanol extraction; Response surface test.</w:t>
      </w:r>
      <w:r>
        <w:rPr>
          <w:color w:val="000000"/>
        </w:rPr>
        <w:t>]</w:t>
      </w:r>
      <w:bookmarkStart w:id="0" w:name="_GoBack"/>
      <w:bookmarkEnd w:id="0"/>
    </w:p>
    <w:p>
      <w:pPr>
        <w:jc w:val="both"/>
        <w:rPr>
          <w:color w:val="000000"/>
        </w:rPr>
      </w:pP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Cordia New">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ngsana New">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7BFD09D1"/>
    <w:rsid w:val="D6FFFAD9"/>
    <w:rsid w:val="F7F79C27"/>
    <w:rsid w:val="FFBEDF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Sergey Malugin</dc:creator>
  <dc:description>(c) Copernicus Gesellschaft e.V. 2004</dc:description>
  <cp:lastModifiedBy>驚葉</cp:lastModifiedBy>
  <dcterms:modified xsi:type="dcterms:W3CDTF">2024-05-15T21:09:29Z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7FC0D98302D76A9EB58F44666B223094_42</vt:lpwstr>
  </property>
</Properties>
</file>