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18439748" w:rsidR="00275FCC" w:rsidRDefault="00275FCC" w:rsidP="00275FCC">
      <w:pPr>
        <w:pStyle w:val="Titel"/>
        <w:spacing w:line="276" w:lineRule="auto"/>
        <w:jc w:val="left"/>
      </w:pPr>
      <w:r>
        <w:tab/>
      </w:r>
      <w:r w:rsidR="009D0683">
        <w:t>X</w:t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2A98A458" w14:textId="5BC05E6B" w:rsidR="00687CC2" w:rsidRDefault="00564E82" w:rsidP="009D0683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T</w:t>
      </w:r>
      <w:r w:rsidR="009D0683" w:rsidRPr="009D0683">
        <w:rPr>
          <w:rFonts w:ascii="Arial" w:hAnsi="Arial" w:cs="Arial"/>
          <w:b/>
          <w:color w:val="000000"/>
          <w:sz w:val="28"/>
          <w:szCs w:val="28"/>
        </w:rPr>
        <w:t xml:space="preserve">etracycline-resistant </w:t>
      </w:r>
      <w:r w:rsidR="009D0683" w:rsidRPr="00564E82">
        <w:rPr>
          <w:rFonts w:ascii="Arial" w:hAnsi="Arial" w:cs="Arial"/>
          <w:b/>
          <w:i/>
          <w:color w:val="000000"/>
          <w:sz w:val="28"/>
          <w:szCs w:val="28"/>
        </w:rPr>
        <w:t>Escherichia coli</w:t>
      </w:r>
      <w:r w:rsidR="009D0683" w:rsidRPr="009D0683">
        <w:rPr>
          <w:rFonts w:ascii="Arial" w:hAnsi="Arial" w:cs="Arial"/>
          <w:b/>
          <w:color w:val="000000"/>
          <w:sz w:val="28"/>
          <w:szCs w:val="28"/>
        </w:rPr>
        <w:t xml:space="preserve"> from American crocodiles (</w:t>
      </w:r>
      <w:proofErr w:type="spellStart"/>
      <w:r w:rsidR="009D0683" w:rsidRPr="00564E82">
        <w:rPr>
          <w:rFonts w:ascii="Arial" w:hAnsi="Arial" w:cs="Arial"/>
          <w:b/>
          <w:i/>
          <w:color w:val="000000"/>
          <w:sz w:val="28"/>
          <w:szCs w:val="28"/>
        </w:rPr>
        <w:t>Crocodylus</w:t>
      </w:r>
      <w:proofErr w:type="spellEnd"/>
      <w:r w:rsidR="009D0683" w:rsidRPr="00564E82">
        <w:rPr>
          <w:rFonts w:ascii="Arial" w:hAnsi="Arial" w:cs="Arial"/>
          <w:b/>
          <w:i/>
          <w:color w:val="000000"/>
          <w:sz w:val="28"/>
          <w:szCs w:val="28"/>
        </w:rPr>
        <w:t xml:space="preserve"> </w:t>
      </w:r>
      <w:proofErr w:type="spellStart"/>
      <w:r w:rsidR="009D0683" w:rsidRPr="00564E82">
        <w:rPr>
          <w:rFonts w:ascii="Arial" w:hAnsi="Arial" w:cs="Arial"/>
          <w:b/>
          <w:i/>
          <w:color w:val="000000"/>
          <w:sz w:val="28"/>
          <w:szCs w:val="28"/>
        </w:rPr>
        <w:t>acutus</w:t>
      </w:r>
      <w:bookmarkStart w:id="0" w:name="_GoBack"/>
      <w:bookmarkEnd w:id="0"/>
      <w:proofErr w:type="spellEnd"/>
      <w:r w:rsidR="009D0683" w:rsidRPr="009D0683">
        <w:rPr>
          <w:rFonts w:ascii="Arial" w:hAnsi="Arial" w:cs="Arial"/>
          <w:b/>
          <w:color w:val="000000"/>
          <w:sz w:val="28"/>
          <w:szCs w:val="28"/>
        </w:rPr>
        <w:t>) captured in aquaculture facilities in Costa Rica</w:t>
      </w:r>
    </w:p>
    <w:p w14:paraId="3CE58CA6" w14:textId="0944C9AA" w:rsidR="00687CC2" w:rsidRPr="00687CC2" w:rsidRDefault="009D0683">
      <w:pPr>
        <w:rPr>
          <w:color w:val="000000"/>
          <w:sz w:val="28"/>
          <w:szCs w:val="28"/>
        </w:rPr>
      </w:pPr>
      <w:r w:rsidRPr="009D0683">
        <w:rPr>
          <w:color w:val="000000"/>
          <w:sz w:val="28"/>
          <w:szCs w:val="28"/>
        </w:rPr>
        <w:t xml:space="preserve">Rafael H. Mateus-Vargas 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r w:rsidRPr="009D0683">
        <w:rPr>
          <w:color w:val="000000"/>
          <w:sz w:val="28"/>
          <w:szCs w:val="28"/>
        </w:rPr>
        <w:t>Verónica Arias</w:t>
      </w:r>
      <w:r>
        <w:rPr>
          <w:color w:val="000000"/>
          <w:sz w:val="28"/>
          <w:szCs w:val="28"/>
        </w:rPr>
        <w:t>-</w:t>
      </w:r>
      <w:r w:rsidRPr="009D0683">
        <w:rPr>
          <w:color w:val="000000"/>
          <w:sz w:val="28"/>
          <w:szCs w:val="28"/>
        </w:rPr>
        <w:t>Pérez</w:t>
      </w:r>
      <w:r w:rsidRPr="009D0683">
        <w:rPr>
          <w:color w:val="000000"/>
          <w:sz w:val="28"/>
          <w:szCs w:val="28"/>
          <w:vertAlign w:val="superscript"/>
        </w:rPr>
        <w:t>2</w:t>
      </w:r>
      <w:r w:rsidRPr="009D0683">
        <w:rPr>
          <w:color w:val="000000"/>
          <w:sz w:val="28"/>
          <w:szCs w:val="28"/>
        </w:rPr>
        <w:t>, Iván Sandoval</w:t>
      </w:r>
      <w:r>
        <w:rPr>
          <w:color w:val="000000"/>
          <w:sz w:val="28"/>
          <w:szCs w:val="28"/>
        </w:rPr>
        <w:t>-</w:t>
      </w:r>
      <w:r w:rsidRPr="009D0683">
        <w:rPr>
          <w:color w:val="000000"/>
          <w:sz w:val="28"/>
          <w:szCs w:val="28"/>
        </w:rPr>
        <w:t>Hernández</w:t>
      </w:r>
      <w:r w:rsidRPr="009D0683">
        <w:rPr>
          <w:color w:val="000000"/>
          <w:sz w:val="28"/>
          <w:szCs w:val="28"/>
          <w:vertAlign w:val="superscript"/>
        </w:rPr>
        <w:t>2</w:t>
      </w:r>
      <w:r w:rsidRPr="009D0683">
        <w:rPr>
          <w:color w:val="000000"/>
          <w:sz w:val="28"/>
          <w:szCs w:val="28"/>
        </w:rPr>
        <w:t>, Jens André Hammerl</w:t>
      </w:r>
      <w:r w:rsidRPr="009D0683">
        <w:rPr>
          <w:color w:val="000000"/>
          <w:sz w:val="28"/>
          <w:szCs w:val="28"/>
          <w:vertAlign w:val="superscript"/>
        </w:rPr>
        <w:t>3</w:t>
      </w:r>
      <w:r w:rsidRPr="009D0683">
        <w:rPr>
          <w:color w:val="000000"/>
          <w:sz w:val="28"/>
          <w:szCs w:val="28"/>
        </w:rPr>
        <w:t>, Elías Barquero-Calvo</w:t>
      </w:r>
      <w:r w:rsidRPr="009D0683">
        <w:rPr>
          <w:color w:val="000000"/>
          <w:sz w:val="28"/>
          <w:szCs w:val="28"/>
          <w:vertAlign w:val="superscript"/>
        </w:rPr>
        <w:t>4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51B39EEF" w:rsidR="00687CC2" w:rsidRP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9D0683">
        <w:rPr>
          <w:color w:val="000000"/>
        </w:rPr>
        <w:t>rafael.mateus-vargas@uni-goettingen.de</w:t>
      </w:r>
      <w:r w:rsidRPr="00687CC2">
        <w:rPr>
          <w:color w:val="000000"/>
        </w:rPr>
        <w:t xml:space="preserve">, </w:t>
      </w:r>
      <w:r w:rsidR="009D0683" w:rsidRPr="009D0683">
        <w:rPr>
          <w:color w:val="000000"/>
        </w:rPr>
        <w:t>Department of Animal Scien</w:t>
      </w:r>
      <w:r w:rsidR="009D0683">
        <w:rPr>
          <w:color w:val="000000"/>
        </w:rPr>
        <w:t>ces</w:t>
      </w:r>
      <w:r w:rsidR="009D0683" w:rsidRPr="009D0683">
        <w:rPr>
          <w:color w:val="000000"/>
        </w:rPr>
        <w:t>, Georg-August-Universität Göttingen, Germany</w:t>
      </w:r>
    </w:p>
    <w:p w14:paraId="3C4C4A36" w14:textId="63BBD15D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9D0683" w:rsidRPr="009D0683">
        <w:rPr>
          <w:color w:val="000000"/>
        </w:rPr>
        <w:t xml:space="preserve">Escuela de </w:t>
      </w:r>
      <w:proofErr w:type="spellStart"/>
      <w:r w:rsidR="009D0683" w:rsidRPr="009D0683">
        <w:rPr>
          <w:color w:val="000000"/>
        </w:rPr>
        <w:t>Ciencias</w:t>
      </w:r>
      <w:proofErr w:type="spellEnd"/>
      <w:r w:rsidR="009D0683" w:rsidRPr="009D0683">
        <w:rPr>
          <w:color w:val="000000"/>
        </w:rPr>
        <w:t xml:space="preserve"> </w:t>
      </w:r>
      <w:proofErr w:type="spellStart"/>
      <w:r w:rsidR="009D0683" w:rsidRPr="009D0683">
        <w:rPr>
          <w:color w:val="000000"/>
        </w:rPr>
        <w:t>Biológicas</w:t>
      </w:r>
      <w:proofErr w:type="spellEnd"/>
      <w:r w:rsidR="009D0683" w:rsidRPr="009D0683">
        <w:rPr>
          <w:color w:val="000000"/>
        </w:rPr>
        <w:t>, Universidad Nacional, Costa Rica</w:t>
      </w:r>
    </w:p>
    <w:p w14:paraId="18C0F8B7" w14:textId="717A69E3" w:rsidR="00275FCC" w:rsidRDefault="00275FCC" w:rsidP="00275FCC">
      <w:pPr>
        <w:rPr>
          <w:color w:val="000000"/>
        </w:rPr>
      </w:pPr>
      <w:r>
        <w:rPr>
          <w:color w:val="000000"/>
          <w:vertAlign w:val="superscript"/>
        </w:rPr>
        <w:t>3</w:t>
      </w:r>
      <w:r w:rsidRPr="00687CC2">
        <w:rPr>
          <w:color w:val="000000"/>
        </w:rPr>
        <w:t xml:space="preserve"> </w:t>
      </w:r>
      <w:r w:rsidR="009D0683" w:rsidRPr="009D0683">
        <w:rPr>
          <w:color w:val="000000"/>
        </w:rPr>
        <w:t>Department Biological Safety, German Federal Institute for Risk Assessment, Germany</w:t>
      </w:r>
    </w:p>
    <w:p w14:paraId="003D2600" w14:textId="00D241FC" w:rsidR="009D0683" w:rsidRPr="009D0683" w:rsidRDefault="009D0683" w:rsidP="00275FCC">
      <w:pPr>
        <w:rPr>
          <w:color w:val="000000"/>
        </w:rPr>
      </w:pPr>
      <w:r>
        <w:rPr>
          <w:color w:val="000000"/>
          <w:vertAlign w:val="superscript"/>
        </w:rPr>
        <w:t>4</w:t>
      </w:r>
      <w:r w:rsidRPr="009D0683">
        <w:t xml:space="preserve"> </w:t>
      </w:r>
      <w:r w:rsidRPr="009D0683">
        <w:rPr>
          <w:color w:val="000000"/>
        </w:rPr>
        <w:t xml:space="preserve">Escuela de </w:t>
      </w:r>
      <w:proofErr w:type="spellStart"/>
      <w:r w:rsidRPr="009D0683">
        <w:rPr>
          <w:color w:val="000000"/>
        </w:rPr>
        <w:t>Medicina</w:t>
      </w:r>
      <w:proofErr w:type="spellEnd"/>
      <w:r w:rsidRPr="009D0683">
        <w:rPr>
          <w:color w:val="000000"/>
        </w:rPr>
        <w:t xml:space="preserve"> </w:t>
      </w:r>
      <w:proofErr w:type="spellStart"/>
      <w:r w:rsidRPr="009D0683">
        <w:rPr>
          <w:color w:val="000000"/>
        </w:rPr>
        <w:t>Veterinaria</w:t>
      </w:r>
      <w:proofErr w:type="spellEnd"/>
      <w:r w:rsidRPr="009D0683">
        <w:rPr>
          <w:color w:val="000000"/>
        </w:rPr>
        <w:t>, Universidad Nacional, Costa Rica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356D069D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9D0683" w:rsidRPr="009D0683">
        <w:rPr>
          <w:color w:val="000000"/>
        </w:rPr>
        <w:t xml:space="preserve">The use of antimicrobial substances </w:t>
      </w:r>
      <w:r w:rsidR="00564E82">
        <w:rPr>
          <w:color w:val="000000"/>
        </w:rPr>
        <w:t>influences the</w:t>
      </w:r>
      <w:r w:rsidR="009D0683" w:rsidRPr="009D0683">
        <w:rPr>
          <w:color w:val="000000"/>
        </w:rPr>
        <w:t xml:space="preserve"> natural bacterial communities in the surrounding environment. </w:t>
      </w:r>
      <w:r w:rsidR="009D0683">
        <w:rPr>
          <w:color w:val="000000"/>
        </w:rPr>
        <w:t>Apex</w:t>
      </w:r>
      <w:r w:rsidR="009D0683" w:rsidRPr="009D0683">
        <w:rPr>
          <w:color w:val="000000"/>
        </w:rPr>
        <w:t xml:space="preserve"> predators are exposed to both antimicrobial agents and the resistant microbes that have accumulated across the different trophic levels of related ecosystems. The aim of this study was to </w:t>
      </w:r>
      <w:r w:rsidR="00564E82">
        <w:rPr>
          <w:color w:val="000000"/>
        </w:rPr>
        <w:t>characterize</w:t>
      </w:r>
      <w:r w:rsidR="009D0683" w:rsidRPr="009D0683">
        <w:rPr>
          <w:color w:val="000000"/>
        </w:rPr>
        <w:t xml:space="preserve"> tetracycline-resistant </w:t>
      </w:r>
      <w:r w:rsidR="009D0683" w:rsidRPr="00564E82">
        <w:rPr>
          <w:i/>
          <w:color w:val="000000"/>
        </w:rPr>
        <w:t>Escherichia coli</w:t>
      </w:r>
      <w:r w:rsidR="009D0683" w:rsidRPr="009D0683">
        <w:rPr>
          <w:color w:val="000000"/>
        </w:rPr>
        <w:t xml:space="preserve"> isolated from American crocodiles (</w:t>
      </w:r>
      <w:proofErr w:type="spellStart"/>
      <w:r w:rsidR="009D0683" w:rsidRPr="00564E82">
        <w:rPr>
          <w:i/>
          <w:color w:val="000000"/>
        </w:rPr>
        <w:t>Crocodilus</w:t>
      </w:r>
      <w:proofErr w:type="spellEnd"/>
      <w:r w:rsidR="009D0683" w:rsidRPr="00564E82">
        <w:rPr>
          <w:i/>
          <w:color w:val="000000"/>
        </w:rPr>
        <w:t xml:space="preserve"> </w:t>
      </w:r>
      <w:proofErr w:type="spellStart"/>
      <w:r w:rsidR="009D0683" w:rsidRPr="00564E82">
        <w:rPr>
          <w:i/>
          <w:color w:val="000000"/>
        </w:rPr>
        <w:t>acutus</w:t>
      </w:r>
      <w:proofErr w:type="spellEnd"/>
      <w:r w:rsidR="009D0683" w:rsidRPr="009D0683">
        <w:rPr>
          <w:color w:val="000000"/>
        </w:rPr>
        <w:t xml:space="preserve">) captured in a Costa Rican aquaculture farm </w:t>
      </w:r>
      <w:r w:rsidR="00564E82">
        <w:rPr>
          <w:color w:val="000000"/>
        </w:rPr>
        <w:t>held in captivity before release</w:t>
      </w:r>
      <w:r w:rsidR="009D0683" w:rsidRPr="009D0683">
        <w:rPr>
          <w:color w:val="000000"/>
        </w:rPr>
        <w:t>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1DF350FF" w14:textId="41A0EB4A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9D0683">
        <w:rPr>
          <w:color w:val="000000"/>
        </w:rPr>
        <w:t>During release</w:t>
      </w:r>
      <w:r w:rsidR="009D0683" w:rsidRPr="009D0683">
        <w:rPr>
          <w:color w:val="000000"/>
        </w:rPr>
        <w:t xml:space="preserve"> activities, cloacal swab samples were taken from 53 wild individuals and streaked on </w:t>
      </w:r>
      <w:proofErr w:type="spellStart"/>
      <w:r w:rsidR="009D0683" w:rsidRPr="009D0683">
        <w:rPr>
          <w:color w:val="000000"/>
        </w:rPr>
        <w:t>McConkey</w:t>
      </w:r>
      <w:proofErr w:type="spellEnd"/>
      <w:r w:rsidR="009D0683" w:rsidRPr="009D0683">
        <w:rPr>
          <w:color w:val="000000"/>
        </w:rPr>
        <w:t xml:space="preserve"> agar containing </w:t>
      </w:r>
      <w:r w:rsidR="000D6218">
        <w:rPr>
          <w:color w:val="000000"/>
        </w:rPr>
        <w:t>16</w:t>
      </w:r>
      <w:r w:rsidR="009D0683" w:rsidRPr="009D0683">
        <w:rPr>
          <w:color w:val="000000"/>
        </w:rPr>
        <w:t xml:space="preserve"> µg/ml tetracycline. The presence of genetic resistance traits in </w:t>
      </w:r>
      <w:r w:rsidR="009D0683" w:rsidRPr="009D0683">
        <w:rPr>
          <w:i/>
          <w:color w:val="000000"/>
        </w:rPr>
        <w:t>Escherichia coli</w:t>
      </w:r>
      <w:r w:rsidR="009D0683" w:rsidRPr="009D0683">
        <w:rPr>
          <w:color w:val="000000"/>
        </w:rPr>
        <w:t xml:space="preserve"> isolates were determined by whole-genome sequencing and bioinformatics analysis.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5FC0FE5D" w:rsidR="0054438F" w:rsidRPr="009D0683" w:rsidRDefault="00275FCC" w:rsidP="0054438F">
      <w:pPr>
        <w:jc w:val="both"/>
        <w:rPr>
          <w:color w:val="000000"/>
        </w:rPr>
      </w:pPr>
      <w:r w:rsidRPr="009D0683">
        <w:rPr>
          <w:b/>
          <w:bCs/>
          <w:color w:val="000000"/>
        </w:rPr>
        <w:t>Results:</w:t>
      </w:r>
      <w:r w:rsidRPr="009D0683">
        <w:rPr>
          <w:color w:val="000000"/>
        </w:rPr>
        <w:t xml:space="preserve"> </w:t>
      </w:r>
      <w:r w:rsidR="009D0683" w:rsidRPr="009D0683">
        <w:rPr>
          <w:color w:val="000000"/>
        </w:rPr>
        <w:t>A total of 2</w:t>
      </w:r>
      <w:r w:rsidR="000D6218">
        <w:rPr>
          <w:color w:val="000000"/>
        </w:rPr>
        <w:t>4</w:t>
      </w:r>
      <w:r w:rsidR="009D0683" w:rsidRPr="009D0683">
        <w:rPr>
          <w:color w:val="000000"/>
        </w:rPr>
        <w:t xml:space="preserve"> swab samples contained tetracycline-resistant </w:t>
      </w:r>
      <w:r w:rsidR="009D0683" w:rsidRPr="009D0683">
        <w:rPr>
          <w:i/>
          <w:color w:val="000000"/>
        </w:rPr>
        <w:t>E. coli</w:t>
      </w:r>
      <w:r w:rsidR="009D0683" w:rsidRPr="009D0683">
        <w:rPr>
          <w:color w:val="000000"/>
        </w:rPr>
        <w:t xml:space="preserve"> (</w:t>
      </w:r>
      <w:r w:rsidR="00564E82">
        <w:rPr>
          <w:color w:val="000000"/>
        </w:rPr>
        <w:t>45.3</w:t>
      </w:r>
      <w:r w:rsidR="009D0683" w:rsidRPr="009D0683">
        <w:rPr>
          <w:color w:val="000000"/>
        </w:rPr>
        <w:t xml:space="preserve">%). The isolates carried either the </w:t>
      </w:r>
      <w:proofErr w:type="spellStart"/>
      <w:r w:rsidR="009D0683" w:rsidRPr="009D0683">
        <w:rPr>
          <w:i/>
          <w:color w:val="000000"/>
        </w:rPr>
        <w:t>tet</w:t>
      </w:r>
      <w:proofErr w:type="spellEnd"/>
      <w:r w:rsidR="009D0683" w:rsidRPr="009D0683">
        <w:rPr>
          <w:i/>
          <w:color w:val="000000"/>
        </w:rPr>
        <w:t>(A)</w:t>
      </w:r>
      <w:r w:rsidR="009D0683" w:rsidRPr="009D0683">
        <w:rPr>
          <w:color w:val="000000"/>
        </w:rPr>
        <w:t xml:space="preserve"> (15/20), </w:t>
      </w:r>
      <w:proofErr w:type="spellStart"/>
      <w:r w:rsidR="009D0683" w:rsidRPr="009D0683">
        <w:rPr>
          <w:i/>
          <w:color w:val="000000"/>
        </w:rPr>
        <w:t>tet</w:t>
      </w:r>
      <w:proofErr w:type="spellEnd"/>
      <w:r w:rsidR="009D0683" w:rsidRPr="009D0683">
        <w:rPr>
          <w:i/>
          <w:color w:val="000000"/>
        </w:rPr>
        <w:t>(B)</w:t>
      </w:r>
      <w:r w:rsidR="009D0683" w:rsidRPr="009D0683">
        <w:rPr>
          <w:color w:val="000000"/>
        </w:rPr>
        <w:t xml:space="preserve"> (4/20), or </w:t>
      </w:r>
      <w:proofErr w:type="spellStart"/>
      <w:r w:rsidR="009D0683" w:rsidRPr="009D0683">
        <w:rPr>
          <w:i/>
          <w:color w:val="000000"/>
        </w:rPr>
        <w:t>tet</w:t>
      </w:r>
      <w:proofErr w:type="spellEnd"/>
      <w:r w:rsidR="009D0683" w:rsidRPr="009D0683">
        <w:rPr>
          <w:i/>
          <w:color w:val="000000"/>
        </w:rPr>
        <w:t>(C)</w:t>
      </w:r>
      <w:r w:rsidR="009D0683" w:rsidRPr="009D0683">
        <w:rPr>
          <w:color w:val="000000"/>
        </w:rPr>
        <w:t xml:space="preserve"> (1/20) genes. Furthermore, genetic sequences were detected among the isolates that demonstrate resistance mechanisms against ß-lactam antibiotics (</w:t>
      </w:r>
      <w:proofErr w:type="spellStart"/>
      <w:r w:rsidR="009D0683" w:rsidRPr="009D0683">
        <w:rPr>
          <w:i/>
          <w:color w:val="000000"/>
        </w:rPr>
        <w:t>blaEC</w:t>
      </w:r>
      <w:proofErr w:type="spellEnd"/>
      <w:r w:rsidR="009D0683" w:rsidRPr="009D0683">
        <w:rPr>
          <w:color w:val="000000"/>
        </w:rPr>
        <w:t xml:space="preserve">: 20/20; </w:t>
      </w:r>
      <w:r w:rsidR="009D0683" w:rsidRPr="009D0683">
        <w:rPr>
          <w:i/>
          <w:color w:val="000000"/>
        </w:rPr>
        <w:t>bla</w:t>
      </w:r>
      <w:r w:rsidR="009D0683" w:rsidRPr="009D0683">
        <w:rPr>
          <w:i/>
          <w:color w:val="000000"/>
          <w:vertAlign w:val="subscript"/>
        </w:rPr>
        <w:t>TEM1</w:t>
      </w:r>
      <w:r w:rsidR="009D0683" w:rsidRPr="009D0683">
        <w:rPr>
          <w:color w:val="000000"/>
        </w:rPr>
        <w:t>: 1/20), sulfonamides (</w:t>
      </w:r>
      <w:r w:rsidR="009D0683" w:rsidRPr="009D0683">
        <w:rPr>
          <w:i/>
          <w:color w:val="000000"/>
        </w:rPr>
        <w:t>sul2</w:t>
      </w:r>
      <w:r w:rsidR="009D0683" w:rsidRPr="009D0683">
        <w:rPr>
          <w:color w:val="000000"/>
        </w:rPr>
        <w:t xml:space="preserve">: 3/20), </w:t>
      </w:r>
      <w:proofErr w:type="spellStart"/>
      <w:r w:rsidR="009D0683" w:rsidRPr="009D0683">
        <w:rPr>
          <w:color w:val="000000"/>
        </w:rPr>
        <w:t>fosfomycin</w:t>
      </w:r>
      <w:proofErr w:type="spellEnd"/>
      <w:r w:rsidR="009D0683" w:rsidRPr="009D0683">
        <w:rPr>
          <w:color w:val="000000"/>
        </w:rPr>
        <w:t xml:space="preserve"> (</w:t>
      </w:r>
      <w:r w:rsidR="009D0683" w:rsidRPr="009D0683">
        <w:rPr>
          <w:i/>
          <w:color w:val="000000"/>
        </w:rPr>
        <w:t>glpT_E448K</w:t>
      </w:r>
      <w:r w:rsidR="009D0683" w:rsidRPr="009D0683">
        <w:rPr>
          <w:color w:val="000000"/>
        </w:rPr>
        <w:t>: 3/20), aminoglycosides (</w:t>
      </w:r>
      <w:proofErr w:type="spellStart"/>
      <w:r w:rsidR="009D0683" w:rsidRPr="009D0683">
        <w:rPr>
          <w:i/>
          <w:color w:val="000000"/>
        </w:rPr>
        <w:t>aph</w:t>
      </w:r>
      <w:proofErr w:type="spellEnd"/>
      <w:r w:rsidR="009D0683" w:rsidRPr="009D0683">
        <w:rPr>
          <w:i/>
          <w:color w:val="000000"/>
        </w:rPr>
        <w:t>(6)-</w:t>
      </w:r>
      <w:proofErr w:type="spellStart"/>
      <w:proofErr w:type="gramStart"/>
      <w:r w:rsidR="009D0683" w:rsidRPr="009D0683">
        <w:rPr>
          <w:i/>
          <w:color w:val="000000"/>
        </w:rPr>
        <w:t>Id,aph</w:t>
      </w:r>
      <w:proofErr w:type="spellEnd"/>
      <w:proofErr w:type="gramEnd"/>
      <w:r w:rsidR="009D0683" w:rsidRPr="009D0683">
        <w:rPr>
          <w:i/>
          <w:color w:val="000000"/>
        </w:rPr>
        <w:t>(3'')-</w:t>
      </w:r>
      <w:proofErr w:type="spellStart"/>
      <w:r w:rsidR="009D0683" w:rsidRPr="009D0683">
        <w:rPr>
          <w:i/>
          <w:color w:val="000000"/>
        </w:rPr>
        <w:t>Ib</w:t>
      </w:r>
      <w:proofErr w:type="spellEnd"/>
      <w:r w:rsidR="009D0683" w:rsidRPr="009D0683">
        <w:rPr>
          <w:color w:val="000000"/>
        </w:rPr>
        <w:t>: 2/20), phenicol (</w:t>
      </w:r>
      <w:proofErr w:type="spellStart"/>
      <w:r w:rsidR="009D0683" w:rsidRPr="009D0683">
        <w:rPr>
          <w:i/>
          <w:color w:val="000000"/>
        </w:rPr>
        <w:t>floR</w:t>
      </w:r>
      <w:proofErr w:type="spellEnd"/>
      <w:r w:rsidR="009D0683" w:rsidRPr="009D0683">
        <w:rPr>
          <w:color w:val="000000"/>
        </w:rPr>
        <w:t>: 1/20), quinolones (</w:t>
      </w:r>
      <w:r w:rsidR="009D0683" w:rsidRPr="009D0683">
        <w:rPr>
          <w:i/>
          <w:color w:val="000000"/>
        </w:rPr>
        <w:t>qnrS1</w:t>
      </w:r>
      <w:r w:rsidR="009D0683" w:rsidRPr="009D0683">
        <w:rPr>
          <w:color w:val="000000"/>
        </w:rPr>
        <w:t>: 1/20) or trimethoprim (</w:t>
      </w:r>
      <w:r w:rsidR="009D0683" w:rsidRPr="009D0683">
        <w:rPr>
          <w:i/>
          <w:color w:val="000000"/>
        </w:rPr>
        <w:t>dfrA14</w:t>
      </w:r>
      <w:r w:rsidR="009D0683" w:rsidRPr="009D0683">
        <w:rPr>
          <w:color w:val="000000"/>
        </w:rPr>
        <w:t>: 1/20).</w:t>
      </w:r>
      <w:r w:rsidR="000D6218">
        <w:rPr>
          <w:color w:val="000000"/>
        </w:rPr>
        <w:t xml:space="preserve"> </w:t>
      </w:r>
      <w:r w:rsidR="00564E82" w:rsidRPr="00564E82">
        <w:rPr>
          <w:color w:val="000000"/>
        </w:rPr>
        <w:t xml:space="preserve">Genome sequencing further revealed that </w:t>
      </w:r>
      <w:r w:rsidR="00564E82">
        <w:rPr>
          <w:color w:val="000000"/>
        </w:rPr>
        <w:t xml:space="preserve">a longer abode in the aquaculture premises may influence the occurrence of specific </w:t>
      </w:r>
      <w:r w:rsidR="00564E82" w:rsidRPr="00564E82">
        <w:rPr>
          <w:color w:val="000000"/>
        </w:rPr>
        <w:t>sequence types</w:t>
      </w:r>
      <w:r w:rsidR="00564E82">
        <w:rPr>
          <w:color w:val="000000"/>
        </w:rPr>
        <w:t xml:space="preserve"> and the </w:t>
      </w:r>
      <w:r w:rsidR="00564E82" w:rsidRPr="00564E82">
        <w:rPr>
          <w:color w:val="000000"/>
        </w:rPr>
        <w:t>prevalence of antibiotic resistance ca</w:t>
      </w:r>
      <w:r w:rsidR="00564E82">
        <w:rPr>
          <w:color w:val="000000"/>
        </w:rPr>
        <w:t>rriage</w:t>
      </w:r>
      <w:r w:rsidR="00564E82" w:rsidRPr="00564E82">
        <w:rPr>
          <w:color w:val="000000"/>
        </w:rPr>
        <w:t>.</w:t>
      </w:r>
      <w:r w:rsidR="00564E82">
        <w:rPr>
          <w:color w:val="000000"/>
        </w:rPr>
        <w:t xml:space="preserve"> Moreover, some isolates harbored virulence factors.</w:t>
      </w:r>
    </w:p>
    <w:p w14:paraId="6695E355" w14:textId="77777777" w:rsidR="00380081" w:rsidRPr="009D0683" w:rsidRDefault="00380081" w:rsidP="0054438F">
      <w:pPr>
        <w:jc w:val="both"/>
        <w:rPr>
          <w:color w:val="000000"/>
        </w:rPr>
      </w:pPr>
    </w:p>
    <w:p w14:paraId="1F3F119E" w14:textId="47C28164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0D6218" w:rsidRPr="000D6218">
        <w:rPr>
          <w:color w:val="000000"/>
        </w:rPr>
        <w:t xml:space="preserve">Considering the regional human-wildlife conflicts (e.g. bites) and the potential transmission whether from or into aquaculture facilities, the detection of </w:t>
      </w:r>
      <w:r w:rsidR="000D6218" w:rsidRPr="00E805C8">
        <w:rPr>
          <w:rFonts w:cs="Arial"/>
        </w:rPr>
        <w:t xml:space="preserve">mono- and </w:t>
      </w:r>
      <w:proofErr w:type="spellStart"/>
      <w:r w:rsidR="000D6218" w:rsidRPr="00E805C8">
        <w:rPr>
          <w:rFonts w:cs="Arial"/>
        </w:rPr>
        <w:t>multiresistant</w:t>
      </w:r>
      <w:proofErr w:type="spellEnd"/>
      <w:r w:rsidR="000D6218" w:rsidRPr="00E805C8">
        <w:rPr>
          <w:rFonts w:cs="Arial"/>
        </w:rPr>
        <w:t xml:space="preserve"> </w:t>
      </w:r>
      <w:r w:rsidR="000D6218" w:rsidRPr="000D6218">
        <w:rPr>
          <w:i/>
          <w:color w:val="000000"/>
        </w:rPr>
        <w:t>E. coli</w:t>
      </w:r>
      <w:r w:rsidR="000D6218" w:rsidRPr="000D6218">
        <w:rPr>
          <w:color w:val="000000"/>
        </w:rPr>
        <w:t xml:space="preserve"> strains needs consideration by </w:t>
      </w:r>
      <w:r w:rsidR="00564E82">
        <w:rPr>
          <w:color w:val="000000"/>
        </w:rPr>
        <w:t xml:space="preserve">producers, </w:t>
      </w:r>
      <w:r w:rsidR="000D6218" w:rsidRPr="000D6218">
        <w:rPr>
          <w:color w:val="000000"/>
        </w:rPr>
        <w:t>local communities</w:t>
      </w:r>
      <w:r w:rsidR="00564E82">
        <w:rPr>
          <w:color w:val="000000"/>
        </w:rPr>
        <w:t>,</w:t>
      </w:r>
      <w:r w:rsidR="000D6218" w:rsidRPr="000D6218">
        <w:rPr>
          <w:color w:val="000000"/>
        </w:rPr>
        <w:t xml:space="preserve"> and the national public health authorities.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49CC8EA4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0D6218" w:rsidRPr="000D6218">
        <w:rPr>
          <w:rFonts w:eastAsia="Calibri" w:cs="Arial"/>
          <w:szCs w:val="22"/>
        </w:rPr>
        <w:t>human-animal-environment interface</w:t>
      </w:r>
      <w:r w:rsidR="000D6218">
        <w:rPr>
          <w:rFonts w:eastAsia="Calibri" w:cs="Arial"/>
          <w:szCs w:val="22"/>
        </w:rPr>
        <w:t xml:space="preserve">, plasmid carriage, </w:t>
      </w:r>
      <w:r w:rsidR="00564E82">
        <w:rPr>
          <w:rFonts w:eastAsia="Calibri" w:cs="Arial"/>
          <w:szCs w:val="22"/>
        </w:rPr>
        <w:t xml:space="preserve">biosecurity, </w:t>
      </w:r>
      <w:r w:rsidR="000D6218">
        <w:rPr>
          <w:rFonts w:eastAsia="Calibri" w:cs="Arial"/>
          <w:szCs w:val="22"/>
        </w:rPr>
        <w:t>captivity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D6218"/>
    <w:rsid w:val="00275FCC"/>
    <w:rsid w:val="00380081"/>
    <w:rsid w:val="003E7C21"/>
    <w:rsid w:val="004A3688"/>
    <w:rsid w:val="0054438F"/>
    <w:rsid w:val="00564E82"/>
    <w:rsid w:val="0057539E"/>
    <w:rsid w:val="00687CC2"/>
    <w:rsid w:val="007F6889"/>
    <w:rsid w:val="00857999"/>
    <w:rsid w:val="009D0683"/>
    <w:rsid w:val="00A8666D"/>
    <w:rsid w:val="00B80460"/>
    <w:rsid w:val="00DB5C59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 </cp:lastModifiedBy>
  <cp:revision>2</cp:revision>
  <dcterms:created xsi:type="dcterms:W3CDTF">2024-03-07T08:07:00Z</dcterms:created>
  <dcterms:modified xsi:type="dcterms:W3CDTF">2024-03-07T08:07:00Z</dcterms:modified>
</cp:coreProperties>
</file>