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6" w:lineRule="auto"/>
        <w:jc w:val="left"/>
      </w:pPr>
      <w:r>
        <w:t xml:space="preserve">I prefer: </w:t>
      </w:r>
    </w:p>
    <w:p>
      <w:pPr>
        <w:pStyle w:val="3"/>
        <w:spacing w:line="276" w:lineRule="auto"/>
        <w:jc w:val="left"/>
      </w:pPr>
      <w:r>
        <w:tab/>
      </w:r>
      <w:r>
        <w:rPr/>
        <w:sym w:font="Wingdings 2" w:char="0052"/>
      </w:r>
      <w:r>
        <w:t xml:space="preserve"> ORAL presentation</w:t>
      </w:r>
    </w:p>
    <w:p>
      <w:pPr>
        <w:pStyle w:val="3"/>
        <w:pBdr>
          <w:bottom w:val="single" w:color="auto" w:sz="6" w:space="1"/>
        </w:pBdr>
        <w:spacing w:line="276" w:lineRule="auto"/>
        <w:jc w:val="left"/>
      </w:pPr>
      <w:r>
        <w:tab/>
      </w:r>
      <w:r>
        <w:rPr/>
        <w:sym w:font="Wingdings 2" w:char="F0A3"/>
      </w:r>
      <w:r>
        <w:t xml:space="preserve"> POSTER presentation</w:t>
      </w:r>
    </w:p>
    <w:p>
      <w:pPr>
        <w:pStyle w:val="3"/>
        <w:spacing w:line="276" w:lineRule="auto"/>
        <w:jc w:val="left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widowControl/>
        <w:jc w:val="center"/>
        <w:outlineLvl w:val="9"/>
        <w:rPr>
          <w:rFonts w:eastAsia="仿宋_GB2312"/>
          <w:bCs/>
          <w:sz w:val="24"/>
        </w:rPr>
      </w:pPr>
      <w:r>
        <w:rPr>
          <w:rFonts w:hint="default" w:eastAsia="仿宋_GB2312"/>
          <w:b/>
          <w:sz w:val="30"/>
          <w:szCs w:val="30"/>
        </w:rPr>
        <w:t>The study of the pathogenesis of the virus of the snake was studied based on the transcription group and the proteomics</w:t>
      </w:r>
    </w:p>
    <w:p>
      <w:pPr>
        <w:rPr>
          <w:rFonts w:ascii="Arial" w:hAnsi="Arial" w:cs="Arial"/>
          <w:b/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bookmarkStart w:id="0" w:name="OLE_LINK1"/>
      <w:r>
        <w:rPr>
          <w:rFonts w:hint="eastAsia" w:eastAsia="宋体"/>
          <w:color w:val="000000"/>
          <w:sz w:val="28"/>
          <w:szCs w:val="28"/>
          <w:lang w:val="en-US" w:eastAsia="zh-CN"/>
        </w:rPr>
        <w:t>Liu Wenqiang</w:t>
      </w:r>
      <w:r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 xml:space="preserve">*, </w:t>
      </w:r>
      <w:r>
        <w:rPr>
          <w:rFonts w:hint="eastAsia" w:eastAsia="宋体"/>
          <w:color w:val="000000"/>
          <w:sz w:val="28"/>
          <w:szCs w:val="28"/>
          <w:lang w:val="en-US" w:eastAsia="zh-CN"/>
        </w:rPr>
        <w:t>Xu Dandan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, </w:t>
      </w:r>
      <w:r>
        <w:rPr>
          <w:rFonts w:hint="eastAsia" w:eastAsia="宋体"/>
          <w:color w:val="000000"/>
          <w:sz w:val="28"/>
          <w:szCs w:val="28"/>
          <w:lang w:val="en-US" w:eastAsia="zh-CN"/>
        </w:rPr>
        <w:t>ZhaoXia</w:t>
      </w:r>
      <w:r>
        <w:rPr>
          <w:color w:val="000000"/>
          <w:sz w:val="28"/>
          <w:szCs w:val="28"/>
          <w:vertAlign w:val="superscript"/>
        </w:rPr>
        <w:t>3</w:t>
      </w:r>
      <w:bookmarkEnd w:id="0"/>
    </w:p>
    <w:p>
      <w:pPr>
        <w:rPr>
          <w:color w:val="000000"/>
        </w:rPr>
      </w:pPr>
      <w:r>
        <w:rPr>
          <w:color w:val="000000"/>
        </w:rPr>
        <w:t>*lead presenter</w:t>
      </w:r>
    </w:p>
    <w:p>
      <w:pPr>
        <w:widowControl/>
        <w:spacing w:after="0" w:line="240" w:lineRule="auto"/>
        <w:jc w:val="left"/>
        <w:rPr>
          <w:rFonts w:hint="eastAsia" w:ascii="Times New Roman" w:hAnsi="Times New Roman" w:eastAsia="宋体" w:cs="Times New Roman"/>
          <w:kern w:val="0"/>
          <w:sz w:val="24"/>
          <w:szCs w:val="24"/>
          <w:lang w:val="en-US" w:eastAsia="zh-CN"/>
        </w:rPr>
      </w:pPr>
      <w:r>
        <w:rPr>
          <w:color w:val="000000"/>
          <w:vertAlign w:val="superscript"/>
        </w:rPr>
        <w:t>1</w:t>
      </w:r>
      <w:r>
        <w:rPr>
          <w:rFonts w:ascii="Times New Roman" w:hAnsi="Times New Roman" w:cs="Times New Roman" w:eastAsiaTheme="minorHAnsi"/>
          <w:kern w:val="0"/>
          <w:sz w:val="24"/>
          <w:szCs w:val="24"/>
          <w:lang w:eastAsia="en-US"/>
        </w:rPr>
        <w:t>liuwenqiang@lcu.edu.cn</w:t>
      </w:r>
      <w:r>
        <w:rPr>
          <w:rFonts w:hint="eastAsia" w:eastAsia="宋体" w:cs="Times New Roman"/>
          <w:kern w:val="0"/>
          <w:sz w:val="24"/>
          <w:szCs w:val="24"/>
          <w:lang w:eastAsia="zh-CN"/>
        </w:rPr>
        <w:t>；</w:t>
      </w:r>
      <w:bookmarkStart w:id="1" w:name="OLE_LINK2"/>
      <w:r>
        <w:rPr>
          <w:rFonts w:hint="eastAsia" w:eastAsia="宋体" w:cs="Times New Roman"/>
          <w:kern w:val="0"/>
          <w:sz w:val="24"/>
          <w:szCs w:val="24"/>
          <w:lang w:eastAsia="zh-CN"/>
        </w:rPr>
        <w:t>College of Agronomy and Agricultural Engineering；</w:t>
      </w:r>
      <w:r>
        <w:rPr>
          <w:rFonts w:hint="eastAsia" w:ascii="Times New Roman" w:hAnsi="Times New Roman" w:cs="Times New Roman" w:eastAsiaTheme="minorHAnsi"/>
          <w:kern w:val="0"/>
          <w:sz w:val="24"/>
          <w:szCs w:val="24"/>
          <w:lang w:eastAsia="en-US"/>
        </w:rPr>
        <w:t xml:space="preserve"> </w:t>
      </w:r>
      <w:r>
        <w:rPr>
          <w:rFonts w:hint="eastAsia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HAnsi"/>
          <w:kern w:val="0"/>
          <w:sz w:val="24"/>
          <w:szCs w:val="24"/>
          <w:lang w:eastAsia="en-US"/>
        </w:rPr>
        <w:t>Liaocheng University</w:t>
      </w:r>
      <w:r>
        <w:rPr>
          <w:rFonts w:hint="eastAsia" w:eastAsia="宋体" w:cs="Times New Roman"/>
          <w:kern w:val="0"/>
          <w:sz w:val="24"/>
          <w:szCs w:val="24"/>
          <w:lang w:val="en-US" w:eastAsia="zh-CN"/>
        </w:rPr>
        <w:t xml:space="preserve"> </w:t>
      </w:r>
      <w:bookmarkEnd w:id="1"/>
    </w:p>
    <w:p>
      <w:pPr>
        <w:rPr>
          <w:color w:val="000000"/>
        </w:rPr>
      </w:pP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r>
        <w:rPr>
          <w:rFonts w:hint="eastAsia" w:eastAsia="宋体" w:cs="Times New Roman"/>
          <w:kern w:val="0"/>
          <w:sz w:val="24"/>
          <w:szCs w:val="24"/>
          <w:lang w:eastAsia="zh-CN"/>
        </w:rPr>
        <w:t>College of Agronomy and Agricultural Engineering；</w:t>
      </w:r>
      <w:r>
        <w:rPr>
          <w:rFonts w:hint="eastAsia" w:ascii="Times New Roman" w:hAnsi="Times New Roman" w:cs="Times New Roman" w:eastAsiaTheme="minorHAnsi"/>
          <w:kern w:val="0"/>
          <w:sz w:val="24"/>
          <w:szCs w:val="24"/>
          <w:lang w:eastAsia="en-US"/>
        </w:rPr>
        <w:t xml:space="preserve"> </w:t>
      </w:r>
      <w:r>
        <w:rPr>
          <w:rFonts w:hint="eastAsia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HAnsi"/>
          <w:kern w:val="0"/>
          <w:sz w:val="24"/>
          <w:szCs w:val="24"/>
          <w:lang w:eastAsia="en-US"/>
        </w:rPr>
        <w:t>Liaocheng University</w:t>
      </w:r>
      <w:r>
        <w:rPr>
          <w:rFonts w:hint="eastAsia" w:eastAsia="宋体" w:cs="Times New Roman"/>
          <w:kern w:val="0"/>
          <w:sz w:val="24"/>
          <w:szCs w:val="24"/>
          <w:lang w:val="en-US" w:eastAsia="zh-CN"/>
        </w:rPr>
        <w:t xml:space="preserve"> </w:t>
      </w:r>
    </w:p>
    <w:p>
      <w:pPr>
        <w:rPr>
          <w:color w:val="000000"/>
        </w:rPr>
      </w:pPr>
      <w:r>
        <w:rPr>
          <w:color w:val="000000"/>
          <w:vertAlign w:val="superscript"/>
        </w:rPr>
        <w:t>3</w:t>
      </w:r>
      <w:r>
        <w:rPr>
          <w:color w:val="000000"/>
        </w:rPr>
        <w:t xml:space="preserve"> </w:t>
      </w:r>
      <w:r>
        <w:rPr>
          <w:rFonts w:hint="eastAsia" w:eastAsia="宋体" w:cs="Times New Roman"/>
          <w:kern w:val="0"/>
          <w:sz w:val="24"/>
          <w:szCs w:val="24"/>
          <w:lang w:eastAsia="zh-CN"/>
        </w:rPr>
        <w:t>College of Agronomy and Agricultural Engineering；</w:t>
      </w:r>
      <w:r>
        <w:rPr>
          <w:rFonts w:hint="eastAsia" w:ascii="Times New Roman" w:hAnsi="Times New Roman" w:cs="Times New Roman" w:eastAsiaTheme="minorHAnsi"/>
          <w:kern w:val="0"/>
          <w:sz w:val="24"/>
          <w:szCs w:val="24"/>
          <w:lang w:eastAsia="en-US"/>
        </w:rPr>
        <w:t xml:space="preserve"> </w:t>
      </w:r>
      <w:r>
        <w:rPr>
          <w:rFonts w:hint="eastAsia" w:eastAsia="宋体" w:cs="Times New Roman"/>
          <w:kern w:val="0"/>
          <w:sz w:val="24"/>
          <w:szCs w:val="24"/>
          <w:lang w:val="en-US" w:eastAsia="zh-CN"/>
        </w:rPr>
        <w:t xml:space="preserve">  </w:t>
      </w:r>
      <w:r>
        <w:rPr>
          <w:rFonts w:hint="default" w:ascii="Times New Roman" w:hAnsi="Times New Roman" w:cs="Times New Roman" w:eastAsiaTheme="minorHAnsi"/>
          <w:kern w:val="0"/>
          <w:sz w:val="24"/>
          <w:szCs w:val="24"/>
          <w:lang w:eastAsia="en-US"/>
        </w:rPr>
        <w:t>Liaocheng University</w:t>
      </w:r>
      <w:r>
        <w:rPr>
          <w:rFonts w:hint="eastAsia" w:eastAsia="宋体" w:cs="Times New Roman"/>
          <w:kern w:val="0"/>
          <w:sz w:val="24"/>
          <w:szCs w:val="24"/>
          <w:lang w:val="en-US" w:eastAsia="zh-CN"/>
        </w:rPr>
        <w:t xml:space="preserve"> </w:t>
      </w: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Abstract:</w:t>
      </w:r>
    </w:p>
    <w:p>
      <w:pPr>
        <w:rPr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color w:val="000000"/>
        </w:rPr>
      </w:pPr>
      <w:r>
        <w:rPr>
          <w:b/>
          <w:bCs/>
          <w:color w:val="000000"/>
        </w:rPr>
        <w:t>Background/Objective:</w:t>
      </w:r>
      <w:r>
        <w:rPr>
          <w:color w:val="000000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Equid herpesvirus 8 (EHV-8), one of the most important pathogens infecting donkeys and horses, mainly causes abortion, perinatal fetal death, pneumonia and encephalomyelitis in female donkeys. Currently, relatively few studies on EHV-8 have been conducted at home and abroad, and the specific pathogenic mechanism is still unclear, which has caused great trouble in the prevention and control of this disease. </w:t>
      </w:r>
    </w:p>
    <w:p>
      <w:pPr>
        <w:jc w:val="both"/>
        <w:rPr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b/>
          <w:bCs/>
          <w:color w:val="000000"/>
        </w:rPr>
        <w:t>Methods:</w:t>
      </w:r>
      <w:r>
        <w:rPr>
          <w:color w:val="000000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 this study, we determined the pathogenicity of the EHV-8 strain and analyzed its pathogenic mechanism based on transcriptomics and proteomics.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b/>
          <w:bCs/>
          <w:color w:val="000000"/>
        </w:rPr>
        <w:t>Results: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1. Pathogenicity study of EHV-8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To understand the pathogenicity of EHV-8, the EHV-8 LCDC01 strain isolated in our laboratory was inoculated with rabbit kidney cells (RK-13) and breast hamster kidney cells (BHK-21), and its pathogenicity in mice was investigated. The results showed that the LCDC01 isolate could form typical cytopathic lesions such as cell rounding, detachment, grapevine-like shape and apoptosis on RK-13 and BHK-21 cells. The mice showed no clinical signs except weight loss after the attack; histopathological sections showed inflammatory damage in the lungs, livers and brains, with the lungs being particularly damaged; the lung index of the mice reached its highest level (2.48%) at the 5th day after the infection; the mice were positive for EHV-8 nucleic acid in the lungs by PCR, and the mice were positive for EHV-8 nucleic acid in the lungs, livers, brains, and intestines by fluorescent quantitative PCR. ELISA results showed that the inflammatory factors Interleukin-β (IL-β), Interleukin-6 (IL-6), Interleukin-8 (IL-8) and Interferon-α (IFN-α) were detected in mouse lungs. (IFN-α) secretion was significantly increased (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&lt;0.05).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2. Transcriptomic analysis of lung injury in EHV-8-attacked mice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RNA-seq analysis of mouse lung injury samples identified 3841 differentially expressed genes (DEGs), of which 1922 genes were up-regulated and 1919 genes were down-regulated. The results of GO enrichment analysis showed that the differentially expressed genes were mainly related to the activities of immune cells, including the biological processes of T-cell activation, neutrophil chemotaxis regulation, T-cell migration regulation, etc. The results of KEGG enrichment analysis showed that the differentially expressed genes were mainly related to the activities of immune cells, including the biological processes of T-cell activation, neutrophil chemotaxis regulation and T-cell migration regulation. Enrichment analysis showed that the differentially expressed genes were mainly enriched in the TNF signaling pathway, B cell receptor signaling pathway, NF-κB signaling pathway, cell adhesion asthma and other important biological pathways. Eight differential genes (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Mapk13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Hspb1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Tnfsf14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Hsp90aa1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Csf2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Cxcl12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Tnfaip3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and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Syk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) were randomly screened according to the differential ploidy and validated by fluorescence quantitative PCR, of which seven genes,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Mapk13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Hspb1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Csf2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Hsp90aa1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Tnfsf14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Tnfaip3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and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 xml:space="preserve">Cxcl12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were consistent with the results of transcriptional analysis, proving the reliability of the RNA-Sep results.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3. Transcriptomic and proteomic analysis of EHV-8 infected RK-13 cells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 LCDC01 isolate was infected with RK-13 cells for 24 h and 48 h, respectively, and all the RNA and proteins in the cells were extracted for RNA-seq transcriptomics and TMT proteomics analyses, respectively. The results of the RNA-seq analyses showed that a total of 824 shared differentially expressed genes were identified in the 24 h-infected groups (R2) and the 48 h-infected groups (R3), of which a total of 1176 were up-regulated, 638 were co-regulated and 638 were up-regulated. 1176 genes were up-regulated and 638 genes were down-regulated.GO enrichment analysis showed that the shared differentially expressed factors were mainly involved in inflammatory response, cell migration, response to interleukin-1, etc.KEGG enrichment analysis showed that the shared differentially expressed factors were mainly associated with the TNF signaling pathway, axon regeneration, DNA replication and other pathways.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TMT analysis showed that a total of 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8</w:t>
      </w:r>
      <w:r>
        <w:rPr>
          <w:rFonts w:hint="eastAsia" w:ascii="Times New Roman" w:hAnsi="Times New Roman" w:eastAsia="宋体" w:cs="Times New Roman"/>
          <w:sz w:val="24"/>
          <w:szCs w:val="24"/>
          <w:lang w:val="en-US" w:eastAsia="zh-CN"/>
        </w:rPr>
        <w:t>1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4 differentially expressed proteins were identified in the 24 h infection group (R2) and 48 h infection group (R3), and GO enrichment analysis showed that the co-expressed proteins in the two infection groups were mainly involved in the processes of DNA replication, inflammatory response, cell migration, etc. KEGG enrichment analysis showed that the co-expressed proteins were mainly enriched in pathways such as the TNF signaling pathway, DNA replication, and NF-κB pathway. KEGG enrichment analysis showed that the co-expressed proteins were mainly enriched in the TNF </w:t>
      </w:r>
      <w:bookmarkStart w:id="2" w:name="_GoBack"/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signaling pathway, DNA replication, NF-κB and other pathways.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4. Combining transcriptomics and proteomics approaches to explore the key pathways of EHV-8 infection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outlineLvl w:val="9"/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The TNF signaling pathway was found to play an important role in EHV-8 infection by transcriptomics and proteomic association analysis. Four key regulators (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TNF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-α, NFκB2,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Map3k8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 xml:space="preserve">, and 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CXCL10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) on this pathway were validated, and all of them were significantly up-regulated and expressed during EHV-8 infection (</w:t>
      </w:r>
      <w:r>
        <w:rPr>
          <w:rFonts w:hint="default" w:ascii="Times New Roman" w:hAnsi="Times New Roman" w:eastAsia="宋体" w:cs="Times New Roman"/>
          <w:i/>
          <w:iCs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&lt;0.05), which was consistent with the trend of association analysis.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Conclusion:</w:t>
      </w:r>
      <w:r>
        <w:rPr>
          <w:color w:val="000000"/>
        </w:rPr>
        <w:t xml:space="preserve"> </w:t>
      </w:r>
      <w:r>
        <w:rPr>
          <w:rFonts w:hint="default" w:ascii="Times New Roman" w:hAnsi="Times New Roman" w:eastAsia="宋体" w:cs="Times New Roman"/>
          <w:sz w:val="24"/>
          <w:szCs w:val="24"/>
          <w:lang w:val="en-US" w:eastAsia="zh-CN"/>
        </w:rPr>
        <w:t>In this study, the pathogenicity of EHV-8 was preliminarily determined by infecting susceptible cells and mice, and RNA-seq analysis was performed on injured lung samples from mice. To further investigate the pathogenic mechanism of the EHV-8 virus, transcriptomics combined with proteomics was utilized to investigate the expression of differential factors in RK-13 cells of EHV-8 infection, which provided data support for further investigation of the pathogenic mechanism of EHV-8.</w:t>
      </w:r>
      <w:r>
        <w:rPr>
          <w:color w:val="000000"/>
        </w:rPr>
        <w:t xml:space="preserve">  </w:t>
      </w:r>
    </w:p>
    <w:p>
      <w:pPr>
        <w:jc w:val="both"/>
        <w:rPr>
          <w:color w:val="000000"/>
        </w:rPr>
      </w:pPr>
    </w:p>
    <w:p>
      <w:pPr>
        <w:spacing w:line="360" w:lineRule="auto"/>
        <w:ind w:firstLine="0" w:firstLineChars="0"/>
        <w:outlineLvl w:val="9"/>
        <w:rPr>
          <w:rFonts w:hint="default" w:ascii="Times New Roman" w:hAnsi="Times New Roman" w:cs="Times New Roman"/>
          <w:sz w:val="24"/>
        </w:rPr>
      </w:pPr>
      <w:r>
        <w:rPr>
          <w:b/>
          <w:bCs/>
          <w:color w:val="000000"/>
        </w:rPr>
        <w:t>Keywords:</w:t>
      </w:r>
      <w:r>
        <w:rPr>
          <w:rFonts w:hint="eastAsia" w:eastAsia="宋体"/>
          <w:b/>
          <w:bCs/>
          <w:color w:val="000000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4"/>
          <w:lang w:val="en-US" w:eastAsia="zh-CN"/>
        </w:rPr>
        <w:t>EHV-8</w:t>
      </w:r>
      <w:r>
        <w:rPr>
          <w:rFonts w:ascii="Times New Roman" w:hAnsi="Times New Roman" w:cs="Times New Roman"/>
          <w:sz w:val="24"/>
        </w:rPr>
        <w:t xml:space="preserve">; </w:t>
      </w:r>
      <w:r>
        <w:rPr>
          <w:rFonts w:hint="default" w:ascii="Times New Roman" w:hAnsi="Times New Roman" w:cs="Times New Roman"/>
          <w:sz w:val="24"/>
          <w:lang w:val="en-US" w:eastAsia="zh-CN"/>
        </w:rPr>
        <w:t>T</w:t>
      </w:r>
      <w:r>
        <w:rPr>
          <w:rFonts w:ascii="Times New Roman" w:hAnsi="Times New Roman" w:cs="Times New Roman"/>
          <w:sz w:val="24"/>
        </w:rPr>
        <w:t xml:space="preserve">ranscriptomics; </w:t>
      </w:r>
      <w:r>
        <w:rPr>
          <w:rFonts w:hint="default" w:ascii="Times New Roman" w:hAnsi="Times New Roman" w:cs="Times New Roman"/>
          <w:sz w:val="24"/>
          <w:lang w:val="en-US" w:eastAsia="zh-CN"/>
        </w:rPr>
        <w:t>P</w:t>
      </w:r>
      <w:r>
        <w:rPr>
          <w:rFonts w:ascii="Times New Roman" w:hAnsi="Times New Roman" w:cs="Times New Roman"/>
          <w:sz w:val="24"/>
        </w:rPr>
        <w:t xml:space="preserve">roteomics; </w:t>
      </w:r>
      <w:r>
        <w:rPr>
          <w:rFonts w:hint="default" w:ascii="Times New Roman" w:hAnsi="Times New Roman" w:cs="Times New Roman"/>
          <w:sz w:val="24"/>
        </w:rPr>
        <w:t>Correlation analysis</w:t>
      </w:r>
    </w:p>
    <w:bookmarkEnd w:id="2"/>
    <w:p>
      <w:pPr>
        <w:jc w:val="both"/>
        <w:rPr>
          <w:color w:val="000000"/>
        </w:rPr>
      </w:pPr>
    </w:p>
    <w:sectPr>
      <w:pgSz w:w="11909" w:h="16834"/>
      <w:pgMar w:top="1418" w:right="1418" w:bottom="1418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hlMGRiMDA0MTc3MzU1Y2Y4NTA0Y2Y4MTg4M2JlMmIifQ=="/>
  </w:docVars>
  <w:rsids>
    <w:rsidRoot w:val="0057539E"/>
    <w:rsid w:val="00275FCC"/>
    <w:rsid w:val="00380081"/>
    <w:rsid w:val="003E7C21"/>
    <w:rsid w:val="004A3688"/>
    <w:rsid w:val="0054438F"/>
    <w:rsid w:val="0057539E"/>
    <w:rsid w:val="00687CC2"/>
    <w:rsid w:val="007F6889"/>
    <w:rsid w:val="00857999"/>
    <w:rsid w:val="00A8666D"/>
    <w:rsid w:val="00DB5C59"/>
    <w:rsid w:val="00F96649"/>
    <w:rsid w:val="7E36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color w:val="00000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autoRedefine/>
    <w:qFormat/>
    <w:uiPriority w:val="0"/>
    <w:pPr>
      <w:jc w:val="center"/>
    </w:pPr>
    <w:rPr>
      <w:b/>
      <w:sz w:val="28"/>
    </w:rPr>
  </w:style>
  <w:style w:type="character" w:styleId="6">
    <w:name w:val="FollowedHyperlink"/>
    <w:basedOn w:val="5"/>
    <w:autoRedefine/>
    <w:qFormat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Copernicus Gesellschaft e.V.</Company>
  <Pages>3</Pages>
  <Words>172</Words>
  <Characters>981</Characters>
  <Lines>8</Lines>
  <Paragraphs>2</Paragraphs>
  <TotalTime>0</TotalTime>
  <ScaleCrop>false</ScaleCrop>
  <LinksUpToDate>false</LinksUpToDate>
  <CharactersWithSpaces>1151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2024-01-05T02:35:00Z</dcterms:created>
  <dc:creator>Sergey Malugin</dc:creator>
  <dc:description>(c) Copernicus Gesellschaft e.V. 2004</dc:description>
  <cp:lastModifiedBy>源源</cp:lastModifiedBy>
  <dcterms:modified xsi:type="dcterms:W3CDTF">2024-05-15T07:03:01Z</dcterms:modified>
  <dc:title>Abstract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932C1F075C294CF5B0794AD92B748093_13</vt:lpwstr>
  </property>
</Properties>
</file>