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Titel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74E6F507" w:rsidR="00275FCC" w:rsidRDefault="00275FCC" w:rsidP="00275FCC">
      <w:pPr>
        <w:pStyle w:val="Titel"/>
        <w:spacing w:line="276" w:lineRule="auto"/>
        <w:jc w:val="left"/>
      </w:pPr>
      <w:r>
        <w:tab/>
      </w:r>
      <w:r w:rsidR="00366303">
        <w:t>X</w:t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el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3C80EE41" w:rsidR="0057539E" w:rsidRDefault="00366303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Tracing ESBL-/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pAmpC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- producing </w:t>
      </w:r>
      <w:r w:rsidRPr="00366303">
        <w:rPr>
          <w:rFonts w:ascii="Arial" w:hAnsi="Arial" w:cs="Arial"/>
          <w:b/>
          <w:i/>
          <w:color w:val="000000"/>
          <w:sz w:val="28"/>
          <w:szCs w:val="28"/>
        </w:rPr>
        <w:t>Escherichia coli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in conventional broiler farms during cleaning and disinfection procedures using whole genome sequencing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2EA4BB04" w:rsidR="00687CC2" w:rsidRPr="00687CC2" w:rsidRDefault="00CD773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Caroline Robé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, Michaela Projahn</w:t>
      </w:r>
      <w:r w:rsidRPr="00CD7734">
        <w:rPr>
          <w:color w:val="000000"/>
          <w:sz w:val="28"/>
          <w:szCs w:val="28"/>
          <w:vertAlign w:val="superscript"/>
        </w:rPr>
        <w:t>1</w:t>
      </w:r>
      <w:proofErr w:type="gramStart"/>
      <w:r w:rsidRPr="00CD7734">
        <w:rPr>
          <w:color w:val="000000"/>
          <w:sz w:val="28"/>
          <w:szCs w:val="28"/>
          <w:vertAlign w:val="superscript"/>
        </w:rPr>
        <w:t>,</w:t>
      </w:r>
      <w:r w:rsidR="00687CC2" w:rsidRPr="00275FCC">
        <w:rPr>
          <w:color w:val="000000"/>
          <w:sz w:val="28"/>
          <w:szCs w:val="28"/>
          <w:vertAlign w:val="superscript"/>
        </w:rPr>
        <w:t>2</w:t>
      </w:r>
      <w:proofErr w:type="gramEnd"/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Katrin Boll</w:t>
      </w:r>
      <w:r w:rsidRPr="00CD7734">
        <w:rPr>
          <w:color w:val="000000"/>
          <w:sz w:val="28"/>
          <w:szCs w:val="28"/>
          <w:vertAlign w:val="superscript"/>
        </w:rPr>
        <w:t>1,</w:t>
      </w:r>
      <w:r w:rsidR="00275FCC" w:rsidRPr="00275FCC"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Anja</w:t>
      </w:r>
      <w:proofErr w:type="spellEnd"/>
      <w:r>
        <w:rPr>
          <w:color w:val="000000"/>
          <w:sz w:val="28"/>
          <w:szCs w:val="28"/>
        </w:rPr>
        <w:t xml:space="preserve"> Blasse</w:t>
      </w:r>
      <w:r w:rsidRPr="00CD7734">
        <w:rPr>
          <w:color w:val="000000"/>
          <w:sz w:val="28"/>
          <w:szCs w:val="28"/>
          <w:vertAlign w:val="superscript"/>
        </w:rPr>
        <w:t>1,4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Roswitha</w:t>
      </w:r>
      <w:proofErr w:type="spellEnd"/>
      <w:r>
        <w:rPr>
          <w:color w:val="000000"/>
          <w:sz w:val="28"/>
          <w:szCs w:val="28"/>
        </w:rPr>
        <w:t xml:space="preserve"> Merle</w:t>
      </w:r>
      <w:r>
        <w:rPr>
          <w:color w:val="000000"/>
          <w:sz w:val="28"/>
          <w:szCs w:val="28"/>
          <w:vertAlign w:val="superscript"/>
        </w:rPr>
        <w:t>5</w:t>
      </w:r>
      <w:r>
        <w:rPr>
          <w:color w:val="000000"/>
          <w:sz w:val="28"/>
          <w:szCs w:val="28"/>
        </w:rPr>
        <w:t>, Uwe Roesler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>, Anika Friese</w:t>
      </w:r>
      <w:r>
        <w:rPr>
          <w:color w:val="000000"/>
          <w:sz w:val="28"/>
          <w:szCs w:val="28"/>
          <w:vertAlign w:val="superscript"/>
        </w:rPr>
        <w:t>1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4F138E70" w14:textId="7DDDC8C2" w:rsidR="00687CC2" w:rsidRP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CD7734">
        <w:rPr>
          <w:color w:val="000000"/>
        </w:rPr>
        <w:t xml:space="preserve">caroline.robe@fu-berlin.de, Institute for Animal Hygiene and Environmental Health, </w:t>
      </w:r>
      <w:proofErr w:type="spellStart"/>
      <w:r w:rsidR="00CD7734">
        <w:rPr>
          <w:color w:val="000000"/>
        </w:rPr>
        <w:t>Freie</w:t>
      </w:r>
      <w:proofErr w:type="spellEnd"/>
      <w:r w:rsidR="00CD7734">
        <w:rPr>
          <w:color w:val="000000"/>
        </w:rPr>
        <w:t xml:space="preserve"> </w:t>
      </w:r>
      <w:proofErr w:type="spellStart"/>
      <w:r w:rsidR="00CD7734">
        <w:rPr>
          <w:color w:val="000000"/>
        </w:rPr>
        <w:t>Universität</w:t>
      </w:r>
      <w:proofErr w:type="spellEnd"/>
      <w:r w:rsidR="00CD7734">
        <w:rPr>
          <w:color w:val="000000"/>
        </w:rPr>
        <w:t xml:space="preserve"> Berlin, Germany</w:t>
      </w:r>
    </w:p>
    <w:p w14:paraId="3C4C4A36" w14:textId="2869EC5C" w:rsidR="00687CC2" w:rsidRDefault="00687CC2">
      <w:pPr>
        <w:rPr>
          <w:color w:val="000000"/>
        </w:rPr>
      </w:pPr>
      <w:proofErr w:type="gramStart"/>
      <w:r w:rsidRPr="00687CC2">
        <w:rPr>
          <w:color w:val="000000"/>
          <w:vertAlign w:val="superscript"/>
        </w:rPr>
        <w:t>2</w:t>
      </w:r>
      <w:proofErr w:type="gramEnd"/>
      <w:r w:rsidR="00CD7734">
        <w:rPr>
          <w:color w:val="000000"/>
        </w:rPr>
        <w:t xml:space="preserve"> Department of Biological Safety, German Federal Institute for Risk Assessment, Germany</w:t>
      </w:r>
    </w:p>
    <w:p w14:paraId="18C0F8B7" w14:textId="30F34CDE" w:rsidR="00275FCC" w:rsidRDefault="00275FCC" w:rsidP="00275FCC">
      <w:pPr>
        <w:rPr>
          <w:color w:val="000000"/>
        </w:rPr>
      </w:pPr>
      <w:proofErr w:type="gramStart"/>
      <w:r>
        <w:rPr>
          <w:color w:val="000000"/>
          <w:vertAlign w:val="superscript"/>
        </w:rPr>
        <w:t>3</w:t>
      </w:r>
      <w:proofErr w:type="gramEnd"/>
      <w:r w:rsidR="00CD7734">
        <w:rPr>
          <w:color w:val="000000"/>
        </w:rPr>
        <w:t xml:space="preserve"> Department Food Safety, Federal Office of Consumer Protection and Food Safety, Germany</w:t>
      </w:r>
    </w:p>
    <w:p w14:paraId="00D8A1D7" w14:textId="2E4AA00D" w:rsidR="00CD7734" w:rsidRDefault="00CD7734" w:rsidP="00275FCC">
      <w:pPr>
        <w:rPr>
          <w:color w:val="000000"/>
        </w:rPr>
      </w:pPr>
      <w:proofErr w:type="gramStart"/>
      <w:r>
        <w:rPr>
          <w:color w:val="000000"/>
          <w:vertAlign w:val="superscript"/>
        </w:rPr>
        <w:t>4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Centre for International Health Protection, Robert Koch Institute, Germany</w:t>
      </w:r>
    </w:p>
    <w:p w14:paraId="1B2E3559" w14:textId="6CA0FE3E" w:rsidR="00CD7734" w:rsidRDefault="00CD7734" w:rsidP="00275FCC">
      <w:pPr>
        <w:rPr>
          <w:color w:val="000000"/>
        </w:rPr>
      </w:pPr>
      <w:proofErr w:type="gramStart"/>
      <w:r>
        <w:rPr>
          <w:color w:val="000000"/>
          <w:vertAlign w:val="superscript"/>
        </w:rPr>
        <w:t>5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Institute for Veterinary Epidemiology and Biostatistics, </w:t>
      </w:r>
      <w:proofErr w:type="spellStart"/>
      <w:r>
        <w:rPr>
          <w:color w:val="000000"/>
        </w:rPr>
        <w:t>Freie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Universität</w:t>
      </w:r>
      <w:proofErr w:type="spellEnd"/>
      <w:r>
        <w:rPr>
          <w:color w:val="000000"/>
        </w:rPr>
        <w:t xml:space="preserve"> Berlin, Germany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498EA4F9" w14:textId="16B4B8B3" w:rsidR="005D7F2A" w:rsidRPr="005D7F2A" w:rsidRDefault="00275FCC" w:rsidP="005D7F2A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5D7F2A" w:rsidRPr="005D7F2A">
        <w:rPr>
          <w:color w:val="000000"/>
        </w:rPr>
        <w:t xml:space="preserve">Extended-Spectrum Beta-Lactamase- (ESBL-) and plasmid mediated </w:t>
      </w:r>
      <w:proofErr w:type="spellStart"/>
      <w:r w:rsidR="005D7F2A" w:rsidRPr="005D7F2A">
        <w:rPr>
          <w:color w:val="000000"/>
        </w:rPr>
        <w:t>AmpC</w:t>
      </w:r>
      <w:proofErr w:type="spellEnd"/>
      <w:r w:rsidR="005D7F2A" w:rsidRPr="005D7F2A">
        <w:rPr>
          <w:color w:val="000000"/>
        </w:rPr>
        <w:t xml:space="preserve"> Beta-Lactamase- (</w:t>
      </w:r>
      <w:proofErr w:type="spellStart"/>
      <w:r w:rsidR="005D7F2A" w:rsidRPr="005D7F2A">
        <w:rPr>
          <w:color w:val="000000"/>
        </w:rPr>
        <w:t>pAmpC</w:t>
      </w:r>
      <w:proofErr w:type="spellEnd"/>
      <w:r w:rsidR="005D7F2A" w:rsidRPr="005D7F2A">
        <w:rPr>
          <w:color w:val="000000"/>
        </w:rPr>
        <w:t xml:space="preserve">-) producing </w:t>
      </w:r>
      <w:proofErr w:type="spellStart"/>
      <w:r w:rsidR="005D7F2A" w:rsidRPr="005D7F2A">
        <w:rPr>
          <w:color w:val="000000"/>
        </w:rPr>
        <w:t>Enterobacterales</w:t>
      </w:r>
      <w:proofErr w:type="spellEnd"/>
      <w:r w:rsidR="0026077B">
        <w:rPr>
          <w:color w:val="000000"/>
        </w:rPr>
        <w:t xml:space="preserve"> </w:t>
      </w:r>
      <w:proofErr w:type="gramStart"/>
      <w:r w:rsidR="0026077B">
        <w:rPr>
          <w:color w:val="000000"/>
        </w:rPr>
        <w:t>are frequently detected</w:t>
      </w:r>
      <w:proofErr w:type="gramEnd"/>
      <w:r w:rsidR="0026077B">
        <w:rPr>
          <w:color w:val="000000"/>
        </w:rPr>
        <w:t xml:space="preserve"> in broiler farms.</w:t>
      </w:r>
      <w:r w:rsidR="005D7F2A" w:rsidRPr="005D7F2A">
        <w:rPr>
          <w:color w:val="000000"/>
        </w:rPr>
        <w:t xml:space="preserve"> </w:t>
      </w:r>
      <w:r w:rsidR="004244C6">
        <w:rPr>
          <w:color w:val="000000"/>
        </w:rPr>
        <w:t>Potential t</w:t>
      </w:r>
      <w:r w:rsidR="005D7F2A" w:rsidRPr="005D7F2A">
        <w:rPr>
          <w:color w:val="000000"/>
        </w:rPr>
        <w:t>ransm</w:t>
      </w:r>
      <w:r w:rsidR="0026077B">
        <w:rPr>
          <w:color w:val="000000"/>
        </w:rPr>
        <w:t xml:space="preserve">ission routes </w:t>
      </w:r>
      <w:r w:rsidR="004244C6">
        <w:rPr>
          <w:color w:val="000000"/>
        </w:rPr>
        <w:t>and intervention measures in the food chain, in the environment</w:t>
      </w:r>
      <w:bookmarkStart w:id="0" w:name="_GoBack"/>
      <w:bookmarkEnd w:id="0"/>
      <w:r w:rsidR="004244C6">
        <w:rPr>
          <w:color w:val="000000"/>
        </w:rPr>
        <w:t xml:space="preserve"> and to humans were investigated</w:t>
      </w:r>
      <w:r w:rsidR="0026077B">
        <w:rPr>
          <w:color w:val="000000"/>
        </w:rPr>
        <w:t xml:space="preserve"> </w:t>
      </w:r>
      <w:r w:rsidR="005D7F2A" w:rsidRPr="005D7F2A">
        <w:rPr>
          <w:color w:val="000000"/>
        </w:rPr>
        <w:t xml:space="preserve">against ESBL- </w:t>
      </w:r>
      <w:r w:rsidR="004244C6">
        <w:rPr>
          <w:color w:val="000000"/>
        </w:rPr>
        <w:t xml:space="preserve">and </w:t>
      </w:r>
      <w:proofErr w:type="spellStart"/>
      <w:r w:rsidR="004244C6">
        <w:rPr>
          <w:color w:val="000000"/>
        </w:rPr>
        <w:t>pAmpC</w:t>
      </w:r>
      <w:proofErr w:type="spellEnd"/>
      <w:r w:rsidR="004244C6">
        <w:rPr>
          <w:color w:val="000000"/>
        </w:rPr>
        <w:t>- producing bacteria</w:t>
      </w:r>
      <w:r w:rsidR="0026077B">
        <w:rPr>
          <w:color w:val="000000"/>
        </w:rPr>
        <w:t>, but</w:t>
      </w:r>
      <w:r w:rsidR="005D7F2A" w:rsidRPr="005D7F2A">
        <w:rPr>
          <w:color w:val="000000"/>
        </w:rPr>
        <w:t xml:space="preserve"> few data are available on the effects of cleaning and disinfection (C&amp;D) procedures in broiler stables on ESBL- and </w:t>
      </w:r>
      <w:proofErr w:type="spellStart"/>
      <w:r w:rsidR="005D7F2A" w:rsidRPr="005D7F2A">
        <w:rPr>
          <w:color w:val="000000"/>
        </w:rPr>
        <w:t>pAmpC</w:t>
      </w:r>
      <w:proofErr w:type="spellEnd"/>
      <w:r w:rsidR="005D7F2A" w:rsidRPr="005D7F2A">
        <w:rPr>
          <w:color w:val="000000"/>
        </w:rPr>
        <w:t xml:space="preserve">- producing bacteria. </w:t>
      </w:r>
    </w:p>
    <w:p w14:paraId="0572BE18" w14:textId="51A0D33E" w:rsidR="0054438F" w:rsidRDefault="0054438F" w:rsidP="0054438F">
      <w:pPr>
        <w:jc w:val="both"/>
        <w:rPr>
          <w:color w:val="000000"/>
        </w:rPr>
      </w:pPr>
    </w:p>
    <w:p w14:paraId="1A771BE8" w14:textId="2746745D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</w:t>
      </w:r>
      <w:r w:rsidR="00B24127" w:rsidRPr="00B24127">
        <w:rPr>
          <w:color w:val="000000"/>
        </w:rPr>
        <w:t xml:space="preserve"> </w:t>
      </w:r>
      <w:r w:rsidR="0026077B">
        <w:rPr>
          <w:color w:val="000000"/>
        </w:rPr>
        <w:t>We systematically sampled</w:t>
      </w:r>
      <w:r w:rsidR="00B24127" w:rsidRPr="005D7F2A">
        <w:rPr>
          <w:color w:val="000000"/>
        </w:rPr>
        <w:t xml:space="preserve"> five broiler stables before and </w:t>
      </w:r>
      <w:r w:rsidR="0026077B">
        <w:rPr>
          <w:color w:val="000000"/>
        </w:rPr>
        <w:t xml:space="preserve">after C&amp;D using boot swabs, pooled feces samples and gauze swabs. Samples </w:t>
      </w:r>
      <w:proofErr w:type="gramStart"/>
      <w:r w:rsidR="0026077B">
        <w:rPr>
          <w:color w:val="000000"/>
        </w:rPr>
        <w:t>were processed</w:t>
      </w:r>
      <w:proofErr w:type="gramEnd"/>
      <w:r w:rsidR="0026077B">
        <w:rPr>
          <w:color w:val="000000"/>
        </w:rPr>
        <w:t xml:space="preserve"> on </w:t>
      </w:r>
      <w:proofErr w:type="spellStart"/>
      <w:r w:rsidR="0026077B">
        <w:rPr>
          <w:color w:val="000000"/>
        </w:rPr>
        <w:t>MacConkey</w:t>
      </w:r>
      <w:proofErr w:type="spellEnd"/>
      <w:r w:rsidR="0026077B">
        <w:rPr>
          <w:color w:val="000000"/>
        </w:rPr>
        <w:t xml:space="preserve"> agar with </w:t>
      </w:r>
      <w:proofErr w:type="spellStart"/>
      <w:r w:rsidR="0026077B">
        <w:rPr>
          <w:color w:val="000000"/>
        </w:rPr>
        <w:t>cefotaxime</w:t>
      </w:r>
      <w:proofErr w:type="spellEnd"/>
      <w:r w:rsidR="0026077B">
        <w:rPr>
          <w:color w:val="000000"/>
        </w:rPr>
        <w:t xml:space="preserve"> and p</w:t>
      </w:r>
      <w:r w:rsidR="00B24127" w:rsidRPr="005D7F2A">
        <w:rPr>
          <w:color w:val="000000"/>
        </w:rPr>
        <w:t xml:space="preserve">henotypically resistant </w:t>
      </w:r>
      <w:r w:rsidR="00B24127" w:rsidRPr="005D7F2A">
        <w:rPr>
          <w:i/>
          <w:color w:val="000000"/>
        </w:rPr>
        <w:t>E. coli</w:t>
      </w:r>
      <w:r w:rsidR="00B24127" w:rsidRPr="004244C6">
        <w:rPr>
          <w:color w:val="000000"/>
        </w:rPr>
        <w:t xml:space="preserve"> </w:t>
      </w:r>
      <w:r w:rsidR="004244C6" w:rsidRPr="004244C6">
        <w:rPr>
          <w:color w:val="000000"/>
        </w:rPr>
        <w:t>isolates</w:t>
      </w:r>
      <w:r w:rsidR="004244C6">
        <w:rPr>
          <w:i/>
          <w:color w:val="000000"/>
        </w:rPr>
        <w:t xml:space="preserve"> </w:t>
      </w:r>
      <w:r w:rsidR="00B24127" w:rsidRPr="005D7F2A">
        <w:rPr>
          <w:color w:val="000000"/>
        </w:rPr>
        <w:t>were further analyzed for their beta-lactam resistance genes and phylogenetic groups, as well as the relation of isolates from the investigated stables before and after C&amp;D by whole genome sequencing.</w:t>
      </w:r>
    </w:p>
    <w:p w14:paraId="0F772F78" w14:textId="77777777" w:rsidR="00B24127" w:rsidRDefault="00B24127" w:rsidP="0054438F">
      <w:pPr>
        <w:jc w:val="both"/>
        <w:rPr>
          <w:color w:val="000000"/>
        </w:rPr>
      </w:pPr>
    </w:p>
    <w:p w14:paraId="6CA57876" w14:textId="77683B80" w:rsidR="005D7F2A" w:rsidRPr="005D7F2A" w:rsidRDefault="00275FCC" w:rsidP="005D7F2A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5D7F2A" w:rsidRPr="005D7F2A">
        <w:rPr>
          <w:color w:val="000000"/>
        </w:rPr>
        <w:t xml:space="preserve">ESBL- and </w:t>
      </w:r>
      <w:proofErr w:type="spellStart"/>
      <w:r w:rsidR="005D7F2A" w:rsidRPr="005D7F2A">
        <w:rPr>
          <w:color w:val="000000"/>
        </w:rPr>
        <w:t>pAmpC</w:t>
      </w:r>
      <w:proofErr w:type="spellEnd"/>
      <w:r w:rsidR="005D7F2A" w:rsidRPr="005D7F2A">
        <w:rPr>
          <w:color w:val="000000"/>
        </w:rPr>
        <w:t xml:space="preserve">- producing </w:t>
      </w:r>
      <w:r w:rsidR="005D7F2A" w:rsidRPr="005D7F2A">
        <w:rPr>
          <w:i/>
          <w:color w:val="000000"/>
        </w:rPr>
        <w:t>E. coli</w:t>
      </w:r>
      <w:r w:rsidR="0026077B">
        <w:rPr>
          <w:color w:val="000000"/>
        </w:rPr>
        <w:t xml:space="preserve"> was detected</w:t>
      </w:r>
      <w:r w:rsidR="005D7F2A" w:rsidRPr="005D7F2A">
        <w:rPr>
          <w:color w:val="000000"/>
        </w:rPr>
        <w:t xml:space="preserve"> at sites where C&amp;D </w:t>
      </w:r>
      <w:proofErr w:type="gramStart"/>
      <w:r w:rsidR="005D7F2A" w:rsidRPr="005D7F2A">
        <w:rPr>
          <w:color w:val="000000"/>
        </w:rPr>
        <w:t>was not performed</w:t>
      </w:r>
      <w:proofErr w:type="gramEnd"/>
      <w:r w:rsidR="005D7F2A" w:rsidRPr="005D7F2A">
        <w:rPr>
          <w:color w:val="000000"/>
        </w:rPr>
        <w:t xml:space="preserve"> or where insufficient cleaning was performed prior to disinfection. </w:t>
      </w:r>
      <w:r w:rsidR="0026077B">
        <w:rPr>
          <w:color w:val="000000"/>
        </w:rPr>
        <w:t>H</w:t>
      </w:r>
      <w:r w:rsidR="005D7F2A" w:rsidRPr="005D7F2A">
        <w:rPr>
          <w:color w:val="000000"/>
        </w:rPr>
        <w:t>ighly related ESBL-/</w:t>
      </w:r>
      <w:proofErr w:type="spellStart"/>
      <w:r w:rsidR="005D7F2A" w:rsidRPr="005D7F2A">
        <w:rPr>
          <w:color w:val="000000"/>
        </w:rPr>
        <w:t>pAmpC</w:t>
      </w:r>
      <w:proofErr w:type="spellEnd"/>
      <w:r w:rsidR="005D7F2A" w:rsidRPr="005D7F2A">
        <w:rPr>
          <w:color w:val="000000"/>
        </w:rPr>
        <w:t xml:space="preserve">- producing </w:t>
      </w:r>
      <w:r w:rsidR="005D7F2A" w:rsidRPr="005D7F2A">
        <w:rPr>
          <w:i/>
          <w:color w:val="000000"/>
        </w:rPr>
        <w:t>E. coli</w:t>
      </w:r>
      <w:r w:rsidR="005D7F2A" w:rsidRPr="005D7F2A">
        <w:rPr>
          <w:color w:val="000000"/>
        </w:rPr>
        <w:t xml:space="preserve"> isolates </w:t>
      </w:r>
      <w:proofErr w:type="gramStart"/>
      <w:r w:rsidR="0026077B">
        <w:rPr>
          <w:color w:val="000000"/>
        </w:rPr>
        <w:t xml:space="preserve">were </w:t>
      </w:r>
      <w:r w:rsidR="005D7F2A" w:rsidRPr="005D7F2A">
        <w:rPr>
          <w:color w:val="000000"/>
        </w:rPr>
        <w:t>detected</w:t>
      </w:r>
      <w:proofErr w:type="gramEnd"/>
      <w:r w:rsidR="005D7F2A" w:rsidRPr="005D7F2A">
        <w:rPr>
          <w:color w:val="000000"/>
        </w:rPr>
        <w:t xml:space="preserve"> before and after C&amp;D in four of fi</w:t>
      </w:r>
      <w:r w:rsidR="0026077B">
        <w:rPr>
          <w:color w:val="000000"/>
        </w:rPr>
        <w:t>ve broiler stables using</w:t>
      </w:r>
      <w:r w:rsidR="005D7F2A" w:rsidRPr="005D7F2A">
        <w:rPr>
          <w:color w:val="000000"/>
        </w:rPr>
        <w:t xml:space="preserve"> </w:t>
      </w:r>
      <w:proofErr w:type="spellStart"/>
      <w:r w:rsidR="005D7F2A" w:rsidRPr="005D7F2A">
        <w:rPr>
          <w:color w:val="000000"/>
        </w:rPr>
        <w:t>cgMLST</w:t>
      </w:r>
      <w:proofErr w:type="spellEnd"/>
      <w:r w:rsidR="005D7F2A" w:rsidRPr="005D7F2A">
        <w:rPr>
          <w:color w:val="000000"/>
        </w:rPr>
        <w:t xml:space="preserve">. Survival </w:t>
      </w:r>
      <w:r w:rsidR="0026077B">
        <w:rPr>
          <w:color w:val="000000"/>
        </w:rPr>
        <w:t xml:space="preserve">as well as transmission </w:t>
      </w:r>
      <w:r w:rsidR="005D7F2A" w:rsidRPr="005D7F2A">
        <w:rPr>
          <w:color w:val="000000"/>
        </w:rPr>
        <w:t xml:space="preserve">of resistant isolates in investigated broiler stables </w:t>
      </w:r>
      <w:r w:rsidR="0026077B">
        <w:rPr>
          <w:color w:val="000000"/>
        </w:rPr>
        <w:t xml:space="preserve">or </w:t>
      </w:r>
      <w:r w:rsidR="005D7F2A" w:rsidRPr="005D7F2A">
        <w:rPr>
          <w:color w:val="000000"/>
        </w:rPr>
        <w:t xml:space="preserve">from broiler stables to the anteroom and surrounding environment and between broiler farms </w:t>
      </w:r>
      <w:proofErr w:type="gramStart"/>
      <w:r w:rsidR="005D7F2A" w:rsidRPr="005D7F2A">
        <w:rPr>
          <w:color w:val="000000"/>
        </w:rPr>
        <w:t>was shown</w:t>
      </w:r>
      <w:proofErr w:type="gramEnd"/>
      <w:r w:rsidR="005D7F2A" w:rsidRPr="005D7F2A">
        <w:rPr>
          <w:color w:val="000000"/>
        </w:rPr>
        <w:t>.</w:t>
      </w:r>
    </w:p>
    <w:p w14:paraId="6695E355" w14:textId="78C65B32" w:rsidR="00380081" w:rsidRDefault="00380081" w:rsidP="0054438F">
      <w:pPr>
        <w:jc w:val="both"/>
        <w:rPr>
          <w:color w:val="000000"/>
        </w:rPr>
      </w:pPr>
    </w:p>
    <w:p w14:paraId="5F1616F5" w14:textId="1760E8FA" w:rsidR="005D7F2A" w:rsidRPr="005D7F2A" w:rsidRDefault="00275FCC" w:rsidP="005D7F2A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5D7F2A" w:rsidRPr="005D7F2A">
        <w:rPr>
          <w:color w:val="000000"/>
        </w:rPr>
        <w:t>C&amp;D can reduce ESBL-/</w:t>
      </w:r>
      <w:proofErr w:type="spellStart"/>
      <w:r w:rsidR="005D7F2A" w:rsidRPr="005D7F2A">
        <w:rPr>
          <w:color w:val="000000"/>
        </w:rPr>
        <w:t>pAmpC</w:t>
      </w:r>
      <w:proofErr w:type="spellEnd"/>
      <w:r w:rsidR="005D7F2A" w:rsidRPr="005D7F2A">
        <w:rPr>
          <w:color w:val="000000"/>
        </w:rPr>
        <w:t xml:space="preserve">- producing </w:t>
      </w:r>
      <w:r w:rsidR="005D7F2A" w:rsidRPr="005D7F2A">
        <w:rPr>
          <w:i/>
          <w:color w:val="000000"/>
        </w:rPr>
        <w:t>E. coli</w:t>
      </w:r>
      <w:r w:rsidR="005D7F2A" w:rsidRPr="005D7F2A">
        <w:rPr>
          <w:color w:val="000000"/>
        </w:rPr>
        <w:t xml:space="preserve"> </w:t>
      </w:r>
      <w:r w:rsidR="0026077B">
        <w:rPr>
          <w:color w:val="000000"/>
        </w:rPr>
        <w:t>in conventional broiler stables. C</w:t>
      </w:r>
      <w:r w:rsidR="005D7F2A" w:rsidRPr="005D7F2A">
        <w:rPr>
          <w:color w:val="000000"/>
        </w:rPr>
        <w:t xml:space="preserve">omplete ESBL- and </w:t>
      </w:r>
      <w:proofErr w:type="spellStart"/>
      <w:r w:rsidR="005D7F2A" w:rsidRPr="005D7F2A">
        <w:rPr>
          <w:color w:val="000000"/>
        </w:rPr>
        <w:t>pAmpC</w:t>
      </w:r>
      <w:proofErr w:type="spellEnd"/>
      <w:r w:rsidR="005D7F2A" w:rsidRPr="005D7F2A">
        <w:rPr>
          <w:color w:val="000000"/>
        </w:rPr>
        <w:t>- elimination does not seem to be possible in practice as several fa</w:t>
      </w:r>
      <w:r w:rsidR="0026077B">
        <w:rPr>
          <w:color w:val="000000"/>
        </w:rPr>
        <w:t>ctors influence the C&amp;D outcome. M</w:t>
      </w:r>
      <w:r w:rsidR="005D7F2A" w:rsidRPr="005D7F2A">
        <w:rPr>
          <w:color w:val="000000"/>
        </w:rPr>
        <w:t>ultifactorial approach</w:t>
      </w:r>
      <w:r w:rsidR="0026077B">
        <w:rPr>
          <w:color w:val="000000"/>
        </w:rPr>
        <w:t>es</w:t>
      </w:r>
      <w:r w:rsidR="005D7F2A" w:rsidRPr="005D7F2A">
        <w:rPr>
          <w:color w:val="000000"/>
        </w:rPr>
        <w:t xml:space="preserve">, combining various hygiene- and </w:t>
      </w:r>
      <w:r w:rsidR="0026077B">
        <w:rPr>
          <w:color w:val="000000"/>
        </w:rPr>
        <w:t>management measures</w:t>
      </w:r>
      <w:r w:rsidR="004244C6">
        <w:rPr>
          <w:color w:val="000000"/>
        </w:rPr>
        <w:t xml:space="preserve"> are</w:t>
      </w:r>
      <w:r w:rsidR="005D7F2A" w:rsidRPr="005D7F2A">
        <w:rPr>
          <w:color w:val="000000"/>
        </w:rPr>
        <w:t xml:space="preserve"> </w:t>
      </w:r>
      <w:r w:rsidR="004244C6">
        <w:rPr>
          <w:color w:val="000000"/>
        </w:rPr>
        <w:t>essential</w:t>
      </w:r>
      <w:r w:rsidR="005D7F2A" w:rsidRPr="005D7F2A">
        <w:rPr>
          <w:color w:val="000000"/>
        </w:rPr>
        <w:t xml:space="preserve"> to reduce ESBL-/</w:t>
      </w:r>
      <w:proofErr w:type="spellStart"/>
      <w:r w:rsidR="005D7F2A" w:rsidRPr="005D7F2A">
        <w:rPr>
          <w:color w:val="000000"/>
        </w:rPr>
        <w:t>pAmpC</w:t>
      </w:r>
      <w:proofErr w:type="spellEnd"/>
      <w:r w:rsidR="005D7F2A" w:rsidRPr="005D7F2A">
        <w:rPr>
          <w:color w:val="000000"/>
        </w:rPr>
        <w:t xml:space="preserve">- </w:t>
      </w:r>
      <w:r w:rsidR="005D7F2A" w:rsidRPr="005D7F2A">
        <w:rPr>
          <w:i/>
          <w:color w:val="000000"/>
        </w:rPr>
        <w:t>E. coli</w:t>
      </w:r>
      <w:r w:rsidR="005D7F2A" w:rsidRPr="005D7F2A">
        <w:rPr>
          <w:color w:val="000000"/>
        </w:rPr>
        <w:t xml:space="preserve"> in broiler farms.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2066300C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lastRenderedPageBreak/>
        <w:t>Keywords:</w:t>
      </w:r>
      <w:r w:rsidRPr="00275FCC">
        <w:rPr>
          <w:color w:val="000000"/>
        </w:rPr>
        <w:t xml:space="preserve"> </w:t>
      </w:r>
      <w:r w:rsidR="005D7F2A">
        <w:rPr>
          <w:color w:val="000000"/>
        </w:rPr>
        <w:t xml:space="preserve">ESBL, </w:t>
      </w:r>
      <w:r w:rsidR="005D7F2A" w:rsidRPr="005D7F2A">
        <w:rPr>
          <w:i/>
          <w:color w:val="000000"/>
        </w:rPr>
        <w:t>Escherichia coli</w:t>
      </w:r>
      <w:r w:rsidR="005D7F2A">
        <w:rPr>
          <w:color w:val="000000"/>
        </w:rPr>
        <w:t>, broiler chicken, cleaning and disinfection, whole genome sequencing, transmission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26077B"/>
    <w:rsid w:val="00275FCC"/>
    <w:rsid w:val="00366303"/>
    <w:rsid w:val="00380081"/>
    <w:rsid w:val="003E7C21"/>
    <w:rsid w:val="004244C6"/>
    <w:rsid w:val="004A3688"/>
    <w:rsid w:val="0054438F"/>
    <w:rsid w:val="0057539E"/>
    <w:rsid w:val="005D7F2A"/>
    <w:rsid w:val="00687CC2"/>
    <w:rsid w:val="007F6889"/>
    <w:rsid w:val="00857999"/>
    <w:rsid w:val="00A8666D"/>
    <w:rsid w:val="00B24127"/>
    <w:rsid w:val="00CD7734"/>
    <w:rsid w:val="00DB5C59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2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Robé, Caroline</cp:lastModifiedBy>
  <cp:revision>6</cp:revision>
  <dcterms:created xsi:type="dcterms:W3CDTF">2024-04-14T10:17:00Z</dcterms:created>
  <dcterms:modified xsi:type="dcterms:W3CDTF">2024-04-14T11:56:00Z</dcterms:modified>
</cp:coreProperties>
</file>