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76" w:lineRule="auto"/>
        <w:jc w:val="left"/>
      </w:pPr>
      <w:r>
        <w:t xml:space="preserve">I prefer: </w:t>
      </w:r>
    </w:p>
    <w:p>
      <w:pPr>
        <w:pStyle w:val="3"/>
        <w:spacing w:line="276" w:lineRule="auto"/>
        <w:jc w:val="left"/>
      </w:pPr>
      <w:r>
        <w:tab/>
      </w:r>
      <w:r>
        <w:rPr/>
        <w:sym w:font="Wingdings 2" w:char="F0A3"/>
      </w:r>
      <w:r>
        <w:t xml:space="preserve"> ORAL presentation</w:t>
      </w:r>
    </w:p>
    <w:p>
      <w:pPr>
        <w:pStyle w:val="3"/>
        <w:pBdr>
          <w:bottom w:val="single" w:color="auto" w:sz="6" w:space="1"/>
        </w:pBdr>
        <w:spacing w:line="276" w:lineRule="auto"/>
        <w:jc w:val="left"/>
      </w:pPr>
      <w:r>
        <w:tab/>
      </w:r>
      <w:r>
        <w:rPr/>
        <w:sym w:font="Wingdings 2" w:char="0052"/>
      </w:r>
      <w:r>
        <w:t xml:space="preserve"> POSTER presentation</w:t>
      </w:r>
    </w:p>
    <w:p>
      <w:pPr>
        <w:pStyle w:val="3"/>
        <w:spacing w:line="276" w:lineRule="auto"/>
        <w:jc w:val="left"/>
        <w:rPr>
          <w:sz w:val="18"/>
          <w:szCs w:val="18"/>
        </w:rPr>
      </w:pPr>
    </w:p>
    <w:p>
      <w:pPr>
        <w:rPr>
          <w:sz w:val="18"/>
          <w:szCs w:val="18"/>
        </w:rPr>
      </w:pPr>
    </w:p>
    <w:p>
      <w:pPr>
        <w:jc w:val="center"/>
        <w:rPr>
          <w:rFonts w:hint="eastAsia" w:ascii="Arial" w:hAnsi="Arial" w:cs="Arial"/>
          <w:b/>
          <w:color w:val="000000"/>
          <w:sz w:val="28"/>
          <w:szCs w:val="28"/>
        </w:rPr>
      </w:pPr>
      <w:r>
        <w:rPr>
          <w:rFonts w:hint="eastAsia" w:ascii="Arial" w:hAnsi="Arial" w:cs="Arial"/>
          <w:b/>
          <w:color w:val="000000"/>
          <w:sz w:val="28"/>
          <w:szCs w:val="28"/>
        </w:rPr>
        <w:t>Development and evaluation of a triplex droplet digital PCR method for differentiation of M. tuberculosis, M. bovis and BCG</w:t>
      </w:r>
    </w:p>
    <w:p>
      <w:pPr>
        <w:jc w:val="center"/>
        <w:rPr>
          <w:rFonts w:hint="eastAsia" w:ascii="Arial" w:hAnsi="Arial" w:cs="Arial"/>
          <w:b/>
          <w:color w:val="000000"/>
          <w:sz w:val="28"/>
          <w:szCs w:val="28"/>
        </w:rPr>
      </w:pPr>
    </w:p>
    <w:p>
      <w:pPr>
        <w:rPr>
          <w:rFonts w:hint="eastAsia" w:eastAsia="宋体"/>
          <w:color w:val="000000"/>
          <w:sz w:val="28"/>
          <w:szCs w:val="28"/>
          <w:vertAlign w:val="baseline"/>
          <w:lang w:val="en-US" w:eastAsia="zh-CN"/>
        </w:rPr>
      </w:pPr>
      <w:r>
        <w:rPr>
          <w:rFonts w:hint="eastAsia" w:eastAsia="宋体"/>
          <w:color w:val="000000"/>
          <w:sz w:val="28"/>
          <w:szCs w:val="28"/>
          <w:vertAlign w:val="baseline"/>
          <w:lang w:val="en-US" w:eastAsia="zh-CN"/>
        </w:rPr>
        <w:t>Yao Qu</w:t>
      </w:r>
      <w:r>
        <w:rPr>
          <w:rFonts w:hint="eastAsia" w:eastAsia="宋体"/>
          <w:color w:val="000000"/>
          <w:sz w:val="28"/>
          <w:szCs w:val="28"/>
          <w:vertAlign w:val="superscript"/>
          <w:lang w:val="en-US" w:eastAsia="zh-CN"/>
        </w:rPr>
        <w:t>1</w:t>
      </w:r>
      <w:r>
        <w:rPr>
          <w:rFonts w:hint="eastAsia" w:eastAsia="宋体"/>
          <w:color w:val="000000"/>
          <w:sz w:val="28"/>
          <w:szCs w:val="28"/>
          <w:vertAlign w:val="baseline"/>
          <w:lang w:val="en-US" w:eastAsia="zh-CN"/>
        </w:rPr>
        <w:t>, Mengda Liu</w:t>
      </w:r>
      <w:r>
        <w:rPr>
          <w:rFonts w:hint="eastAsia" w:eastAsia="宋体"/>
          <w:color w:val="000000"/>
          <w:sz w:val="28"/>
          <w:szCs w:val="28"/>
          <w:vertAlign w:val="superscript"/>
          <w:lang w:val="en-US" w:eastAsia="zh-CN"/>
        </w:rPr>
        <w:t>1</w:t>
      </w:r>
      <w:r>
        <w:rPr>
          <w:color w:val="000000"/>
          <w:sz w:val="28"/>
          <w:szCs w:val="28"/>
        </w:rPr>
        <w:t>*</w:t>
      </w:r>
      <w:r>
        <w:rPr>
          <w:rFonts w:hint="eastAsia" w:eastAsia="宋体"/>
          <w:color w:val="000000"/>
          <w:sz w:val="28"/>
          <w:szCs w:val="28"/>
          <w:vertAlign w:val="baseline"/>
          <w:lang w:val="en-US" w:eastAsia="zh-CN"/>
        </w:rPr>
        <w:t>, Xiangxiang Sun</w:t>
      </w:r>
      <w:r>
        <w:rPr>
          <w:rFonts w:hint="eastAsia" w:eastAsia="宋体"/>
          <w:color w:val="000000"/>
          <w:sz w:val="28"/>
          <w:szCs w:val="28"/>
          <w:vertAlign w:val="superscript"/>
          <w:lang w:val="en-US" w:eastAsia="zh-CN"/>
        </w:rPr>
        <w:t>1</w:t>
      </w:r>
      <w:r>
        <w:rPr>
          <w:rFonts w:hint="eastAsia" w:eastAsia="宋体"/>
          <w:color w:val="000000"/>
          <w:sz w:val="28"/>
          <w:szCs w:val="28"/>
          <w:vertAlign w:val="baseline"/>
          <w:lang w:val="en-US" w:eastAsia="zh-CN"/>
        </w:rPr>
        <w:t>, Yongxia Liu</w:t>
      </w:r>
      <w:r>
        <w:rPr>
          <w:rFonts w:hint="eastAsia" w:eastAsia="宋体"/>
          <w:color w:val="000000"/>
          <w:sz w:val="28"/>
          <w:szCs w:val="28"/>
          <w:vertAlign w:val="superscript"/>
          <w:lang w:val="en-US" w:eastAsia="zh-CN"/>
        </w:rPr>
        <w:t>2</w:t>
      </w:r>
      <w:r>
        <w:rPr>
          <w:rFonts w:hint="eastAsia" w:eastAsia="宋体"/>
          <w:color w:val="000000"/>
          <w:sz w:val="28"/>
          <w:szCs w:val="28"/>
          <w:vertAlign w:val="baseline"/>
          <w:lang w:val="en-US" w:eastAsia="zh-CN"/>
        </w:rPr>
        <w:t>, Jianzhu Liu</w:t>
      </w:r>
      <w:r>
        <w:rPr>
          <w:rFonts w:hint="eastAsia" w:eastAsia="宋体"/>
          <w:color w:val="000000"/>
          <w:sz w:val="28"/>
          <w:szCs w:val="28"/>
          <w:vertAlign w:val="superscript"/>
          <w:lang w:val="en-US" w:eastAsia="zh-CN"/>
        </w:rPr>
        <w:t>2</w:t>
      </w:r>
      <w:r>
        <w:rPr>
          <w:rFonts w:hint="eastAsia" w:eastAsia="宋体"/>
          <w:color w:val="000000"/>
          <w:sz w:val="28"/>
          <w:szCs w:val="28"/>
          <w:vertAlign w:val="baseline"/>
          <w:lang w:val="en-US" w:eastAsia="zh-CN"/>
        </w:rPr>
        <w:t>, Liping Hu</w:t>
      </w:r>
      <w:r>
        <w:rPr>
          <w:rFonts w:hint="eastAsia" w:eastAsia="宋体"/>
          <w:color w:val="000000"/>
          <w:sz w:val="28"/>
          <w:szCs w:val="28"/>
          <w:vertAlign w:val="superscript"/>
          <w:lang w:val="en-US" w:eastAsia="zh-CN"/>
        </w:rPr>
        <w:t>3</w:t>
      </w:r>
      <w:r>
        <w:rPr>
          <w:rFonts w:hint="eastAsia" w:eastAsia="宋体"/>
          <w:color w:val="000000"/>
          <w:sz w:val="28"/>
          <w:szCs w:val="28"/>
          <w:vertAlign w:val="baseline"/>
          <w:lang w:val="en-US" w:eastAsia="zh-CN"/>
        </w:rPr>
        <w:t>, Zhiqiang Jiang</w:t>
      </w:r>
      <w:r>
        <w:rPr>
          <w:rFonts w:hint="eastAsia" w:eastAsia="宋体"/>
          <w:color w:val="000000"/>
          <w:sz w:val="28"/>
          <w:szCs w:val="28"/>
          <w:vertAlign w:val="superscript"/>
          <w:lang w:val="en-US" w:eastAsia="zh-CN"/>
        </w:rPr>
        <w:t>1</w:t>
      </w:r>
      <w:r>
        <w:rPr>
          <w:rFonts w:hint="eastAsia" w:eastAsia="宋体"/>
          <w:color w:val="000000"/>
          <w:sz w:val="28"/>
          <w:szCs w:val="28"/>
          <w:vertAlign w:val="baseline"/>
          <w:lang w:val="en-US" w:eastAsia="zh-CN"/>
        </w:rPr>
        <w:t>, Fei Qi</w:t>
      </w:r>
      <w:r>
        <w:rPr>
          <w:rFonts w:hint="eastAsia" w:eastAsia="宋体"/>
          <w:color w:val="000000"/>
          <w:sz w:val="28"/>
          <w:szCs w:val="28"/>
          <w:vertAlign w:val="superscript"/>
          <w:lang w:val="en-US" w:eastAsia="zh-CN"/>
        </w:rPr>
        <w:t>1</w:t>
      </w:r>
      <w:r>
        <w:rPr>
          <w:rFonts w:hint="eastAsia" w:eastAsia="宋体"/>
          <w:color w:val="000000"/>
          <w:sz w:val="28"/>
          <w:szCs w:val="28"/>
          <w:vertAlign w:val="baseline"/>
          <w:lang w:val="en-US" w:eastAsia="zh-CN"/>
        </w:rPr>
        <w:t>, Wenlong Nan</w:t>
      </w:r>
      <w:r>
        <w:rPr>
          <w:rFonts w:hint="eastAsia" w:eastAsia="宋体"/>
          <w:color w:val="000000"/>
          <w:sz w:val="28"/>
          <w:szCs w:val="28"/>
          <w:vertAlign w:val="superscript"/>
          <w:lang w:val="en-US" w:eastAsia="zh-CN"/>
        </w:rPr>
        <w:t>1</w:t>
      </w:r>
      <w:r>
        <w:rPr>
          <w:rFonts w:hint="eastAsia" w:eastAsia="宋体"/>
          <w:color w:val="000000"/>
          <w:sz w:val="28"/>
          <w:szCs w:val="28"/>
          <w:vertAlign w:val="baseline"/>
          <w:lang w:val="en-US" w:eastAsia="zh-CN"/>
        </w:rPr>
        <w:t>, Xin Yan</w:t>
      </w:r>
      <w:r>
        <w:rPr>
          <w:rFonts w:hint="eastAsia" w:eastAsia="宋体"/>
          <w:color w:val="000000"/>
          <w:sz w:val="28"/>
          <w:szCs w:val="28"/>
          <w:vertAlign w:val="superscript"/>
          <w:lang w:val="en-US" w:eastAsia="zh-CN"/>
        </w:rPr>
        <w:t>1</w:t>
      </w:r>
      <w:r>
        <w:rPr>
          <w:rFonts w:hint="eastAsia" w:eastAsia="宋体"/>
          <w:color w:val="000000"/>
          <w:sz w:val="28"/>
          <w:szCs w:val="28"/>
          <w:vertAlign w:val="baseline"/>
          <w:lang w:val="en-US" w:eastAsia="zh-CN"/>
        </w:rPr>
        <w:t>, Mingjun Sun</w:t>
      </w:r>
      <w:r>
        <w:rPr>
          <w:rFonts w:hint="eastAsia" w:eastAsia="宋体"/>
          <w:color w:val="000000"/>
          <w:sz w:val="28"/>
          <w:szCs w:val="28"/>
          <w:vertAlign w:val="superscript"/>
          <w:lang w:val="en-US" w:eastAsia="zh-CN"/>
        </w:rPr>
        <w:t>1</w:t>
      </w:r>
      <w:r>
        <w:rPr>
          <w:rFonts w:hint="eastAsia" w:eastAsia="宋体"/>
          <w:color w:val="000000"/>
          <w:sz w:val="28"/>
          <w:szCs w:val="28"/>
          <w:vertAlign w:val="baseline"/>
          <w:lang w:val="en-US" w:eastAsia="zh-CN"/>
        </w:rPr>
        <w:t>, Weixing Shao</w:t>
      </w:r>
      <w:r>
        <w:rPr>
          <w:rFonts w:hint="eastAsia" w:eastAsia="宋体"/>
          <w:color w:val="000000"/>
          <w:sz w:val="28"/>
          <w:szCs w:val="28"/>
          <w:vertAlign w:val="superscript"/>
          <w:lang w:val="en-US" w:eastAsia="zh-CN"/>
        </w:rPr>
        <w:t>1</w:t>
      </w:r>
      <w:r>
        <w:rPr>
          <w:rFonts w:hint="eastAsia" w:eastAsia="宋体"/>
          <w:color w:val="000000"/>
          <w:sz w:val="28"/>
          <w:szCs w:val="28"/>
          <w:vertAlign w:val="baseline"/>
          <w:lang w:val="en-US" w:eastAsia="zh-CN"/>
        </w:rPr>
        <w:t>, Jiaqi Li</w:t>
      </w:r>
      <w:r>
        <w:rPr>
          <w:rFonts w:hint="eastAsia" w:eastAsia="宋体"/>
          <w:color w:val="000000"/>
          <w:sz w:val="28"/>
          <w:szCs w:val="28"/>
          <w:vertAlign w:val="superscript"/>
          <w:lang w:val="en-US" w:eastAsia="zh-CN"/>
        </w:rPr>
        <w:t>1</w:t>
      </w:r>
      <w:r>
        <w:rPr>
          <w:rFonts w:hint="eastAsia" w:eastAsia="宋体"/>
          <w:color w:val="000000"/>
          <w:sz w:val="28"/>
          <w:szCs w:val="28"/>
          <w:vertAlign w:val="baseline"/>
          <w:lang w:val="en-US" w:eastAsia="zh-CN"/>
        </w:rPr>
        <w:t>, Shufang Sun</w:t>
      </w:r>
      <w:r>
        <w:rPr>
          <w:rFonts w:hint="eastAsia" w:eastAsia="宋体"/>
          <w:color w:val="000000"/>
          <w:sz w:val="28"/>
          <w:szCs w:val="28"/>
          <w:vertAlign w:val="superscript"/>
          <w:lang w:val="en-US" w:eastAsia="zh-CN"/>
        </w:rPr>
        <w:t>1</w:t>
      </w:r>
      <w:r>
        <w:rPr>
          <w:rFonts w:hint="eastAsia" w:eastAsia="宋体"/>
          <w:color w:val="000000"/>
          <w:sz w:val="28"/>
          <w:szCs w:val="28"/>
          <w:vertAlign w:val="baseline"/>
          <w:lang w:val="en-US" w:eastAsia="zh-CN"/>
        </w:rPr>
        <w:t>, Haobo Zhang</w:t>
      </w:r>
      <w:r>
        <w:rPr>
          <w:rFonts w:hint="eastAsia" w:eastAsia="宋体"/>
          <w:color w:val="000000"/>
          <w:sz w:val="28"/>
          <w:szCs w:val="28"/>
          <w:vertAlign w:val="superscript"/>
          <w:lang w:val="en-US" w:eastAsia="zh-CN"/>
        </w:rPr>
        <w:t>1</w:t>
      </w:r>
      <w:r>
        <w:rPr>
          <w:rFonts w:hint="eastAsia" w:eastAsia="宋体"/>
          <w:color w:val="000000"/>
          <w:sz w:val="28"/>
          <w:szCs w:val="28"/>
          <w:vertAlign w:val="baseline"/>
          <w:lang w:val="en-US" w:eastAsia="zh-CN"/>
        </w:rPr>
        <w:t>, Xiaoxu Fan</w:t>
      </w:r>
      <w:r>
        <w:rPr>
          <w:rFonts w:hint="eastAsia" w:eastAsia="宋体"/>
          <w:color w:val="000000"/>
          <w:sz w:val="28"/>
          <w:szCs w:val="28"/>
          <w:vertAlign w:val="superscript"/>
          <w:lang w:val="en-US" w:eastAsia="zh-CN"/>
        </w:rPr>
        <w:t>1</w:t>
      </w:r>
    </w:p>
    <w:p>
      <w:pPr>
        <w:rPr>
          <w:color w:val="000000"/>
        </w:rPr>
      </w:pPr>
      <w:r>
        <w:rPr>
          <w:color w:val="000000"/>
        </w:rPr>
        <w:t>*lead presenter</w:t>
      </w:r>
    </w:p>
    <w:p>
      <w:pPr>
        <w:rPr>
          <w:rFonts w:hint="eastAsia" w:eastAsia="宋体"/>
          <w:color w:val="000000"/>
          <w:lang w:eastAsia="zh-CN"/>
        </w:rPr>
      </w:pPr>
      <w:r>
        <w:rPr>
          <w:color w:val="000000"/>
          <w:vertAlign w:val="superscript"/>
        </w:rPr>
        <w:t>1</w:t>
      </w:r>
      <w:r>
        <w:rPr>
          <w:rFonts w:hint="eastAsia" w:eastAsia="宋体"/>
          <w:color w:val="000000"/>
          <w:lang w:val="en-US" w:eastAsia="zh-CN"/>
        </w:rPr>
        <w:t xml:space="preserve"> Email: liumengda@cahec.cn, China Animal Health and Epidemiology Center, China</w:t>
      </w:r>
    </w:p>
    <w:p>
      <w:pPr>
        <w:rPr>
          <w:color w:val="000000"/>
        </w:rPr>
      </w:pPr>
      <w:r>
        <w:rPr>
          <w:color w:val="000000"/>
          <w:vertAlign w:val="superscript"/>
        </w:rPr>
        <w:t>2</w:t>
      </w:r>
      <w:r>
        <w:rPr>
          <w:color w:val="000000"/>
        </w:rPr>
        <w:t xml:space="preserve"> </w:t>
      </w:r>
      <w:r>
        <w:rPr>
          <w:rFonts w:hint="eastAsia" w:eastAsia="宋体"/>
          <w:color w:val="000000"/>
          <w:lang w:val="en-US" w:eastAsia="zh-CN"/>
        </w:rPr>
        <w:t>S</w:t>
      </w:r>
      <w:bookmarkStart w:id="0" w:name="_GoBack"/>
      <w:bookmarkEnd w:id="0"/>
      <w:r>
        <w:rPr>
          <w:rFonts w:hint="eastAsia"/>
          <w:color w:val="000000"/>
        </w:rPr>
        <w:t>handong Agricultural University, China</w:t>
      </w:r>
    </w:p>
    <w:p>
      <w:pPr>
        <w:rPr>
          <w:color w:val="000000"/>
        </w:rPr>
      </w:pPr>
      <w:r>
        <w:rPr>
          <w:color w:val="000000"/>
          <w:vertAlign w:val="superscript"/>
        </w:rPr>
        <w:t>3</w:t>
      </w:r>
      <w:r>
        <w:rPr>
          <w:color w:val="000000"/>
        </w:rPr>
        <w:t xml:space="preserve"> </w:t>
      </w:r>
      <w:r>
        <w:rPr>
          <w:rFonts w:hint="eastAsia"/>
          <w:color w:val="000000"/>
        </w:rPr>
        <w:t>Shandong Center for Animal Disease Prevention and Control, China</w:t>
      </w:r>
    </w:p>
    <w:p>
      <w:pPr>
        <w:rPr>
          <w:color w:val="000000"/>
        </w:rPr>
      </w:pPr>
    </w:p>
    <w:p>
      <w:pPr>
        <w:rPr>
          <w:b/>
          <w:bCs/>
          <w:color w:val="000000"/>
        </w:rPr>
      </w:pPr>
      <w:r>
        <w:rPr>
          <w:b/>
          <w:bCs/>
          <w:color w:val="000000"/>
        </w:rPr>
        <w:t>Abstract:</w:t>
      </w:r>
    </w:p>
    <w:p>
      <w:pPr>
        <w:jc w:val="both"/>
        <w:rPr>
          <w:color w:val="000000"/>
        </w:rPr>
      </w:pPr>
      <w:r>
        <w:rPr>
          <w:b/>
          <w:bCs/>
          <w:color w:val="000000"/>
        </w:rPr>
        <w:t>Background/Objective:</w:t>
      </w:r>
      <w:r>
        <w:rPr>
          <w:color w:val="000000"/>
        </w:rPr>
        <w:t xml:space="preserve"> </w:t>
      </w:r>
      <w:r>
        <w:rPr>
          <w:rFonts w:hint="eastAsia"/>
          <w:color w:val="000000"/>
        </w:rPr>
        <w:t xml:space="preserve">Tuberculosis, caused by Mycobacterium tuberculosis complex (MTBC), remains a global health concern in both human and animals. However, the absence of rapid, accurate, and highly sensitive detection methods to differentiate the major pathogens of MTBC, including M. tuberculosis, M. bovis, and BCG, poses a potential challenge. </w:t>
      </w:r>
    </w:p>
    <w:p>
      <w:pPr>
        <w:jc w:val="both"/>
        <w:rPr>
          <w:color w:val="000000"/>
        </w:rPr>
      </w:pPr>
    </w:p>
    <w:p>
      <w:pPr>
        <w:jc w:val="both"/>
        <w:rPr>
          <w:color w:val="000000"/>
        </w:rPr>
      </w:pPr>
      <w:r>
        <w:rPr>
          <w:b/>
          <w:bCs/>
          <w:color w:val="000000"/>
        </w:rPr>
        <w:t>Methods:</w:t>
      </w:r>
      <w:r>
        <w:rPr>
          <w:color w:val="000000"/>
        </w:rPr>
        <w:t xml:space="preserve"> </w:t>
      </w:r>
      <w:r>
        <w:rPr>
          <w:rFonts w:hint="eastAsia"/>
          <w:color w:val="000000"/>
        </w:rPr>
        <w:t>In this study, we have established a triplex droplet digital polymerase chain reaction (ddPCR) method employing three types of probe fluorophores, with targets M. tuberculosis (targeting CFP-10-ESAT-6 gene of RD1 and Rv0222 genes of RD4), M. bovis (targeting CFP-10-ESAT-6 gene of RD1), and BCG (targeting Rv3871 and Rv3879c genes of ΔRD1), respectively.</w:t>
      </w:r>
    </w:p>
    <w:p>
      <w:pPr>
        <w:jc w:val="both"/>
        <w:rPr>
          <w:color w:val="000000"/>
        </w:rPr>
      </w:pPr>
    </w:p>
    <w:p>
      <w:pPr>
        <w:jc w:val="both"/>
        <w:rPr>
          <w:color w:val="000000"/>
        </w:rPr>
      </w:pPr>
      <w:r>
        <w:rPr>
          <w:b/>
          <w:bCs/>
          <w:color w:val="000000"/>
        </w:rPr>
        <w:t>Results:</w:t>
      </w:r>
      <w:r>
        <w:rPr>
          <w:rFonts w:hint="eastAsia" w:eastAsia="宋体"/>
          <w:b/>
          <w:bCs/>
          <w:color w:val="000000"/>
          <w:lang w:val="en-US" w:eastAsia="zh-CN"/>
        </w:rPr>
        <w:t xml:space="preserve"> </w:t>
      </w:r>
      <w:r>
        <w:rPr>
          <w:rFonts w:hint="eastAsia"/>
          <w:color w:val="000000"/>
        </w:rPr>
        <w:t>Based on optimization of annealing temperature, sensitivity and repeatability, this method demonstrates a lower limit of detection (LOD) as 3.08 copies/reaction for M. tuberculosis, 4.47 copies/reaction for M. bovis and 3.59 copies/reaction for BCG, without cross-reaction to Mannheimia haemolytica, Mycoplasma bovis, Haemophilus parasuis, Escherichia coli, Pasteurella multocida, Ochrobactrum anthropi, Salmonella choleraesuis, Brucella melitensis, and Staphylococcus aureus, and showed repeatability with coefficients of variation (CV) lower than 10%. The method exhibits strong milk sample tolerance, the LOD of detecting in spike milk was 5×103 CFU/mL, which sensitivity is ten times higher than the triplex qPCR. 60 clinical DNA samples, including 20 milk, 20 tissue and 20 swab samples,  were tested by the triplex ddPCR method and triplex qPCR. The triplex ddPCR presented a higher sensitivity (11.67%, 7/60) than that of the triplex qPCR method (8.33%, 5/60). The positive rates of M. tuberculosis, M. bovis, and BCG were 1.67%, 10% and 0% by triplex ddPCR, and 1.67%, 6.67% and 0% by triplex qPCR, with coincidence rates of 100%, 96.7%, and 100%, respectively.</w:t>
      </w:r>
    </w:p>
    <w:p>
      <w:pPr>
        <w:jc w:val="both"/>
        <w:rPr>
          <w:color w:val="000000"/>
        </w:rPr>
      </w:pPr>
    </w:p>
    <w:p>
      <w:pPr>
        <w:jc w:val="both"/>
        <w:rPr>
          <w:rFonts w:hint="eastAsia"/>
          <w:color w:val="000000"/>
        </w:rPr>
      </w:pPr>
      <w:r>
        <w:rPr>
          <w:b/>
          <w:bCs/>
          <w:color w:val="000000"/>
        </w:rPr>
        <w:t>Conclusion:</w:t>
      </w:r>
      <w:r>
        <w:rPr>
          <w:color w:val="000000"/>
        </w:rPr>
        <w:t xml:space="preserve"> </w:t>
      </w:r>
      <w:r>
        <w:rPr>
          <w:rFonts w:hint="eastAsia"/>
          <w:color w:val="000000"/>
        </w:rPr>
        <w:t>Our data demonstrate that the established triplex ddPCR is a sensitive, specific and rapid method for differentiation and identification of M. tuberculosis, M. bovis, and BCG.</w:t>
      </w:r>
    </w:p>
    <w:p>
      <w:pPr>
        <w:jc w:val="both"/>
        <w:rPr>
          <w:rFonts w:hint="eastAsia"/>
          <w:color w:val="000000"/>
        </w:rPr>
      </w:pPr>
    </w:p>
    <w:p>
      <w:pPr>
        <w:jc w:val="both"/>
        <w:rPr>
          <w:color w:val="000000"/>
        </w:rPr>
      </w:pPr>
      <w:r>
        <w:rPr>
          <w:b/>
          <w:bCs/>
          <w:color w:val="000000"/>
        </w:rPr>
        <w:t>Keywords:</w:t>
      </w:r>
      <w:r>
        <w:rPr>
          <w:color w:val="000000"/>
        </w:rPr>
        <w:t xml:space="preserve"> </w:t>
      </w:r>
      <w:r>
        <w:rPr>
          <w:rFonts w:hint="eastAsia"/>
          <w:color w:val="000000"/>
        </w:rPr>
        <w:t>Molecular diagnosis, multiplex droplet digital PCR, tuberculosis, M. tuberculosis, M. bovis, BCG.</w:t>
      </w:r>
    </w:p>
    <w:sectPr>
      <w:pgSz w:w="11909" w:h="16834"/>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Wingdings 2">
    <w:panose1 w:val="05020102010507070707"/>
    <w:charset w:val="02"/>
    <w:family w:val="roman"/>
    <w:pitch w:val="default"/>
    <w:sig w:usb0="00000000" w:usb1="00000000" w:usb2="00000000" w:usb3="00000000" w:csb0="8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9E"/>
    <w:rsid w:val="00275FCC"/>
    <w:rsid w:val="00380081"/>
    <w:rsid w:val="003E7C21"/>
    <w:rsid w:val="004A3688"/>
    <w:rsid w:val="0054438F"/>
    <w:rsid w:val="0057539E"/>
    <w:rsid w:val="00687CC2"/>
    <w:rsid w:val="007F6889"/>
    <w:rsid w:val="00857999"/>
    <w:rsid w:val="00A8666D"/>
    <w:rsid w:val="00DB5C59"/>
    <w:rsid w:val="00F96649"/>
    <w:rsid w:val="78B7226E"/>
    <w:rsid w:val="79AFDB8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color w:val="000000"/>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itle"/>
    <w:basedOn w:val="1"/>
    <w:qFormat/>
    <w:uiPriority w:val="0"/>
    <w:pPr>
      <w:jc w:val="center"/>
    </w:pPr>
    <w:rPr>
      <w:b/>
      <w:sz w:val="28"/>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Copernicus Gesellschaft e.V.</Company>
  <Pages>1</Pages>
  <Words>172</Words>
  <Characters>981</Characters>
  <Lines>8</Lines>
  <Paragraphs>2</Paragraphs>
  <TotalTime>0</TotalTime>
  <ScaleCrop>false</ScaleCrop>
  <LinksUpToDate>false</LinksUpToDate>
  <CharactersWithSpaces>1151</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2024-01-05T18:35:00Z</dcterms:created>
  <dc:creator>Sergey Malugin</dc:creator>
  <dc:description>(c) Copernicus Gesellschaft e.V. 2004</dc:description>
  <cp:lastModifiedBy>刘蒙达</cp:lastModifiedBy>
  <dcterms:modified xsi:type="dcterms:W3CDTF">2024-05-15T20:05:59Z</dcterms:modified>
  <dc:title>Abstract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23A18A966978CA3B0EA5446692DE5E11_42</vt:lpwstr>
  </property>
</Properties>
</file>