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Title"/>
        <w:spacing w:line="276" w:lineRule="auto"/>
        <w:jc w:val="left"/>
      </w:pPr>
      <w:r>
        <w:t>I prefer</w:t>
      </w:r>
      <w:r w:rsidR="00687CC2">
        <w:t xml:space="preserve">: </w:t>
      </w:r>
    </w:p>
    <w:p w14:paraId="240824C5" w14:textId="5E7380A0" w:rsidR="00275FCC" w:rsidRDefault="00275FCC" w:rsidP="00275FCC">
      <w:pPr>
        <w:pStyle w:val="Title"/>
        <w:spacing w:line="276" w:lineRule="auto"/>
        <w:jc w:val="left"/>
      </w:pPr>
      <w:r>
        <w:tab/>
      </w:r>
      <w:r>
        <w:sym w:font="Wingdings 2" w:char="F0A3"/>
      </w:r>
      <w:r>
        <w:t xml:space="preserve"> </w:t>
      </w:r>
      <w:r w:rsidR="00687CC2">
        <w:t xml:space="preserve">ORAL </w:t>
      </w:r>
      <w:r>
        <w:t>presentation</w:t>
      </w:r>
    </w:p>
    <w:p w14:paraId="0B4F13E4" w14:textId="63362FFE" w:rsidR="0057539E" w:rsidRPr="00E625C2" w:rsidRDefault="00275FCC" w:rsidP="00275FCC">
      <w:pPr>
        <w:pStyle w:val="Title"/>
        <w:pBdr>
          <w:bottom w:val="single" w:sz="6" w:space="1" w:color="auto"/>
        </w:pBdr>
        <w:spacing w:line="276" w:lineRule="auto"/>
        <w:jc w:val="left"/>
        <w:rPr>
          <w:rFonts w:cstheme="minorBidi"/>
          <w:cs/>
          <w:lang w:bidi="th-TH"/>
        </w:rPr>
      </w:pPr>
      <w:r>
        <w:tab/>
      </w:r>
      <w:r w:rsidR="00E625C2">
        <w:sym w:font="Wingdings" w:char="F0FE"/>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61523A6F" w14:textId="305474E7" w:rsidR="0057539E" w:rsidRDefault="007043A5" w:rsidP="00275FCC">
      <w:pPr>
        <w:jc w:val="center"/>
        <w:rPr>
          <w:rFonts w:ascii="Arial" w:hAnsi="Arial" w:cs="Arial"/>
          <w:b/>
          <w:color w:val="000000"/>
          <w:sz w:val="28"/>
          <w:szCs w:val="28"/>
        </w:rPr>
      </w:pPr>
      <w:r w:rsidRPr="007043A5">
        <w:rPr>
          <w:rFonts w:ascii="Arial" w:hAnsi="Arial" w:cs="Arial"/>
          <w:b/>
          <w:color w:val="000000"/>
          <w:sz w:val="28"/>
          <w:szCs w:val="28"/>
        </w:rPr>
        <w:t>Unveiling Antimicrobial Resistance Genes in the Swine Cecal Microbiome Utilizing Shotgun Metagenomic Approach</w:t>
      </w:r>
    </w:p>
    <w:p w14:paraId="2A98A458" w14:textId="77777777" w:rsidR="00687CC2" w:rsidRDefault="00687CC2">
      <w:pPr>
        <w:rPr>
          <w:rFonts w:ascii="Arial" w:hAnsi="Arial" w:cs="Arial"/>
          <w:b/>
          <w:color w:val="000000"/>
          <w:sz w:val="28"/>
          <w:szCs w:val="28"/>
        </w:rPr>
      </w:pPr>
    </w:p>
    <w:p w14:paraId="2FE7A81F" w14:textId="61989115" w:rsidR="00351C3F" w:rsidRPr="00EE60F2" w:rsidRDefault="00351C3F">
      <w:pPr>
        <w:rPr>
          <w:rFonts w:cstheme="minorBidi"/>
          <w:color w:val="000000"/>
          <w:szCs w:val="30"/>
          <w:lang w:bidi="th-TH"/>
        </w:rPr>
      </w:pPr>
      <w:proofErr w:type="spellStart"/>
      <w:r w:rsidRPr="00351C3F">
        <w:rPr>
          <w:color w:val="000000"/>
          <w:sz w:val="28"/>
          <w:szCs w:val="28"/>
        </w:rPr>
        <w:t>Thanaporn</w:t>
      </w:r>
      <w:proofErr w:type="spellEnd"/>
      <w:r w:rsidRPr="00351C3F">
        <w:rPr>
          <w:color w:val="000000"/>
          <w:sz w:val="28"/>
          <w:szCs w:val="28"/>
        </w:rPr>
        <w:t xml:space="preserve"> Eiamsam-ang</w:t>
      </w:r>
      <w:r w:rsidR="003B4EFC" w:rsidRPr="00351C3F">
        <w:rPr>
          <w:color w:val="000000"/>
          <w:sz w:val="28"/>
          <w:szCs w:val="28"/>
          <w:vertAlign w:val="superscript"/>
        </w:rPr>
        <w:t>1, *</w:t>
      </w:r>
      <w:r w:rsidRPr="00EE60F2">
        <w:rPr>
          <w:color w:val="000000"/>
          <w:sz w:val="28"/>
          <w:szCs w:val="28"/>
        </w:rPr>
        <w:t xml:space="preserve">, </w:t>
      </w:r>
      <w:r w:rsidRPr="00351C3F">
        <w:rPr>
          <w:color w:val="000000"/>
          <w:sz w:val="28"/>
          <w:szCs w:val="28"/>
        </w:rPr>
        <w:t>Ben Pascoe</w:t>
      </w:r>
      <w:r w:rsidRPr="00351C3F">
        <w:rPr>
          <w:color w:val="000000"/>
          <w:sz w:val="28"/>
          <w:szCs w:val="28"/>
          <w:vertAlign w:val="superscript"/>
        </w:rPr>
        <w:t>2</w:t>
      </w:r>
      <w:r w:rsidRPr="00351C3F">
        <w:rPr>
          <w:color w:val="000000"/>
          <w:sz w:val="28"/>
          <w:szCs w:val="28"/>
        </w:rPr>
        <w:t xml:space="preserve">, </w:t>
      </w:r>
      <w:proofErr w:type="spellStart"/>
      <w:r w:rsidRPr="00351C3F">
        <w:rPr>
          <w:color w:val="000000"/>
          <w:sz w:val="28"/>
          <w:szCs w:val="28"/>
        </w:rPr>
        <w:t>Pakpoom</w:t>
      </w:r>
      <w:proofErr w:type="spellEnd"/>
      <w:r w:rsidRPr="00351C3F">
        <w:rPr>
          <w:color w:val="000000"/>
          <w:sz w:val="28"/>
          <w:szCs w:val="28"/>
        </w:rPr>
        <w:t xml:space="preserve"> Tadee</w:t>
      </w:r>
      <w:r w:rsidRPr="00351C3F">
        <w:rPr>
          <w:color w:val="000000"/>
          <w:sz w:val="28"/>
          <w:szCs w:val="28"/>
          <w:vertAlign w:val="superscript"/>
        </w:rPr>
        <w:t>1</w:t>
      </w:r>
      <w:r w:rsidRPr="00351C3F">
        <w:rPr>
          <w:color w:val="000000"/>
          <w:sz w:val="28"/>
          <w:szCs w:val="28"/>
        </w:rPr>
        <w:t xml:space="preserve">, </w:t>
      </w:r>
      <w:proofErr w:type="spellStart"/>
      <w:r w:rsidRPr="00351C3F">
        <w:rPr>
          <w:color w:val="000000"/>
          <w:sz w:val="28"/>
          <w:szCs w:val="28"/>
        </w:rPr>
        <w:t>Phongsakorn</w:t>
      </w:r>
      <w:proofErr w:type="spellEnd"/>
      <w:r w:rsidRPr="00351C3F">
        <w:rPr>
          <w:color w:val="000000"/>
          <w:sz w:val="28"/>
          <w:szCs w:val="28"/>
        </w:rPr>
        <w:t xml:space="preserve"> Chuammitri</w:t>
      </w:r>
      <w:r w:rsidRPr="00351C3F">
        <w:rPr>
          <w:color w:val="000000"/>
          <w:sz w:val="28"/>
          <w:szCs w:val="28"/>
          <w:vertAlign w:val="superscript"/>
        </w:rPr>
        <w:t>1</w:t>
      </w:r>
      <w:r w:rsidRPr="00351C3F">
        <w:rPr>
          <w:color w:val="000000"/>
          <w:sz w:val="28"/>
          <w:szCs w:val="28"/>
        </w:rPr>
        <w:t xml:space="preserve">, </w:t>
      </w:r>
      <w:proofErr w:type="spellStart"/>
      <w:r w:rsidRPr="00351C3F">
        <w:rPr>
          <w:color w:val="000000"/>
          <w:sz w:val="28"/>
          <w:szCs w:val="28"/>
        </w:rPr>
        <w:t>Nattinee</w:t>
      </w:r>
      <w:proofErr w:type="spellEnd"/>
      <w:r w:rsidRPr="00351C3F">
        <w:rPr>
          <w:color w:val="000000"/>
          <w:sz w:val="28"/>
          <w:szCs w:val="28"/>
        </w:rPr>
        <w:t xml:space="preserve"> Kittiwan</w:t>
      </w:r>
      <w:r w:rsidRPr="00351C3F">
        <w:rPr>
          <w:color w:val="000000"/>
          <w:sz w:val="28"/>
          <w:szCs w:val="28"/>
          <w:vertAlign w:val="superscript"/>
        </w:rPr>
        <w:t>3</w:t>
      </w:r>
      <w:r w:rsidRPr="00351C3F">
        <w:rPr>
          <w:color w:val="000000"/>
          <w:sz w:val="28"/>
          <w:szCs w:val="28"/>
        </w:rPr>
        <w:t xml:space="preserve">, </w:t>
      </w:r>
      <w:proofErr w:type="spellStart"/>
      <w:r w:rsidRPr="00351C3F">
        <w:rPr>
          <w:color w:val="000000"/>
          <w:sz w:val="28"/>
          <w:szCs w:val="28"/>
        </w:rPr>
        <w:t>Prapas</w:t>
      </w:r>
      <w:proofErr w:type="spellEnd"/>
      <w:r w:rsidRPr="00351C3F">
        <w:rPr>
          <w:color w:val="000000"/>
          <w:sz w:val="28"/>
          <w:szCs w:val="28"/>
        </w:rPr>
        <w:t xml:space="preserve"> Patchanee</w:t>
      </w:r>
      <w:r w:rsidRPr="00351C3F">
        <w:rPr>
          <w:color w:val="000000"/>
          <w:sz w:val="28"/>
          <w:szCs w:val="28"/>
          <w:vertAlign w:val="superscript"/>
        </w:rPr>
        <w:t>1</w:t>
      </w:r>
    </w:p>
    <w:p w14:paraId="37A4B945" w14:textId="77777777" w:rsidR="00EE60F2" w:rsidRDefault="00EE60F2">
      <w:pPr>
        <w:rPr>
          <w:color w:val="000000"/>
        </w:rPr>
      </w:pPr>
    </w:p>
    <w:p w14:paraId="4D519D7C" w14:textId="43266330" w:rsidR="00687CC2" w:rsidRPr="00687CC2" w:rsidRDefault="00687CC2">
      <w:pPr>
        <w:rPr>
          <w:color w:val="000000"/>
        </w:rPr>
      </w:pPr>
      <w:r w:rsidRPr="00687CC2">
        <w:rPr>
          <w:color w:val="000000"/>
        </w:rPr>
        <w:t>*</w:t>
      </w:r>
      <w:r w:rsidR="003B4EFC" w:rsidRPr="00687CC2">
        <w:rPr>
          <w:color w:val="000000"/>
        </w:rPr>
        <w:t>Lead</w:t>
      </w:r>
      <w:r w:rsidRPr="00687CC2">
        <w:rPr>
          <w:color w:val="000000"/>
        </w:rPr>
        <w:t xml:space="preserve"> presenter</w:t>
      </w:r>
    </w:p>
    <w:p w14:paraId="13FF2D28" w14:textId="77777777" w:rsidR="00EE60F2" w:rsidRDefault="00687CC2">
      <w:pPr>
        <w:rPr>
          <w:color w:val="000000"/>
          <w:vertAlign w:val="superscript"/>
        </w:rPr>
      </w:pPr>
      <w:r w:rsidRPr="00687CC2">
        <w:rPr>
          <w:color w:val="000000"/>
          <w:vertAlign w:val="superscript"/>
        </w:rPr>
        <w:t>1</w:t>
      </w:r>
      <w:r w:rsidR="00EE60F2" w:rsidRPr="00EE60F2">
        <w:t xml:space="preserve"> </w:t>
      </w:r>
      <w:r w:rsidR="00EE60F2" w:rsidRPr="00EE60F2">
        <w:rPr>
          <w:color w:val="000000"/>
        </w:rPr>
        <w:t xml:space="preserve">Faculty of Veterinary Medicine, Chiang Mai University, Muang, Chiang Mai, 50100, Thailand </w:t>
      </w:r>
    </w:p>
    <w:p w14:paraId="3C4C4A36" w14:textId="7414A982" w:rsidR="00687CC2" w:rsidRDefault="00687CC2">
      <w:pPr>
        <w:rPr>
          <w:color w:val="000000"/>
        </w:rPr>
      </w:pPr>
      <w:r w:rsidRPr="00687CC2">
        <w:rPr>
          <w:color w:val="000000"/>
          <w:vertAlign w:val="superscript"/>
        </w:rPr>
        <w:t>2</w:t>
      </w:r>
      <w:r w:rsidRPr="00687CC2">
        <w:rPr>
          <w:color w:val="000000"/>
        </w:rPr>
        <w:t xml:space="preserve"> </w:t>
      </w:r>
      <w:proofErr w:type="spellStart"/>
      <w:r w:rsidR="00EE60F2" w:rsidRPr="00EE60F2">
        <w:rPr>
          <w:color w:val="000000"/>
        </w:rPr>
        <w:t>Ineos</w:t>
      </w:r>
      <w:proofErr w:type="spellEnd"/>
      <w:r w:rsidR="00EE60F2" w:rsidRPr="00EE60F2">
        <w:rPr>
          <w:color w:val="000000"/>
        </w:rPr>
        <w:t xml:space="preserve"> Oxford Institute of Antimicrobial Research, Department of Biology, University of Oxford, South Parks Road, Oxford, United Kingdom</w:t>
      </w:r>
    </w:p>
    <w:p w14:paraId="18C0F8B7" w14:textId="54A22B5E" w:rsidR="00275FCC" w:rsidRDefault="00275FCC" w:rsidP="00275FCC">
      <w:pPr>
        <w:rPr>
          <w:color w:val="000000"/>
        </w:rPr>
      </w:pPr>
      <w:r>
        <w:rPr>
          <w:color w:val="000000"/>
          <w:vertAlign w:val="superscript"/>
        </w:rPr>
        <w:t>3</w:t>
      </w:r>
      <w:r w:rsidRPr="00687CC2">
        <w:rPr>
          <w:color w:val="000000"/>
        </w:rPr>
        <w:t xml:space="preserve"> </w:t>
      </w:r>
      <w:r w:rsidR="00EE60F2" w:rsidRPr="00EE60F2">
        <w:rPr>
          <w:color w:val="000000"/>
        </w:rPr>
        <w:t>Veterinary Research and Development Center (Upper Northern Region), Hang Chat, Lampang, 52190, Thailand</w:t>
      </w:r>
    </w:p>
    <w:p w14:paraId="4FA219B4" w14:textId="77777777" w:rsidR="00275FCC" w:rsidRDefault="00275FCC">
      <w:pPr>
        <w:rPr>
          <w:color w:val="000000"/>
        </w:rPr>
      </w:pPr>
    </w:p>
    <w:p w14:paraId="527604F2" w14:textId="77777777" w:rsidR="00A70B4D" w:rsidRDefault="00A70B4D">
      <w:pPr>
        <w:rPr>
          <w:b/>
          <w:bCs/>
          <w:color w:val="000000"/>
        </w:rPr>
      </w:pPr>
    </w:p>
    <w:p w14:paraId="55C7C631" w14:textId="12F81623"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09DED155" w:rsidR="00275FCC" w:rsidRDefault="00275FCC" w:rsidP="0054438F">
      <w:pPr>
        <w:jc w:val="both"/>
        <w:rPr>
          <w:color w:val="000000"/>
        </w:rPr>
      </w:pPr>
      <w:r w:rsidRPr="00275FCC">
        <w:rPr>
          <w:b/>
          <w:bCs/>
          <w:color w:val="000000"/>
        </w:rPr>
        <w:t>Background/Objective:</w:t>
      </w:r>
      <w:r w:rsidRPr="00275FCC">
        <w:rPr>
          <w:color w:val="000000"/>
        </w:rPr>
        <w:t xml:space="preserve"> </w:t>
      </w:r>
    </w:p>
    <w:p w14:paraId="23F62254" w14:textId="2B9400CD" w:rsidR="00BC6E22" w:rsidRDefault="00BC6E22" w:rsidP="0054438F">
      <w:pPr>
        <w:jc w:val="both"/>
        <w:rPr>
          <w:color w:val="000000"/>
        </w:rPr>
      </w:pPr>
      <w:r w:rsidRPr="00BC6E22">
        <w:rPr>
          <w:color w:val="000000"/>
        </w:rPr>
        <w:t xml:space="preserve">The </w:t>
      </w:r>
      <w:r w:rsidR="00B7066E">
        <w:rPr>
          <w:color w:val="000000"/>
        </w:rPr>
        <w:t>n</w:t>
      </w:r>
      <w:r w:rsidRPr="00BC6E22">
        <w:rPr>
          <w:color w:val="000000"/>
        </w:rPr>
        <w:t>orthern region of Thailand constitutes a pivotal area for swine</w:t>
      </w:r>
      <w:r w:rsidR="00215FE4">
        <w:rPr>
          <w:color w:val="000000"/>
        </w:rPr>
        <w:t xml:space="preserve"> production</w:t>
      </w:r>
      <w:r w:rsidR="005C5511" w:rsidRPr="005C5511">
        <w:rPr>
          <w:color w:val="000000"/>
        </w:rPr>
        <w:t>, facing challenges posed by antimicrobial resistance genes (ARGs).</w:t>
      </w:r>
      <w:r w:rsidRPr="00BC6E22">
        <w:rPr>
          <w:color w:val="000000"/>
        </w:rPr>
        <w:t xml:space="preserve"> </w:t>
      </w:r>
      <w:r w:rsidR="005C5511" w:rsidRPr="005C5511">
        <w:rPr>
          <w:color w:val="000000"/>
        </w:rPr>
        <w:t xml:space="preserve">In this study, swine cecal samples from commercial farms were collected to evaluate </w:t>
      </w:r>
      <w:r w:rsidR="005C5511">
        <w:rPr>
          <w:color w:val="000000"/>
        </w:rPr>
        <w:t xml:space="preserve">the </w:t>
      </w:r>
      <w:r w:rsidR="005C5511" w:rsidRPr="005C5511">
        <w:rPr>
          <w:color w:val="000000"/>
        </w:rPr>
        <w:t xml:space="preserve">ARGs using shotgun metagenomic </w:t>
      </w:r>
      <w:r w:rsidR="00215FE4" w:rsidRPr="00215FE4">
        <w:rPr>
          <w:color w:val="000000"/>
        </w:rPr>
        <w:t>analyses</w:t>
      </w:r>
      <w:r w:rsidR="005C5511" w:rsidRPr="005C5511">
        <w:rPr>
          <w:color w:val="000000"/>
        </w:rPr>
        <w:t xml:space="preserve">, which offers a more comprehensive solution than conventional methods. </w:t>
      </w:r>
      <w:r w:rsidR="00D86286" w:rsidRPr="00D86286">
        <w:rPr>
          <w:color w:val="000000"/>
        </w:rPr>
        <w:t>This approach emphasizes the role of swine as a reservoir for ARGs and highlights its public health implications.</w:t>
      </w:r>
    </w:p>
    <w:p w14:paraId="4896BF5E" w14:textId="77777777" w:rsidR="005C5511" w:rsidRDefault="005C5511" w:rsidP="0054438F">
      <w:pPr>
        <w:jc w:val="both"/>
        <w:rPr>
          <w:color w:val="000000"/>
        </w:rPr>
      </w:pPr>
    </w:p>
    <w:p w14:paraId="0BF0C76A" w14:textId="77777777" w:rsidR="000711D7" w:rsidRDefault="00275FCC" w:rsidP="0054438F">
      <w:pPr>
        <w:jc w:val="both"/>
        <w:rPr>
          <w:color w:val="000000"/>
        </w:rPr>
      </w:pPr>
      <w:r w:rsidRPr="00275FCC">
        <w:rPr>
          <w:b/>
          <w:bCs/>
          <w:color w:val="000000"/>
        </w:rPr>
        <w:t>Methods:</w:t>
      </w:r>
      <w:r w:rsidRPr="00275FCC">
        <w:rPr>
          <w:color w:val="000000"/>
        </w:rPr>
        <w:t xml:space="preserve"> </w:t>
      </w:r>
    </w:p>
    <w:p w14:paraId="1DF350FF" w14:textId="0FCFE56F" w:rsidR="0054438F" w:rsidRDefault="00A70B4D" w:rsidP="0054438F">
      <w:pPr>
        <w:jc w:val="both"/>
        <w:rPr>
          <w:color w:val="000000"/>
        </w:rPr>
      </w:pPr>
      <w:r w:rsidRPr="00A70B4D">
        <w:rPr>
          <w:color w:val="000000"/>
        </w:rPr>
        <w:t xml:space="preserve">Five swine cecal samples were collected from commercial farms </w:t>
      </w:r>
      <w:r w:rsidR="00215FE4" w:rsidRPr="00215FE4">
        <w:rPr>
          <w:color w:val="000000"/>
        </w:rPr>
        <w:t>located in</w:t>
      </w:r>
      <w:r w:rsidR="00215FE4">
        <w:rPr>
          <w:color w:val="000000"/>
        </w:rPr>
        <w:t xml:space="preserve"> </w:t>
      </w:r>
      <w:r w:rsidRPr="00A70B4D">
        <w:rPr>
          <w:color w:val="000000"/>
        </w:rPr>
        <w:t xml:space="preserve">Lampang, Chiang Mai, Chiang Rai, and Uttaradit </w:t>
      </w:r>
      <w:r w:rsidR="005C5511">
        <w:rPr>
          <w:color w:val="000000"/>
        </w:rPr>
        <w:t>Provinces</w:t>
      </w:r>
      <w:r w:rsidRPr="00A70B4D">
        <w:rPr>
          <w:color w:val="000000"/>
        </w:rPr>
        <w:t xml:space="preserve">. </w:t>
      </w:r>
      <w:r w:rsidR="00215FE4" w:rsidRPr="00215FE4">
        <w:rPr>
          <w:color w:val="000000"/>
        </w:rPr>
        <w:t>Tissue and contents were obtained through intestinal scraping, followed by genomic DNA extraction.</w:t>
      </w:r>
      <w:r w:rsidR="00215FE4">
        <w:rPr>
          <w:color w:val="000000"/>
        </w:rPr>
        <w:t xml:space="preserve"> </w:t>
      </w:r>
      <w:r w:rsidRPr="00A70B4D">
        <w:rPr>
          <w:color w:val="000000"/>
        </w:rPr>
        <w:t xml:space="preserve">Shotgun metagenomic analyses were conducted on the Illumina platform. The </w:t>
      </w:r>
      <w:r w:rsidR="00215FE4" w:rsidRPr="005C5511">
        <w:rPr>
          <w:color w:val="000000"/>
        </w:rPr>
        <w:t>ARGs</w:t>
      </w:r>
      <w:r w:rsidR="00215FE4" w:rsidRPr="00A70B4D">
        <w:rPr>
          <w:color w:val="000000"/>
        </w:rPr>
        <w:t xml:space="preserve"> </w:t>
      </w:r>
      <w:r w:rsidRPr="00A70B4D">
        <w:rPr>
          <w:color w:val="000000"/>
        </w:rPr>
        <w:t xml:space="preserve">were identified using </w:t>
      </w:r>
      <w:proofErr w:type="spellStart"/>
      <w:r w:rsidRPr="00A70B4D">
        <w:rPr>
          <w:color w:val="000000"/>
        </w:rPr>
        <w:t>ABRicate</w:t>
      </w:r>
      <w:proofErr w:type="spellEnd"/>
      <w:r w:rsidRPr="00A70B4D">
        <w:rPr>
          <w:color w:val="000000"/>
        </w:rPr>
        <w:t xml:space="preserve"> against the CARD database. </w:t>
      </w:r>
      <w:r w:rsidR="00215FE4">
        <w:rPr>
          <w:color w:val="000000"/>
        </w:rPr>
        <w:t>Visualization results</w:t>
      </w:r>
      <w:r w:rsidRPr="00A70B4D">
        <w:rPr>
          <w:color w:val="000000"/>
        </w:rPr>
        <w:t xml:space="preserve"> utilized R packages </w:t>
      </w:r>
      <w:proofErr w:type="spellStart"/>
      <w:r w:rsidR="007834B8" w:rsidRPr="00A70B4D">
        <w:rPr>
          <w:color w:val="000000"/>
        </w:rPr>
        <w:t>heatmaply</w:t>
      </w:r>
      <w:proofErr w:type="spellEnd"/>
      <w:r w:rsidR="007834B8" w:rsidRPr="00A70B4D">
        <w:rPr>
          <w:color w:val="000000"/>
        </w:rPr>
        <w:t xml:space="preserve"> </w:t>
      </w:r>
      <w:r w:rsidRPr="00A70B4D">
        <w:rPr>
          <w:color w:val="000000"/>
        </w:rPr>
        <w:t xml:space="preserve">and </w:t>
      </w:r>
      <w:r w:rsidR="007834B8" w:rsidRPr="00A70B4D">
        <w:rPr>
          <w:color w:val="000000"/>
        </w:rPr>
        <w:t>ggplot2</w:t>
      </w:r>
      <w:r w:rsidRPr="00A70B4D">
        <w:rPr>
          <w:color w:val="000000"/>
        </w:rPr>
        <w:t>, presenting data as binary heatmap and Venn diagram, respectively.</w:t>
      </w:r>
    </w:p>
    <w:p w14:paraId="1A771BE8" w14:textId="77777777" w:rsidR="0054438F" w:rsidRDefault="0054438F" w:rsidP="0054438F">
      <w:pPr>
        <w:jc w:val="both"/>
        <w:rPr>
          <w:color w:val="000000"/>
        </w:rPr>
      </w:pPr>
    </w:p>
    <w:p w14:paraId="7CBB3897" w14:textId="77777777" w:rsidR="000711D7" w:rsidRDefault="00275FCC" w:rsidP="0054438F">
      <w:pPr>
        <w:jc w:val="both"/>
        <w:rPr>
          <w:color w:val="000000"/>
        </w:rPr>
      </w:pPr>
      <w:r w:rsidRPr="00275FCC">
        <w:rPr>
          <w:b/>
          <w:bCs/>
          <w:color w:val="000000"/>
        </w:rPr>
        <w:t>Results:</w:t>
      </w:r>
      <w:r w:rsidRPr="00275FCC">
        <w:rPr>
          <w:color w:val="000000"/>
        </w:rPr>
        <w:t xml:space="preserve"> </w:t>
      </w:r>
    </w:p>
    <w:p w14:paraId="1788DCCB" w14:textId="69CA29B4" w:rsidR="00836A53" w:rsidRDefault="00215FE4" w:rsidP="00836A53">
      <w:pPr>
        <w:jc w:val="both"/>
        <w:rPr>
          <w:b/>
          <w:bCs/>
          <w:color w:val="000000"/>
        </w:rPr>
      </w:pPr>
      <w:r w:rsidRPr="00215FE4">
        <w:rPr>
          <w:color w:val="000000"/>
        </w:rPr>
        <w:t>The study identified tetracycline resistance as the most prevalent, followed by aminoglycoside and nucleoside resistance. Interestingly, only one gene conferr</w:t>
      </w:r>
      <w:r w:rsidR="00F71B89">
        <w:rPr>
          <w:color w:val="000000"/>
        </w:rPr>
        <w:t>ing</w:t>
      </w:r>
      <w:r w:rsidRPr="00215FE4">
        <w:rPr>
          <w:color w:val="000000"/>
        </w:rPr>
        <w:t xml:space="preserve"> resistance to beta-lactam and </w:t>
      </w:r>
      <w:proofErr w:type="spellStart"/>
      <w:r w:rsidRPr="00215FE4">
        <w:rPr>
          <w:color w:val="000000"/>
        </w:rPr>
        <w:t>lincosamide</w:t>
      </w:r>
      <w:proofErr w:type="spellEnd"/>
      <w:r w:rsidRPr="00215FE4">
        <w:rPr>
          <w:color w:val="000000"/>
        </w:rPr>
        <w:t xml:space="preserve"> </w:t>
      </w:r>
      <w:r w:rsidR="00F71B89">
        <w:rPr>
          <w:color w:val="000000"/>
        </w:rPr>
        <w:t xml:space="preserve">was found </w:t>
      </w:r>
      <w:r w:rsidRPr="00215FE4">
        <w:rPr>
          <w:color w:val="000000"/>
        </w:rPr>
        <w:t xml:space="preserve">across all </w:t>
      </w:r>
      <w:r w:rsidR="00601709" w:rsidRPr="00215FE4">
        <w:rPr>
          <w:color w:val="000000"/>
        </w:rPr>
        <w:t>samples</w:t>
      </w:r>
      <w:r w:rsidR="00836A53" w:rsidRPr="00836A53">
        <w:rPr>
          <w:color w:val="000000"/>
        </w:rPr>
        <w:t xml:space="preserve"> </w:t>
      </w:r>
      <w:r w:rsidR="00601709">
        <w:rPr>
          <w:color w:val="000000"/>
        </w:rPr>
        <w:t xml:space="preserve">(Figure 1). </w:t>
      </w:r>
      <w:r w:rsidR="00836A53" w:rsidRPr="00FF6AE3">
        <w:rPr>
          <w:color w:val="000000"/>
        </w:rPr>
        <w:t>Farm E exhibited the highest abundance of ARGs (8</w:t>
      </w:r>
      <w:r w:rsidR="00836A53">
        <w:rPr>
          <w:color w:val="000000"/>
        </w:rPr>
        <w:t xml:space="preserve"> </w:t>
      </w:r>
      <w:r w:rsidR="00836A53" w:rsidRPr="00FF6AE3">
        <w:rPr>
          <w:color w:val="000000"/>
        </w:rPr>
        <w:t>ARGs), followed by Farm A (7</w:t>
      </w:r>
      <w:r w:rsidR="00836A53">
        <w:rPr>
          <w:color w:val="000000"/>
        </w:rPr>
        <w:t xml:space="preserve"> </w:t>
      </w:r>
      <w:r w:rsidR="00836A53" w:rsidRPr="00FF6AE3">
        <w:rPr>
          <w:color w:val="000000"/>
        </w:rPr>
        <w:t>ARGs), and Farm D (6</w:t>
      </w:r>
      <w:r w:rsidR="00836A53">
        <w:rPr>
          <w:color w:val="000000"/>
        </w:rPr>
        <w:t xml:space="preserve"> </w:t>
      </w:r>
      <w:r w:rsidR="00836A53" w:rsidRPr="00FF6AE3">
        <w:rPr>
          <w:color w:val="000000"/>
        </w:rPr>
        <w:t>ARGs). While certain ARGs were unique to each farm, others were shared among them. For instance,</w:t>
      </w:r>
      <w:r w:rsidR="00836A53" w:rsidRPr="00836A53">
        <w:t xml:space="preserve"> </w:t>
      </w:r>
      <w:r w:rsidR="00836A53" w:rsidRPr="00836A53">
        <w:rPr>
          <w:color w:val="000000"/>
        </w:rPr>
        <w:t xml:space="preserve">the </w:t>
      </w:r>
      <w:r w:rsidR="00836A53" w:rsidRPr="00836A53">
        <w:rPr>
          <w:i/>
          <w:iCs/>
          <w:color w:val="000000"/>
        </w:rPr>
        <w:t>SAT-4</w:t>
      </w:r>
      <w:r w:rsidR="00836A53" w:rsidRPr="00836A53">
        <w:rPr>
          <w:color w:val="000000"/>
        </w:rPr>
        <w:t xml:space="preserve"> gene, conferring nucleoside resistance, was present in Farms A, D, and E</w:t>
      </w:r>
      <w:r w:rsidR="00836A53" w:rsidRPr="00FF6AE3">
        <w:rPr>
          <w:color w:val="000000"/>
        </w:rPr>
        <w:t xml:space="preserve">, whereas tetracycline resistance genes, </w:t>
      </w:r>
      <w:proofErr w:type="spellStart"/>
      <w:r w:rsidR="00836A53" w:rsidRPr="00FF6AE3">
        <w:rPr>
          <w:i/>
          <w:iCs/>
          <w:color w:val="000000"/>
        </w:rPr>
        <w:t>tetQ</w:t>
      </w:r>
      <w:proofErr w:type="spellEnd"/>
      <w:r w:rsidR="00836A53" w:rsidRPr="00FF6AE3">
        <w:rPr>
          <w:color w:val="000000"/>
        </w:rPr>
        <w:t xml:space="preserve">, were shared by Farms C and E, and </w:t>
      </w:r>
      <w:proofErr w:type="spellStart"/>
      <w:r w:rsidR="00836A53" w:rsidRPr="00FF6AE3">
        <w:rPr>
          <w:i/>
          <w:iCs/>
          <w:color w:val="000000"/>
        </w:rPr>
        <w:t>tetA</w:t>
      </w:r>
      <w:proofErr w:type="spellEnd"/>
      <w:r w:rsidR="00836A53" w:rsidRPr="00FF6AE3">
        <w:rPr>
          <w:i/>
          <w:iCs/>
          <w:color w:val="000000"/>
        </w:rPr>
        <w:t>(P)</w:t>
      </w:r>
      <w:r w:rsidR="00836A53" w:rsidRPr="00FF6AE3">
        <w:rPr>
          <w:color w:val="000000"/>
        </w:rPr>
        <w:t xml:space="preserve"> was shared by Farms </w:t>
      </w:r>
      <w:r w:rsidR="00D86286">
        <w:rPr>
          <w:color w:val="000000"/>
        </w:rPr>
        <w:t>C</w:t>
      </w:r>
      <w:r w:rsidR="00836A53" w:rsidRPr="00FF6AE3">
        <w:rPr>
          <w:color w:val="000000"/>
        </w:rPr>
        <w:t xml:space="preserve"> and </w:t>
      </w:r>
      <w:r w:rsidR="00D86286">
        <w:rPr>
          <w:color w:val="000000"/>
        </w:rPr>
        <w:t>D</w:t>
      </w:r>
      <w:r w:rsidR="00601709">
        <w:rPr>
          <w:color w:val="000000"/>
        </w:rPr>
        <w:t xml:space="preserve"> (Figure 2).</w:t>
      </w:r>
    </w:p>
    <w:p w14:paraId="0B230566" w14:textId="77777777" w:rsidR="00836A53" w:rsidRDefault="00836A53" w:rsidP="00836A53">
      <w:pPr>
        <w:jc w:val="both"/>
        <w:rPr>
          <w:b/>
          <w:bCs/>
          <w:color w:val="000000"/>
        </w:rPr>
      </w:pPr>
    </w:p>
    <w:p w14:paraId="02A95E2C" w14:textId="77777777" w:rsidR="00836A53" w:rsidRDefault="00836A53">
      <w:pPr>
        <w:rPr>
          <w:b/>
          <w:bCs/>
          <w:color w:val="000000"/>
        </w:rPr>
      </w:pPr>
      <w:r>
        <w:rPr>
          <w:b/>
          <w:bCs/>
          <w:color w:val="000000"/>
        </w:rPr>
        <w:br w:type="page"/>
      </w:r>
    </w:p>
    <w:p w14:paraId="1E048D61" w14:textId="067647B3" w:rsidR="00836A53" w:rsidRDefault="00836A53" w:rsidP="00836A53">
      <w:pPr>
        <w:jc w:val="both"/>
        <w:rPr>
          <w:color w:val="000000"/>
        </w:rPr>
      </w:pPr>
      <w:r w:rsidRPr="00275FCC">
        <w:rPr>
          <w:b/>
          <w:bCs/>
          <w:color w:val="000000"/>
        </w:rPr>
        <w:lastRenderedPageBreak/>
        <w:t>Conclusion:</w:t>
      </w:r>
      <w:r w:rsidRPr="00275FCC">
        <w:rPr>
          <w:color w:val="000000"/>
        </w:rPr>
        <w:t xml:space="preserve"> </w:t>
      </w:r>
    </w:p>
    <w:p w14:paraId="3B6B46A8" w14:textId="2D6BAFB4" w:rsidR="00B73A00" w:rsidRDefault="00620D8A" w:rsidP="00836A53">
      <w:pPr>
        <w:jc w:val="both"/>
        <w:rPr>
          <w:color w:val="000000"/>
        </w:rPr>
      </w:pPr>
      <w:r w:rsidRPr="00620D8A">
        <w:rPr>
          <w:color w:val="000000"/>
        </w:rPr>
        <w:t xml:space="preserve">The prevalence of antimicrobial resistance genes in commercial swine farms is attributed to strong selective pressure caused by improper antimicrobial use. Despite efforts to regulate antimicrobial use, these genes persist within the swine cecal microbiome and circulate in the farm environment, posing challenges for eradication. These resistance genes may originate from recirculating resistant pathogens within the farm and intrinsic resistance genes within microbial genomes, facilitated by horizontal gene transfer. Swine manure is a significant route for spreading antimicrobial resistance genes to the environment, contributing to the dissemination of </w:t>
      </w:r>
      <w:r w:rsidR="00FB5469">
        <w:rPr>
          <w:color w:val="000000"/>
        </w:rPr>
        <w:t xml:space="preserve">resistance </w:t>
      </w:r>
      <w:r w:rsidRPr="00620D8A">
        <w:rPr>
          <w:color w:val="000000"/>
        </w:rPr>
        <w:t>genes from livestock to humans. These findings underscore the global public health implications of antimicrobial resistance genes in swine farms, emphasizing the importance of prudent antimicrobial use in the livestock sector.</w:t>
      </w:r>
    </w:p>
    <w:p w14:paraId="21ABE79E" w14:textId="5C68CC1C" w:rsidR="00836A53" w:rsidRDefault="00836A53" w:rsidP="00836A53">
      <w:pPr>
        <w:jc w:val="both"/>
        <w:rPr>
          <w:color w:val="000000"/>
        </w:rPr>
      </w:pPr>
      <w:r>
        <w:rPr>
          <w:color w:val="000000"/>
        </w:rPr>
        <w:t xml:space="preserve">  </w:t>
      </w:r>
    </w:p>
    <w:p w14:paraId="5AE15CA8" w14:textId="29E67223" w:rsidR="00836A53" w:rsidRDefault="00836A53" w:rsidP="00836A53">
      <w:pPr>
        <w:jc w:val="both"/>
        <w:rPr>
          <w:color w:val="000000"/>
        </w:rPr>
      </w:pPr>
      <w:r w:rsidRPr="00275FCC">
        <w:rPr>
          <w:b/>
          <w:bCs/>
          <w:color w:val="000000"/>
        </w:rPr>
        <w:t>Keywords:</w:t>
      </w:r>
      <w:r w:rsidRPr="00275FCC">
        <w:rPr>
          <w:color w:val="000000"/>
        </w:rPr>
        <w:t xml:space="preserve"> [</w:t>
      </w:r>
      <w:r>
        <w:rPr>
          <w:color w:val="000000"/>
        </w:rPr>
        <w:t>Swine, Commercial Farms, Cecal Microbiome, Antimicrobial Resistance Genes, Shotgun Metagenomics</w:t>
      </w:r>
      <w:r w:rsidR="00FB5469">
        <w:rPr>
          <w:color w:val="000000"/>
        </w:rPr>
        <w:t xml:space="preserve"> Analyses</w:t>
      </w:r>
      <w:r w:rsidRPr="00275FCC">
        <w:rPr>
          <w:color w:val="000000"/>
        </w:rPr>
        <w:t>]</w:t>
      </w:r>
    </w:p>
    <w:p w14:paraId="58FCC58C" w14:textId="12AC8515" w:rsidR="00836A53" w:rsidRDefault="00836A53" w:rsidP="00836A53">
      <w:pPr>
        <w:jc w:val="both"/>
        <w:rPr>
          <w:color w:val="000000"/>
        </w:rPr>
      </w:pPr>
    </w:p>
    <w:p w14:paraId="667661E1" w14:textId="743377AE" w:rsidR="0054438F" w:rsidRDefault="0054438F" w:rsidP="0054438F">
      <w:pPr>
        <w:jc w:val="both"/>
        <w:rPr>
          <w:color w:val="000000"/>
        </w:rPr>
      </w:pPr>
    </w:p>
    <w:p w14:paraId="55AAFC0D" w14:textId="46F6B126" w:rsidR="00A70B4D" w:rsidRPr="00A70B4D" w:rsidRDefault="00A70B4D" w:rsidP="00A70B4D">
      <w:pPr>
        <w:jc w:val="center"/>
        <w:rPr>
          <w:color w:val="000000"/>
        </w:rPr>
      </w:pPr>
      <w:r w:rsidRPr="00C03402">
        <w:rPr>
          <w:rFonts w:ascii="Book Antiqua" w:hAnsi="Book Antiqua"/>
          <w:noProof/>
          <w:sz w:val="20"/>
          <w:szCs w:val="20"/>
        </w:rPr>
        <w:drawing>
          <wp:inline distT="0" distB="0" distL="0" distR="0" wp14:anchorId="00F6DDBE" wp14:editId="19A57AD2">
            <wp:extent cx="3352800" cy="2295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2134" cy="2301832"/>
                    </a:xfrm>
                    <a:prstGeom prst="rect">
                      <a:avLst/>
                    </a:prstGeom>
                    <a:noFill/>
                    <a:ln>
                      <a:noFill/>
                    </a:ln>
                  </pic:spPr>
                </pic:pic>
              </a:graphicData>
            </a:graphic>
          </wp:inline>
        </w:drawing>
      </w:r>
    </w:p>
    <w:p w14:paraId="640A38E9" w14:textId="1B945EA2" w:rsidR="00A70B4D" w:rsidRDefault="00A70B4D" w:rsidP="00A70B4D">
      <w:pPr>
        <w:jc w:val="both"/>
        <w:rPr>
          <w:color w:val="000000"/>
        </w:rPr>
      </w:pPr>
      <w:r w:rsidRPr="00A70B4D">
        <w:rPr>
          <w:color w:val="000000"/>
        </w:rPr>
        <w:t>Figure 1 Binary heatmap analysis of antimicrobial resistance genes harbored in the swine cecal microbiome among five commercial farms.</w:t>
      </w:r>
    </w:p>
    <w:p w14:paraId="5F3AC182" w14:textId="77777777" w:rsidR="00A70B4D" w:rsidRDefault="00A70B4D" w:rsidP="00A70B4D">
      <w:pPr>
        <w:jc w:val="both"/>
        <w:rPr>
          <w:color w:val="000000"/>
        </w:rPr>
      </w:pPr>
    </w:p>
    <w:p w14:paraId="4AF6A4DD" w14:textId="77777777" w:rsidR="00FF6AE3" w:rsidRDefault="00FF6AE3" w:rsidP="00FF6AE3">
      <w:pPr>
        <w:jc w:val="both"/>
        <w:rPr>
          <w:color w:val="000000"/>
        </w:rPr>
      </w:pPr>
    </w:p>
    <w:p w14:paraId="10EDB8F2" w14:textId="0CC90F54" w:rsidR="00A70B4D" w:rsidRPr="00A70B4D" w:rsidRDefault="00A70B4D" w:rsidP="00FF6AE3">
      <w:pPr>
        <w:jc w:val="center"/>
        <w:rPr>
          <w:color w:val="000000"/>
        </w:rPr>
      </w:pPr>
      <w:r w:rsidRPr="00C03402">
        <w:rPr>
          <w:rFonts w:ascii="Book Antiqua" w:hAnsi="Book Antiqua"/>
          <w:noProof/>
          <w:sz w:val="20"/>
          <w:szCs w:val="20"/>
        </w:rPr>
        <w:drawing>
          <wp:inline distT="0" distB="0" distL="0" distR="0" wp14:anchorId="0A30B580" wp14:editId="33158A26">
            <wp:extent cx="2559050" cy="25042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9011" cy="2513966"/>
                    </a:xfrm>
                    <a:prstGeom prst="rect">
                      <a:avLst/>
                    </a:prstGeom>
                    <a:noFill/>
                    <a:ln>
                      <a:noFill/>
                    </a:ln>
                  </pic:spPr>
                </pic:pic>
              </a:graphicData>
            </a:graphic>
          </wp:inline>
        </w:drawing>
      </w:r>
    </w:p>
    <w:p w14:paraId="6BF8AF12" w14:textId="0ADCE4F9" w:rsidR="00A70B4D" w:rsidRDefault="00A70B4D" w:rsidP="00A70B4D">
      <w:pPr>
        <w:jc w:val="both"/>
        <w:rPr>
          <w:color w:val="000000"/>
        </w:rPr>
      </w:pPr>
      <w:r w:rsidRPr="00A70B4D">
        <w:rPr>
          <w:color w:val="000000"/>
        </w:rPr>
        <w:t>Figure 2 The Venn diagram of antimicrobial resistance genes harbored in the swine cecal microbiome among five commercial farms.</w:t>
      </w:r>
    </w:p>
    <w:sectPr w:rsidR="00A70B4D"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711D7"/>
    <w:rsid w:val="00130A2C"/>
    <w:rsid w:val="00215FE4"/>
    <w:rsid w:val="002553CB"/>
    <w:rsid w:val="00275FCC"/>
    <w:rsid w:val="00351C3F"/>
    <w:rsid w:val="00380081"/>
    <w:rsid w:val="003A27C4"/>
    <w:rsid w:val="003B4EFC"/>
    <w:rsid w:val="003E7C21"/>
    <w:rsid w:val="003F3230"/>
    <w:rsid w:val="004A3688"/>
    <w:rsid w:val="0054438F"/>
    <w:rsid w:val="0057539E"/>
    <w:rsid w:val="005A5F41"/>
    <w:rsid w:val="005C5511"/>
    <w:rsid w:val="00601709"/>
    <w:rsid w:val="00620D8A"/>
    <w:rsid w:val="00655588"/>
    <w:rsid w:val="00687CC2"/>
    <w:rsid w:val="007043A5"/>
    <w:rsid w:val="007626D2"/>
    <w:rsid w:val="007834B8"/>
    <w:rsid w:val="007F6889"/>
    <w:rsid w:val="00821CFC"/>
    <w:rsid w:val="00836A53"/>
    <w:rsid w:val="00857999"/>
    <w:rsid w:val="00A70B4D"/>
    <w:rsid w:val="00A8666D"/>
    <w:rsid w:val="00B22763"/>
    <w:rsid w:val="00B7066E"/>
    <w:rsid w:val="00B73A00"/>
    <w:rsid w:val="00BC6E22"/>
    <w:rsid w:val="00BD04F7"/>
    <w:rsid w:val="00C13EEA"/>
    <w:rsid w:val="00CB3210"/>
    <w:rsid w:val="00CD56B4"/>
    <w:rsid w:val="00D86286"/>
    <w:rsid w:val="00DB5C59"/>
    <w:rsid w:val="00E42A52"/>
    <w:rsid w:val="00E625C2"/>
    <w:rsid w:val="00EE60F2"/>
    <w:rsid w:val="00F168CF"/>
    <w:rsid w:val="00F71B89"/>
    <w:rsid w:val="00F96649"/>
    <w:rsid w:val="00FB5469"/>
    <w:rsid w:val="00FF6AE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THANAPORN EIAMSAM-ANG</cp:lastModifiedBy>
  <cp:revision>8</cp:revision>
  <dcterms:created xsi:type="dcterms:W3CDTF">2024-05-22T03:27:00Z</dcterms:created>
  <dcterms:modified xsi:type="dcterms:W3CDTF">2024-05-22T06:08:00Z</dcterms:modified>
</cp:coreProperties>
</file>