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FCB73" w14:textId="77777777" w:rsidR="00B01ACB" w:rsidRPr="00B01ACB" w:rsidRDefault="00B01ACB" w:rsidP="00B01ACB">
      <w:pPr>
        <w:spacing w:after="0" w:line="276" w:lineRule="auto"/>
        <w:rPr>
          <w:rFonts w:ascii="Times New Roman" w:eastAsia="Times New Roman" w:hAnsi="Times New Roman" w:cs="Times New Roman"/>
          <w:b/>
          <w:kern w:val="0"/>
          <w:sz w:val="28"/>
          <w:szCs w:val="24"/>
          <w:lang w:val="en-US"/>
          <w14:ligatures w14:val="none"/>
        </w:rPr>
      </w:pPr>
      <w:r w:rsidRPr="00B01ACB">
        <w:rPr>
          <w:rFonts w:ascii="Times New Roman" w:eastAsia="Times New Roman" w:hAnsi="Times New Roman" w:cs="Times New Roman"/>
          <w:b/>
          <w:kern w:val="0"/>
          <w:sz w:val="28"/>
          <w:szCs w:val="24"/>
          <w:lang w:val="en-US"/>
          <w14:ligatures w14:val="none"/>
        </w:rPr>
        <w:t xml:space="preserve">I prefer: </w:t>
      </w:r>
    </w:p>
    <w:p w14:paraId="492CB885" w14:textId="77777777" w:rsidR="00B01ACB" w:rsidRPr="00B01ACB" w:rsidRDefault="00B01ACB" w:rsidP="00B01ACB">
      <w:pPr>
        <w:spacing w:after="0" w:line="276" w:lineRule="auto"/>
        <w:rPr>
          <w:rFonts w:ascii="Times New Roman" w:eastAsia="Times New Roman" w:hAnsi="Times New Roman" w:cs="Times New Roman"/>
          <w:b/>
          <w:kern w:val="0"/>
          <w:sz w:val="28"/>
          <w:szCs w:val="24"/>
          <w:lang w:val="en-US"/>
          <w14:ligatures w14:val="none"/>
        </w:rPr>
      </w:pPr>
      <w:r w:rsidRPr="00B01ACB">
        <w:rPr>
          <w:rFonts w:ascii="Times New Roman" w:eastAsia="Times New Roman" w:hAnsi="Times New Roman" w:cs="Times New Roman"/>
          <w:b/>
          <w:kern w:val="0"/>
          <w:sz w:val="28"/>
          <w:szCs w:val="24"/>
          <w:lang w:val="en-US"/>
          <w14:ligatures w14:val="none"/>
        </w:rPr>
        <w:tab/>
        <w:t>X ORAL presentation</w:t>
      </w:r>
    </w:p>
    <w:p w14:paraId="53AF9391" w14:textId="77777777" w:rsidR="00B01ACB" w:rsidRPr="00B01ACB" w:rsidRDefault="00B01ACB" w:rsidP="00B01ACB">
      <w:pPr>
        <w:pBdr>
          <w:bottom w:val="single" w:sz="6" w:space="1" w:color="auto"/>
        </w:pBdr>
        <w:spacing w:after="0" w:line="276" w:lineRule="auto"/>
        <w:rPr>
          <w:rFonts w:ascii="Times New Roman" w:eastAsia="Times New Roman" w:hAnsi="Times New Roman" w:cs="Times New Roman"/>
          <w:b/>
          <w:kern w:val="0"/>
          <w:sz w:val="28"/>
          <w:szCs w:val="24"/>
          <w:lang w:val="en-US"/>
          <w14:ligatures w14:val="none"/>
        </w:rPr>
      </w:pPr>
      <w:r w:rsidRPr="00B01ACB">
        <w:rPr>
          <w:rFonts w:ascii="Times New Roman" w:eastAsia="Times New Roman" w:hAnsi="Times New Roman" w:cs="Times New Roman"/>
          <w:b/>
          <w:kern w:val="0"/>
          <w:sz w:val="28"/>
          <w:szCs w:val="24"/>
          <w:lang w:val="en-US"/>
          <w14:ligatures w14:val="none"/>
        </w:rPr>
        <w:tab/>
      </w:r>
      <w:r w:rsidRPr="00B01ACB">
        <w:rPr>
          <w:rFonts w:ascii="Times New Roman" w:eastAsia="Times New Roman" w:hAnsi="Times New Roman" w:cs="Times New Roman"/>
          <w:b/>
          <w:kern w:val="0"/>
          <w:sz w:val="28"/>
          <w:szCs w:val="24"/>
          <w:lang w:val="en-US"/>
          <w14:ligatures w14:val="none"/>
        </w:rPr>
        <w:sym w:font="Wingdings 2" w:char="F0A3"/>
      </w:r>
      <w:r w:rsidRPr="00B01ACB">
        <w:rPr>
          <w:rFonts w:ascii="Times New Roman" w:eastAsia="Times New Roman" w:hAnsi="Times New Roman" w:cs="Times New Roman"/>
          <w:b/>
          <w:kern w:val="0"/>
          <w:sz w:val="28"/>
          <w:szCs w:val="24"/>
          <w:lang w:val="en-US"/>
          <w14:ligatures w14:val="none"/>
        </w:rPr>
        <w:t xml:space="preserve"> POSTER presentation</w:t>
      </w:r>
    </w:p>
    <w:p w14:paraId="11BD05EF" w14:textId="77777777" w:rsidR="00B01ACB" w:rsidRPr="00B01ACB" w:rsidRDefault="00B01ACB" w:rsidP="00B01ACB">
      <w:pPr>
        <w:spacing w:after="0" w:line="276" w:lineRule="auto"/>
        <w:rPr>
          <w:rFonts w:ascii="Times New Roman" w:eastAsia="Times New Roman" w:hAnsi="Times New Roman" w:cs="Times New Roman"/>
          <w:b/>
          <w:kern w:val="0"/>
          <w:sz w:val="18"/>
          <w:szCs w:val="18"/>
          <w:lang w:val="en-US"/>
          <w14:ligatures w14:val="none"/>
        </w:rPr>
      </w:pPr>
    </w:p>
    <w:p w14:paraId="1B9956A7" w14:textId="77777777" w:rsidR="00B01ACB" w:rsidRPr="00B01ACB" w:rsidRDefault="00B01ACB" w:rsidP="00B01ACB">
      <w:pPr>
        <w:spacing w:after="0" w:line="240" w:lineRule="auto"/>
        <w:rPr>
          <w:rFonts w:ascii="Times New Roman" w:eastAsia="Times New Roman" w:hAnsi="Times New Roman" w:cs="Times New Roman"/>
          <w:kern w:val="0"/>
          <w:sz w:val="18"/>
          <w:szCs w:val="18"/>
          <w:lang w:val="en-US"/>
          <w14:ligatures w14:val="none"/>
        </w:rPr>
      </w:pPr>
    </w:p>
    <w:p w14:paraId="649DFA51" w14:textId="77777777" w:rsidR="00B01ACB" w:rsidRPr="00B01ACB" w:rsidRDefault="00B01ACB" w:rsidP="00B01ACB">
      <w:pPr>
        <w:spacing w:after="0" w:line="240" w:lineRule="auto"/>
        <w:jc w:val="center"/>
        <w:rPr>
          <w:rFonts w:ascii="Arial" w:eastAsia="Times New Roman" w:hAnsi="Arial" w:cs="Arial"/>
          <w:b/>
          <w:color w:val="000000"/>
          <w:kern w:val="0"/>
          <w:sz w:val="28"/>
          <w:szCs w:val="28"/>
          <w:lang w:val="en-US"/>
          <w14:ligatures w14:val="none"/>
        </w:rPr>
      </w:pPr>
      <w:r w:rsidRPr="00B01ACB">
        <w:rPr>
          <w:rFonts w:ascii="Arial" w:eastAsia="Times New Roman" w:hAnsi="Arial" w:cs="Arial"/>
          <w:b/>
          <w:kern w:val="0"/>
          <w:sz w:val="28"/>
          <w:szCs w:val="24"/>
          <w:lang w:val="en-US"/>
          <w14:ligatures w14:val="none"/>
        </w:rPr>
        <w:t xml:space="preserve">Vaccination assessment of broiler flocks to control the development and spread of resistant </w:t>
      </w:r>
      <w:r w:rsidRPr="00B01ACB">
        <w:rPr>
          <w:rFonts w:ascii="Arial" w:eastAsia="Times New Roman" w:hAnsi="Arial" w:cs="Arial"/>
          <w:b/>
          <w:i/>
          <w:kern w:val="0"/>
          <w:sz w:val="28"/>
          <w:szCs w:val="24"/>
          <w:lang w:val="en-US"/>
          <w14:ligatures w14:val="none"/>
        </w:rPr>
        <w:t>E. coli</w:t>
      </w:r>
      <w:r w:rsidRPr="00B01ACB">
        <w:rPr>
          <w:rFonts w:ascii="Arial" w:eastAsia="Times New Roman" w:hAnsi="Arial" w:cs="Arial"/>
          <w:b/>
          <w:kern w:val="0"/>
          <w:sz w:val="28"/>
          <w:szCs w:val="24"/>
          <w:lang w:val="en-US"/>
          <w14:ligatures w14:val="none"/>
        </w:rPr>
        <w:t xml:space="preserve"> from poultry into the </w:t>
      </w:r>
      <w:proofErr w:type="gramStart"/>
      <w:r w:rsidRPr="00B01ACB">
        <w:rPr>
          <w:rFonts w:ascii="Arial" w:eastAsia="Times New Roman" w:hAnsi="Arial" w:cs="Arial"/>
          <w:b/>
          <w:kern w:val="0"/>
          <w:sz w:val="28"/>
          <w:szCs w:val="24"/>
          <w:lang w:val="en-US"/>
          <w14:ligatures w14:val="none"/>
        </w:rPr>
        <w:t>environment</w:t>
      </w:r>
      <w:proofErr w:type="gramEnd"/>
    </w:p>
    <w:p w14:paraId="1B98D15E" w14:textId="77777777" w:rsidR="00B01ACB" w:rsidRPr="00B01ACB" w:rsidRDefault="00B01ACB" w:rsidP="00B01ACB">
      <w:pPr>
        <w:spacing w:after="0" w:line="240" w:lineRule="auto"/>
        <w:rPr>
          <w:rFonts w:ascii="Arial" w:eastAsia="Times New Roman" w:hAnsi="Arial" w:cs="Arial"/>
          <w:b/>
          <w:color w:val="000000"/>
          <w:kern w:val="0"/>
          <w:sz w:val="28"/>
          <w:szCs w:val="28"/>
          <w:lang w:val="en-US"/>
          <w14:ligatures w14:val="none"/>
        </w:rPr>
      </w:pPr>
    </w:p>
    <w:p w14:paraId="50A4B1C1" w14:textId="77777777" w:rsidR="00B01ACB" w:rsidRPr="00B01ACB" w:rsidRDefault="00B01ACB" w:rsidP="00B01ACB">
      <w:pPr>
        <w:spacing w:after="0" w:line="240" w:lineRule="auto"/>
        <w:rPr>
          <w:rFonts w:ascii="Times New Roman" w:eastAsia="Times New Roman" w:hAnsi="Times New Roman" w:cs="Times New Roman"/>
          <w:color w:val="000000"/>
          <w:kern w:val="0"/>
          <w:sz w:val="28"/>
          <w:szCs w:val="28"/>
          <w:lang w:val="en-US"/>
          <w14:ligatures w14:val="none"/>
        </w:rPr>
      </w:pPr>
      <w:r w:rsidRPr="00B01ACB">
        <w:rPr>
          <w:rFonts w:ascii="Times New Roman" w:eastAsia="Times New Roman" w:hAnsi="Times New Roman" w:cs="Times New Roman"/>
          <w:color w:val="000000"/>
          <w:kern w:val="0"/>
          <w:sz w:val="28"/>
          <w:szCs w:val="28"/>
          <w:lang w:val="en-US"/>
          <w14:ligatures w14:val="none"/>
        </w:rPr>
        <w:t>Diana Vargas</w:t>
      </w:r>
      <w:r w:rsidRPr="00B01ACB">
        <w:rPr>
          <w:rFonts w:ascii="Times New Roman" w:eastAsia="Times New Roman" w:hAnsi="Times New Roman" w:cs="Times New Roman"/>
          <w:color w:val="000000"/>
          <w:kern w:val="0"/>
          <w:sz w:val="28"/>
          <w:szCs w:val="28"/>
          <w:vertAlign w:val="superscript"/>
          <w:lang w:val="en-US"/>
          <w14:ligatures w14:val="none"/>
        </w:rPr>
        <w:t>1</w:t>
      </w:r>
      <w:r w:rsidRPr="00B01ACB">
        <w:rPr>
          <w:rFonts w:ascii="Times New Roman" w:eastAsia="Times New Roman" w:hAnsi="Times New Roman" w:cs="Times New Roman"/>
          <w:color w:val="000000"/>
          <w:kern w:val="0"/>
          <w:sz w:val="28"/>
          <w:szCs w:val="28"/>
          <w:lang w:val="en-US"/>
          <w14:ligatures w14:val="none"/>
        </w:rPr>
        <w:t xml:space="preserve">*, Anika Friese, Uwe Roesler, Caroline </w:t>
      </w:r>
      <w:proofErr w:type="spellStart"/>
      <w:r w:rsidRPr="00B01ACB">
        <w:rPr>
          <w:rFonts w:ascii="Times New Roman" w:eastAsia="Times New Roman" w:hAnsi="Times New Roman" w:cs="Times New Roman"/>
          <w:color w:val="000000"/>
          <w:kern w:val="0"/>
          <w:sz w:val="28"/>
          <w:szCs w:val="28"/>
          <w:lang w:val="en-US"/>
          <w14:ligatures w14:val="none"/>
        </w:rPr>
        <w:t>Robé</w:t>
      </w:r>
      <w:proofErr w:type="spellEnd"/>
    </w:p>
    <w:p w14:paraId="59441234" w14:textId="77777777" w:rsidR="00B01ACB" w:rsidRPr="00B01ACB" w:rsidRDefault="00B01ACB" w:rsidP="00B01ACB">
      <w:pPr>
        <w:spacing w:after="0" w:line="240" w:lineRule="auto"/>
        <w:rPr>
          <w:rFonts w:ascii="Times New Roman" w:eastAsia="Times New Roman" w:hAnsi="Times New Roman" w:cs="Times New Roman"/>
          <w:color w:val="000000"/>
          <w:kern w:val="0"/>
          <w:sz w:val="24"/>
          <w:szCs w:val="24"/>
          <w:lang w:val="en-US"/>
          <w14:ligatures w14:val="none"/>
        </w:rPr>
      </w:pPr>
      <w:r w:rsidRPr="00B01ACB">
        <w:rPr>
          <w:rFonts w:ascii="Times New Roman" w:eastAsia="Times New Roman" w:hAnsi="Times New Roman" w:cs="Times New Roman"/>
          <w:color w:val="000000"/>
          <w:kern w:val="0"/>
          <w:sz w:val="24"/>
          <w:szCs w:val="24"/>
          <w:lang w:val="en-US"/>
          <w14:ligatures w14:val="none"/>
        </w:rPr>
        <w:t>*</w:t>
      </w:r>
      <w:proofErr w:type="gramStart"/>
      <w:r w:rsidRPr="00B01ACB">
        <w:rPr>
          <w:rFonts w:ascii="Times New Roman" w:eastAsia="Times New Roman" w:hAnsi="Times New Roman" w:cs="Times New Roman"/>
          <w:color w:val="000000"/>
          <w:kern w:val="0"/>
          <w:sz w:val="24"/>
          <w:szCs w:val="24"/>
          <w:lang w:val="en-US"/>
          <w14:ligatures w14:val="none"/>
        </w:rPr>
        <w:t>lead</w:t>
      </w:r>
      <w:proofErr w:type="gramEnd"/>
      <w:r w:rsidRPr="00B01ACB">
        <w:rPr>
          <w:rFonts w:ascii="Times New Roman" w:eastAsia="Times New Roman" w:hAnsi="Times New Roman" w:cs="Times New Roman"/>
          <w:color w:val="000000"/>
          <w:kern w:val="0"/>
          <w:sz w:val="24"/>
          <w:szCs w:val="24"/>
          <w:lang w:val="en-US"/>
          <w14:ligatures w14:val="none"/>
        </w:rPr>
        <w:t xml:space="preserve"> presenter</w:t>
      </w:r>
    </w:p>
    <w:p w14:paraId="237B2D9C" w14:textId="77777777" w:rsidR="00B01ACB" w:rsidRPr="00B01ACB" w:rsidRDefault="00B01ACB" w:rsidP="00B01ACB">
      <w:pPr>
        <w:spacing w:after="0" w:line="240" w:lineRule="auto"/>
        <w:jc w:val="both"/>
        <w:rPr>
          <w:rFonts w:ascii="Times New Roman" w:eastAsia="Times New Roman" w:hAnsi="Times New Roman" w:cs="Times New Roman"/>
          <w:color w:val="000000"/>
          <w:kern w:val="0"/>
          <w:sz w:val="24"/>
          <w:szCs w:val="24"/>
          <w:lang w:val="en-US"/>
          <w14:ligatures w14:val="none"/>
        </w:rPr>
      </w:pPr>
      <w:r w:rsidRPr="00B01ACB">
        <w:rPr>
          <w:rFonts w:ascii="Times New Roman" w:eastAsia="Times New Roman" w:hAnsi="Times New Roman" w:cs="Times New Roman"/>
          <w:color w:val="000000"/>
          <w:kern w:val="0"/>
          <w:sz w:val="24"/>
          <w:szCs w:val="24"/>
          <w:vertAlign w:val="superscript"/>
          <w:lang w:val="en-US"/>
          <w14:ligatures w14:val="none"/>
        </w:rPr>
        <w:t xml:space="preserve">1 </w:t>
      </w:r>
      <w:hyperlink r:id="rId4" w:history="1">
        <w:r w:rsidRPr="00B01ACB">
          <w:rPr>
            <w:rFonts w:ascii="Times New Roman" w:eastAsia="Times New Roman" w:hAnsi="Times New Roman" w:cs="Times New Roman"/>
            <w:kern w:val="0"/>
            <w:sz w:val="24"/>
            <w:szCs w:val="24"/>
            <w:lang w:val="en-US"/>
            <w14:ligatures w14:val="none"/>
          </w:rPr>
          <w:t>diana.vargas.gallo@fu-berlin.de</w:t>
        </w:r>
      </w:hyperlink>
      <w:r w:rsidRPr="00B01ACB">
        <w:rPr>
          <w:rFonts w:ascii="Times New Roman" w:eastAsia="Times New Roman" w:hAnsi="Times New Roman" w:cs="Times New Roman"/>
          <w:kern w:val="0"/>
          <w:sz w:val="24"/>
          <w:szCs w:val="24"/>
          <w:lang w:val="en-US"/>
          <w14:ligatures w14:val="none"/>
        </w:rPr>
        <w:t xml:space="preserve">, </w:t>
      </w:r>
      <w:r w:rsidRPr="00B01ACB">
        <w:rPr>
          <w:rFonts w:ascii="Times New Roman" w:eastAsia="Times New Roman" w:hAnsi="Times New Roman" w:cs="Times New Roman"/>
          <w:kern w:val="0"/>
          <w:sz w:val="24"/>
          <w:szCs w:val="24"/>
          <w:shd w:val="clear" w:color="auto" w:fill="FFFFFF"/>
          <w:lang w:val="en-US"/>
          <w14:ligatures w14:val="none"/>
        </w:rPr>
        <w:t>Institute for Animal Hygiene and Environmental Health, Freie Universität Berlin, Germany</w:t>
      </w:r>
    </w:p>
    <w:p w14:paraId="47916F8C" w14:textId="77777777" w:rsidR="00B01ACB" w:rsidRPr="00B01ACB" w:rsidRDefault="00B01ACB" w:rsidP="00B01ACB">
      <w:pPr>
        <w:spacing w:after="0" w:line="240" w:lineRule="auto"/>
        <w:rPr>
          <w:rFonts w:ascii="Times New Roman" w:eastAsia="Times New Roman" w:hAnsi="Times New Roman" w:cs="Times New Roman"/>
          <w:color w:val="000000"/>
          <w:kern w:val="0"/>
          <w:sz w:val="24"/>
          <w:szCs w:val="24"/>
          <w:lang w:val="en-US"/>
          <w14:ligatures w14:val="none"/>
        </w:rPr>
      </w:pPr>
    </w:p>
    <w:p w14:paraId="31711857" w14:textId="77777777" w:rsidR="00B01ACB" w:rsidRPr="00B01ACB" w:rsidRDefault="00B01ACB" w:rsidP="0096379F">
      <w:pPr>
        <w:spacing w:after="0" w:line="240" w:lineRule="auto"/>
        <w:rPr>
          <w:rFonts w:ascii="Times New Roman" w:eastAsia="Times New Roman" w:hAnsi="Times New Roman" w:cs="Times New Roman"/>
          <w:b/>
          <w:bCs/>
          <w:color w:val="000000"/>
          <w:kern w:val="0"/>
          <w:sz w:val="24"/>
          <w:szCs w:val="24"/>
          <w:lang w:val="en-US"/>
          <w14:ligatures w14:val="none"/>
        </w:rPr>
      </w:pPr>
      <w:r w:rsidRPr="00B01ACB">
        <w:rPr>
          <w:rFonts w:ascii="Times New Roman" w:eastAsia="Times New Roman" w:hAnsi="Times New Roman" w:cs="Times New Roman"/>
          <w:b/>
          <w:bCs/>
          <w:color w:val="000000"/>
          <w:kern w:val="0"/>
          <w:sz w:val="24"/>
          <w:szCs w:val="24"/>
          <w:lang w:val="en-US"/>
          <w14:ligatures w14:val="none"/>
        </w:rPr>
        <w:t>Abstract:</w:t>
      </w:r>
    </w:p>
    <w:p w14:paraId="5ABF8A36" w14:textId="77777777" w:rsidR="00B01ACB" w:rsidRPr="00B01ACB" w:rsidRDefault="00B01ACB" w:rsidP="0096379F">
      <w:pPr>
        <w:spacing w:after="0" w:line="240" w:lineRule="auto"/>
        <w:rPr>
          <w:rFonts w:ascii="Times New Roman" w:eastAsia="Times New Roman" w:hAnsi="Times New Roman" w:cs="Times New Roman"/>
          <w:color w:val="000000"/>
          <w:kern w:val="0"/>
          <w:sz w:val="24"/>
          <w:szCs w:val="24"/>
          <w:lang w:val="en-US"/>
          <w14:ligatures w14:val="none"/>
        </w:rPr>
      </w:pPr>
    </w:p>
    <w:p w14:paraId="012613D6" w14:textId="77777777" w:rsidR="00B01ACB" w:rsidRPr="00B01ACB" w:rsidRDefault="00B01ACB" w:rsidP="0096379F">
      <w:pPr>
        <w:spacing w:after="0" w:line="240" w:lineRule="auto"/>
        <w:jc w:val="both"/>
        <w:rPr>
          <w:rFonts w:ascii="Times New Roman" w:eastAsia="Times New Roman" w:hAnsi="Times New Roman" w:cs="Times New Roman"/>
          <w:kern w:val="0"/>
          <w:sz w:val="24"/>
          <w:szCs w:val="24"/>
          <w:lang w:val="en-US"/>
          <w14:ligatures w14:val="none"/>
        </w:rPr>
      </w:pPr>
      <w:r w:rsidRPr="00B01ACB">
        <w:rPr>
          <w:rFonts w:ascii="Times New Roman" w:eastAsia="Times New Roman" w:hAnsi="Times New Roman" w:cs="Times New Roman"/>
          <w:b/>
          <w:kern w:val="0"/>
          <w:sz w:val="24"/>
          <w:szCs w:val="24"/>
          <w:lang w:val="en-US"/>
          <w14:ligatures w14:val="none"/>
        </w:rPr>
        <w:t>Background/Objective:</w:t>
      </w:r>
      <w:r w:rsidRPr="00B01ACB">
        <w:rPr>
          <w:rFonts w:ascii="Times New Roman" w:eastAsia="Times New Roman" w:hAnsi="Times New Roman" w:cs="Times New Roman"/>
          <w:kern w:val="0"/>
          <w:sz w:val="24"/>
          <w:szCs w:val="24"/>
          <w:lang w:val="en-US"/>
          <w14:ligatures w14:val="none"/>
        </w:rPr>
        <w:t xml:space="preserve"> Antimicrobial-resistant bacteria originating from poultry farms represents an ongoing challenge due to its potential spread to the environment, food chain and eventually affecting human health. Therefore, the need arises to investigate intervention measures. In this context, we evaluated a live </w:t>
      </w:r>
      <w:r w:rsidRPr="00B01ACB">
        <w:rPr>
          <w:rFonts w:ascii="Times New Roman" w:eastAsia="Times New Roman" w:hAnsi="Times New Roman" w:cs="Times New Roman"/>
          <w:i/>
          <w:iCs/>
          <w:kern w:val="0"/>
          <w:sz w:val="24"/>
          <w:szCs w:val="24"/>
          <w:lang w:val="en-US"/>
          <w14:ligatures w14:val="none"/>
        </w:rPr>
        <w:t>E. coli</w:t>
      </w:r>
      <w:r w:rsidRPr="00B01ACB">
        <w:rPr>
          <w:rFonts w:ascii="Times New Roman" w:eastAsia="Times New Roman" w:hAnsi="Times New Roman" w:cs="Times New Roman"/>
          <w:kern w:val="0"/>
          <w:sz w:val="24"/>
          <w:szCs w:val="24"/>
          <w:lang w:val="en-US"/>
          <w14:ligatures w14:val="none"/>
        </w:rPr>
        <w:t xml:space="preserve"> vaccine on its competitive exclusion potential to reduce the colonization of broilers with Extended-Spectrum Beta-Lactamase (ESBL) and plasmid-mediated AmpC Beta-lactamase (</w:t>
      </w:r>
      <w:proofErr w:type="spellStart"/>
      <w:r w:rsidRPr="00B01ACB">
        <w:rPr>
          <w:rFonts w:ascii="Times New Roman" w:eastAsia="Times New Roman" w:hAnsi="Times New Roman" w:cs="Times New Roman"/>
          <w:kern w:val="0"/>
          <w:sz w:val="24"/>
          <w:szCs w:val="24"/>
          <w:lang w:val="en-US"/>
          <w14:ligatures w14:val="none"/>
        </w:rPr>
        <w:t>pAmpC</w:t>
      </w:r>
      <w:proofErr w:type="spellEnd"/>
      <w:r w:rsidRPr="00B01ACB">
        <w:rPr>
          <w:rFonts w:ascii="Times New Roman" w:eastAsia="Times New Roman" w:hAnsi="Times New Roman" w:cs="Times New Roman"/>
          <w:kern w:val="0"/>
          <w:sz w:val="24"/>
          <w:szCs w:val="24"/>
          <w:lang w:val="en-US"/>
          <w14:ligatures w14:val="none"/>
        </w:rPr>
        <w:t xml:space="preserve">) producing </w:t>
      </w:r>
      <w:r w:rsidRPr="00B01ACB">
        <w:rPr>
          <w:rFonts w:ascii="Times New Roman" w:eastAsia="Times New Roman" w:hAnsi="Times New Roman" w:cs="Times New Roman"/>
          <w:i/>
          <w:kern w:val="0"/>
          <w:sz w:val="24"/>
          <w:szCs w:val="24"/>
          <w:lang w:val="en-US"/>
          <w14:ligatures w14:val="none"/>
        </w:rPr>
        <w:t>E. coli</w:t>
      </w:r>
      <w:r w:rsidRPr="00B01ACB">
        <w:rPr>
          <w:rFonts w:ascii="Times New Roman" w:eastAsia="Times New Roman" w:hAnsi="Times New Roman" w:cs="Times New Roman"/>
          <w:kern w:val="0"/>
          <w:sz w:val="24"/>
          <w:szCs w:val="24"/>
          <w:lang w:val="en-US"/>
          <w14:ligatures w14:val="none"/>
        </w:rPr>
        <w:t>.</w:t>
      </w:r>
    </w:p>
    <w:p w14:paraId="2CD3A088" w14:textId="77777777" w:rsidR="00B01ACB" w:rsidRPr="00B01ACB" w:rsidRDefault="00B01ACB" w:rsidP="0096379F">
      <w:pPr>
        <w:spacing w:after="0" w:line="240" w:lineRule="auto"/>
        <w:jc w:val="both"/>
        <w:rPr>
          <w:rFonts w:ascii="Times New Roman" w:eastAsia="Times New Roman" w:hAnsi="Times New Roman" w:cs="Times New Roman"/>
          <w:kern w:val="0"/>
          <w:sz w:val="24"/>
          <w:szCs w:val="24"/>
          <w:lang w:val="en-US"/>
          <w14:ligatures w14:val="none"/>
        </w:rPr>
      </w:pPr>
      <w:r w:rsidRPr="00B01ACB">
        <w:rPr>
          <w:rFonts w:ascii="Times New Roman" w:eastAsia="Times New Roman" w:hAnsi="Times New Roman" w:cs="Times New Roman"/>
          <w:b/>
          <w:kern w:val="0"/>
          <w:sz w:val="24"/>
          <w:szCs w:val="24"/>
          <w:lang w:val="en-US"/>
          <w14:ligatures w14:val="none"/>
        </w:rPr>
        <w:t>Methods:</w:t>
      </w:r>
      <w:r w:rsidRPr="00B01ACB">
        <w:rPr>
          <w:rFonts w:ascii="Times New Roman" w:eastAsia="Times New Roman" w:hAnsi="Times New Roman" w:cs="Times New Roman"/>
          <w:kern w:val="0"/>
          <w:sz w:val="24"/>
          <w:szCs w:val="24"/>
          <w:lang w:val="en-US"/>
          <w14:ligatures w14:val="none"/>
        </w:rPr>
        <w:t xml:space="preserve"> ESBL-/</w:t>
      </w:r>
      <w:proofErr w:type="spellStart"/>
      <w:r w:rsidRPr="00B01ACB">
        <w:rPr>
          <w:rFonts w:ascii="Times New Roman" w:eastAsia="Times New Roman" w:hAnsi="Times New Roman" w:cs="Times New Roman"/>
          <w:kern w:val="0"/>
          <w:sz w:val="24"/>
          <w:szCs w:val="24"/>
          <w:lang w:val="en-US"/>
          <w14:ligatures w14:val="none"/>
        </w:rPr>
        <w:t>pAmpC</w:t>
      </w:r>
      <w:proofErr w:type="spellEnd"/>
      <w:r w:rsidRPr="00B01ACB">
        <w:rPr>
          <w:rFonts w:ascii="Times New Roman" w:eastAsia="Times New Roman" w:hAnsi="Times New Roman" w:cs="Times New Roman"/>
          <w:kern w:val="0"/>
          <w:sz w:val="24"/>
          <w:szCs w:val="24"/>
          <w:lang w:val="en-US"/>
          <w14:ligatures w14:val="none"/>
        </w:rPr>
        <w:t>- negative broilers (Ranger Gold, n=168) were divided into six groups (3 x n=46 experimental groups incl. positive control; 3 x n=10 control groups incl. negative control), maintaining a stocking density of 21 kg/m</w:t>
      </w:r>
      <w:r w:rsidRPr="00B01ACB">
        <w:rPr>
          <w:rFonts w:ascii="Times New Roman" w:eastAsia="Times New Roman" w:hAnsi="Times New Roman" w:cs="Times New Roman"/>
          <w:kern w:val="0"/>
          <w:sz w:val="24"/>
          <w:szCs w:val="24"/>
          <w:vertAlign w:val="superscript"/>
          <w:lang w:val="en-US"/>
          <w14:ligatures w14:val="none"/>
        </w:rPr>
        <w:t>2</w:t>
      </w:r>
      <w:r w:rsidRPr="00B01ACB">
        <w:rPr>
          <w:rFonts w:ascii="Times New Roman" w:eastAsia="Times New Roman" w:hAnsi="Times New Roman" w:cs="Times New Roman"/>
          <w:kern w:val="0"/>
          <w:sz w:val="24"/>
          <w:szCs w:val="24"/>
          <w:lang w:val="en-US"/>
          <w14:ligatures w14:val="none"/>
        </w:rPr>
        <w:t>, environmental enrichment, water and feed ad libitum. On the initial day of life, experimental group one underwent vaccination through spray administration, whereas experimental group two received the vaccine via drinking water on day five of life. All animals within the experimental groups were orally co-colonized with 10</w:t>
      </w:r>
      <w:r w:rsidRPr="00B01ACB">
        <w:rPr>
          <w:rFonts w:ascii="Times New Roman" w:eastAsia="Times New Roman" w:hAnsi="Times New Roman" w:cs="Times New Roman"/>
          <w:kern w:val="0"/>
          <w:sz w:val="24"/>
          <w:szCs w:val="24"/>
          <w:vertAlign w:val="superscript"/>
          <w:lang w:val="en-US"/>
          <w14:ligatures w14:val="none"/>
        </w:rPr>
        <w:t xml:space="preserve">2 </w:t>
      </w:r>
      <w:proofErr w:type="spellStart"/>
      <w:r w:rsidRPr="00B01ACB">
        <w:rPr>
          <w:rFonts w:ascii="Times New Roman" w:eastAsia="Times New Roman" w:hAnsi="Times New Roman" w:cs="Times New Roman"/>
          <w:kern w:val="0"/>
          <w:sz w:val="24"/>
          <w:szCs w:val="24"/>
          <w:lang w:val="en-US"/>
          <w14:ligatures w14:val="none"/>
        </w:rPr>
        <w:t>cfu</w:t>
      </w:r>
      <w:proofErr w:type="spellEnd"/>
      <w:r w:rsidRPr="00B01ACB">
        <w:rPr>
          <w:rFonts w:ascii="Times New Roman" w:eastAsia="Times New Roman" w:hAnsi="Times New Roman" w:cs="Times New Roman"/>
          <w:kern w:val="0"/>
          <w:sz w:val="24"/>
          <w:szCs w:val="24"/>
          <w:lang w:val="en-US"/>
          <w14:ligatures w14:val="none"/>
        </w:rPr>
        <w:t xml:space="preserve"> ESBL-</w:t>
      </w:r>
      <w:r w:rsidRPr="00B01ACB">
        <w:rPr>
          <w:rFonts w:ascii="Times New Roman" w:eastAsia="Times New Roman" w:hAnsi="Times New Roman" w:cs="Times New Roman"/>
          <w:i/>
          <w:kern w:val="0"/>
          <w:sz w:val="24"/>
          <w:szCs w:val="24"/>
          <w:lang w:val="en-US"/>
          <w14:ligatures w14:val="none"/>
        </w:rPr>
        <w:t>E. coli</w:t>
      </w:r>
      <w:r w:rsidRPr="00B01ACB">
        <w:rPr>
          <w:rFonts w:ascii="Times New Roman" w:eastAsia="Times New Roman" w:hAnsi="Times New Roman" w:cs="Times New Roman"/>
          <w:kern w:val="0"/>
          <w:sz w:val="24"/>
          <w:szCs w:val="24"/>
          <w:lang w:val="en-US"/>
          <w14:ligatures w14:val="none"/>
        </w:rPr>
        <w:t xml:space="preserve"> (ST410, </w:t>
      </w:r>
      <w:r w:rsidRPr="00B01ACB">
        <w:rPr>
          <w:rFonts w:ascii="Times New Roman" w:eastAsia="Times New Roman" w:hAnsi="Times New Roman" w:cs="Times New Roman"/>
          <w:i/>
          <w:kern w:val="0"/>
          <w:sz w:val="24"/>
          <w:szCs w:val="24"/>
          <w:lang w:val="en-US"/>
          <w14:ligatures w14:val="none"/>
        </w:rPr>
        <w:t>bla</w:t>
      </w:r>
      <w:r w:rsidRPr="00B01ACB">
        <w:rPr>
          <w:rFonts w:ascii="Times New Roman" w:eastAsia="Times New Roman" w:hAnsi="Times New Roman" w:cs="Times New Roman"/>
          <w:kern w:val="0"/>
          <w:sz w:val="24"/>
          <w:szCs w:val="24"/>
          <w:vertAlign w:val="subscript"/>
          <w:lang w:val="en-US"/>
          <w14:ligatures w14:val="none"/>
        </w:rPr>
        <w:t>CTX-M-15</w:t>
      </w:r>
      <w:r w:rsidRPr="00B01ACB">
        <w:rPr>
          <w:rFonts w:ascii="Times New Roman" w:eastAsia="Times New Roman" w:hAnsi="Times New Roman" w:cs="Times New Roman"/>
          <w:kern w:val="0"/>
          <w:sz w:val="24"/>
          <w:szCs w:val="24"/>
          <w:lang w:val="en-US"/>
          <w14:ligatures w14:val="none"/>
        </w:rPr>
        <w:t xml:space="preserve">) and </w:t>
      </w:r>
      <w:proofErr w:type="spellStart"/>
      <w:r w:rsidRPr="00B01ACB">
        <w:rPr>
          <w:rFonts w:ascii="Times New Roman" w:eastAsia="Times New Roman" w:hAnsi="Times New Roman" w:cs="Times New Roman"/>
          <w:kern w:val="0"/>
          <w:sz w:val="24"/>
          <w:szCs w:val="24"/>
          <w:lang w:val="en-US"/>
          <w14:ligatures w14:val="none"/>
        </w:rPr>
        <w:t>pAmpC</w:t>
      </w:r>
      <w:proofErr w:type="spellEnd"/>
      <w:r w:rsidRPr="00B01ACB">
        <w:rPr>
          <w:rFonts w:ascii="Times New Roman" w:eastAsia="Times New Roman" w:hAnsi="Times New Roman" w:cs="Times New Roman"/>
          <w:kern w:val="0"/>
          <w:sz w:val="24"/>
          <w:szCs w:val="24"/>
          <w:lang w:val="en-US"/>
          <w14:ligatures w14:val="none"/>
        </w:rPr>
        <w:t>-</w:t>
      </w:r>
      <w:r w:rsidRPr="00B01ACB">
        <w:rPr>
          <w:rFonts w:ascii="Times New Roman" w:eastAsia="Times New Roman" w:hAnsi="Times New Roman" w:cs="Times New Roman"/>
          <w:i/>
          <w:kern w:val="0"/>
          <w:sz w:val="24"/>
          <w:szCs w:val="24"/>
          <w:lang w:val="en-US"/>
          <w14:ligatures w14:val="none"/>
        </w:rPr>
        <w:t>E. coli</w:t>
      </w:r>
      <w:r w:rsidRPr="00B01ACB">
        <w:rPr>
          <w:rFonts w:ascii="Times New Roman" w:eastAsia="Times New Roman" w:hAnsi="Times New Roman" w:cs="Times New Roman"/>
          <w:kern w:val="0"/>
          <w:sz w:val="24"/>
          <w:szCs w:val="24"/>
          <w:lang w:val="en-US"/>
          <w14:ligatures w14:val="none"/>
        </w:rPr>
        <w:t xml:space="preserve"> (ST10, </w:t>
      </w:r>
      <w:r w:rsidRPr="00B01ACB">
        <w:rPr>
          <w:rFonts w:ascii="Times New Roman" w:eastAsia="Times New Roman" w:hAnsi="Times New Roman" w:cs="Times New Roman"/>
          <w:i/>
          <w:kern w:val="0"/>
          <w:sz w:val="24"/>
          <w:szCs w:val="24"/>
          <w:lang w:val="en-US"/>
          <w14:ligatures w14:val="none"/>
        </w:rPr>
        <w:t>bla</w:t>
      </w:r>
      <w:r w:rsidRPr="00B01ACB">
        <w:rPr>
          <w:rFonts w:ascii="Times New Roman" w:eastAsia="Times New Roman" w:hAnsi="Times New Roman" w:cs="Times New Roman"/>
          <w:kern w:val="0"/>
          <w:sz w:val="24"/>
          <w:szCs w:val="24"/>
          <w:vertAlign w:val="subscript"/>
          <w:lang w:val="en-US"/>
          <w14:ligatures w14:val="none"/>
        </w:rPr>
        <w:t>CMY-2</w:t>
      </w:r>
      <w:r w:rsidRPr="00B01ACB">
        <w:rPr>
          <w:rFonts w:ascii="Times New Roman" w:eastAsia="Times New Roman" w:hAnsi="Times New Roman" w:cs="Times New Roman"/>
          <w:kern w:val="0"/>
          <w:sz w:val="24"/>
          <w:szCs w:val="24"/>
          <w:lang w:val="en-US"/>
          <w14:ligatures w14:val="none"/>
        </w:rPr>
        <w:t>/</w:t>
      </w:r>
      <w:r w:rsidRPr="00B01ACB">
        <w:rPr>
          <w:rFonts w:ascii="Times New Roman" w:eastAsia="Times New Roman" w:hAnsi="Times New Roman" w:cs="Times New Roman"/>
          <w:i/>
          <w:iCs/>
          <w:kern w:val="0"/>
          <w:sz w:val="24"/>
          <w:szCs w:val="24"/>
          <w:lang w:val="en-US"/>
          <w14:ligatures w14:val="none"/>
        </w:rPr>
        <w:t>mcr</w:t>
      </w:r>
      <w:r w:rsidRPr="00B01ACB">
        <w:rPr>
          <w:rFonts w:ascii="Times New Roman" w:eastAsia="Times New Roman" w:hAnsi="Times New Roman" w:cs="Times New Roman"/>
          <w:kern w:val="0"/>
          <w:sz w:val="24"/>
          <w:szCs w:val="24"/>
          <w:lang w:val="en-US"/>
          <w14:ligatures w14:val="none"/>
        </w:rPr>
        <w:t xml:space="preserve">-1) on day three. Control groups solely receiving the vaccine and were uncolonized by challenge strains. Cloacal swabs were used to evaluate colonization throughout the trial. After a fattening period of 49 days, samples from the colon and cecum will be obtained for quantification of challenge strains. </w:t>
      </w:r>
    </w:p>
    <w:p w14:paraId="4DC24631" w14:textId="39821FA4" w:rsidR="00B01ACB" w:rsidRPr="00B01ACB" w:rsidRDefault="00B01ACB" w:rsidP="0096379F">
      <w:pPr>
        <w:spacing w:after="0" w:line="240" w:lineRule="auto"/>
        <w:jc w:val="both"/>
        <w:rPr>
          <w:rFonts w:ascii="Times New Roman" w:eastAsia="Times New Roman" w:hAnsi="Times New Roman" w:cs="Times New Roman"/>
          <w:kern w:val="0"/>
          <w:sz w:val="24"/>
          <w:szCs w:val="24"/>
          <w:lang w:val="en-US"/>
          <w14:ligatures w14:val="none"/>
        </w:rPr>
      </w:pPr>
      <w:r w:rsidRPr="00B01ACB">
        <w:rPr>
          <w:rFonts w:ascii="Times New Roman" w:eastAsia="Times New Roman" w:hAnsi="Times New Roman" w:cs="Times New Roman"/>
          <w:b/>
          <w:kern w:val="0"/>
          <w:sz w:val="24"/>
          <w:szCs w:val="24"/>
          <w:lang w:val="en-US"/>
          <w14:ligatures w14:val="none"/>
        </w:rPr>
        <w:t xml:space="preserve">Results: </w:t>
      </w:r>
      <w:r w:rsidRPr="00B01ACB">
        <w:rPr>
          <w:rFonts w:ascii="Times New Roman" w:eastAsia="Times New Roman" w:hAnsi="Times New Roman" w:cs="Times New Roman"/>
          <w:kern w:val="0"/>
          <w:sz w:val="24"/>
          <w:szCs w:val="24"/>
          <w:lang w:val="en-US"/>
          <w14:ligatures w14:val="none"/>
        </w:rPr>
        <w:t>Preliminary findings show an immediate broiler colonization by the vaccine strain after vaccination. Spray vaccination reduced the prevalence of ESBL-</w:t>
      </w:r>
      <w:r w:rsidRPr="00B01ACB">
        <w:rPr>
          <w:rFonts w:ascii="Times New Roman" w:eastAsia="Times New Roman" w:hAnsi="Times New Roman" w:cs="Times New Roman"/>
          <w:i/>
          <w:kern w:val="0"/>
          <w:sz w:val="24"/>
          <w:szCs w:val="24"/>
          <w:lang w:val="en-US"/>
          <w14:ligatures w14:val="none"/>
        </w:rPr>
        <w:t xml:space="preserve">E. coli </w:t>
      </w:r>
      <w:r w:rsidRPr="00B01ACB">
        <w:rPr>
          <w:rFonts w:ascii="Times New Roman" w:eastAsia="Times New Roman" w:hAnsi="Times New Roman" w:cs="Times New Roman"/>
          <w:kern w:val="0"/>
          <w:sz w:val="24"/>
          <w:szCs w:val="24"/>
          <w:lang w:val="en-US"/>
          <w14:ligatures w14:val="none"/>
        </w:rPr>
        <w:t xml:space="preserve">from 41% to 11% and </w:t>
      </w:r>
      <w:r w:rsidRPr="00B01ACB">
        <w:rPr>
          <w:rFonts w:ascii="Times New Roman" w:eastAsia="Times New Roman" w:hAnsi="Times New Roman" w:cs="Times New Roman"/>
          <w:kern w:val="0"/>
          <w:sz w:val="24"/>
          <w:szCs w:val="24"/>
          <w:lang w:val="en-US"/>
          <w14:ligatures w14:val="none"/>
        </w:rPr>
        <w:t xml:space="preserve">for </w:t>
      </w:r>
      <w:proofErr w:type="spellStart"/>
      <w:r w:rsidRPr="00B01ACB">
        <w:rPr>
          <w:rFonts w:ascii="Times New Roman" w:eastAsia="Times New Roman" w:hAnsi="Times New Roman" w:cs="Times New Roman"/>
          <w:kern w:val="0"/>
          <w:sz w:val="24"/>
          <w:szCs w:val="24"/>
          <w:lang w:val="en-US"/>
          <w14:ligatures w14:val="none"/>
        </w:rPr>
        <w:t>pAmpC</w:t>
      </w:r>
      <w:proofErr w:type="spellEnd"/>
      <w:r w:rsidRPr="00B01ACB">
        <w:rPr>
          <w:rFonts w:ascii="Times New Roman" w:eastAsia="Times New Roman" w:hAnsi="Times New Roman" w:cs="Times New Roman"/>
          <w:kern w:val="0"/>
          <w:sz w:val="24"/>
          <w:szCs w:val="24"/>
          <w:lang w:val="en-US"/>
          <w14:ligatures w14:val="none"/>
        </w:rPr>
        <w:t>-</w:t>
      </w:r>
      <w:r w:rsidRPr="00B01ACB">
        <w:rPr>
          <w:rFonts w:ascii="Times New Roman" w:eastAsia="Times New Roman" w:hAnsi="Times New Roman" w:cs="Times New Roman"/>
          <w:i/>
          <w:kern w:val="0"/>
          <w:sz w:val="24"/>
          <w:szCs w:val="24"/>
          <w:lang w:val="en-US"/>
          <w14:ligatures w14:val="none"/>
        </w:rPr>
        <w:t>E. coli</w:t>
      </w:r>
      <w:r w:rsidRPr="00B01ACB">
        <w:rPr>
          <w:rFonts w:ascii="Times New Roman" w:eastAsia="Times New Roman" w:hAnsi="Times New Roman" w:cs="Times New Roman"/>
          <w:kern w:val="0"/>
          <w:sz w:val="24"/>
          <w:szCs w:val="24"/>
          <w:lang w:val="en-US"/>
          <w14:ligatures w14:val="none"/>
        </w:rPr>
        <w:t xml:space="preserve"> from 41% to 28% compared to control group, 24 hours after oral colonization with challenge strains.  No initial ESBL-/</w:t>
      </w:r>
      <w:proofErr w:type="spellStart"/>
      <w:r w:rsidRPr="00B01ACB">
        <w:rPr>
          <w:rFonts w:ascii="Times New Roman" w:eastAsia="Times New Roman" w:hAnsi="Times New Roman" w:cs="Times New Roman"/>
          <w:kern w:val="0"/>
          <w:sz w:val="24"/>
          <w:szCs w:val="24"/>
          <w:lang w:val="en-US"/>
          <w14:ligatures w14:val="none"/>
        </w:rPr>
        <w:t>pAmpC</w:t>
      </w:r>
      <w:proofErr w:type="spellEnd"/>
      <w:r w:rsidRPr="00B01ACB">
        <w:rPr>
          <w:rFonts w:ascii="Times New Roman" w:eastAsia="Times New Roman" w:hAnsi="Times New Roman" w:cs="Times New Roman"/>
          <w:kern w:val="0"/>
          <w:sz w:val="24"/>
          <w:szCs w:val="24"/>
          <w:lang w:val="en-US"/>
          <w14:ligatures w14:val="none"/>
        </w:rPr>
        <w:t>- reduction was observed after drinking water vaccination.</w:t>
      </w:r>
    </w:p>
    <w:p w14:paraId="310BA167" w14:textId="77777777" w:rsidR="00B01ACB" w:rsidRPr="00B01ACB" w:rsidRDefault="00B01ACB" w:rsidP="0096379F">
      <w:pPr>
        <w:spacing w:after="0" w:line="240" w:lineRule="auto"/>
        <w:jc w:val="both"/>
        <w:rPr>
          <w:rFonts w:ascii="Times New Roman" w:eastAsia="Times New Roman" w:hAnsi="Times New Roman" w:cs="Times New Roman"/>
          <w:color w:val="000000"/>
          <w:kern w:val="0"/>
          <w:sz w:val="24"/>
          <w:szCs w:val="24"/>
          <w:lang w:val="en-US"/>
          <w14:ligatures w14:val="none"/>
        </w:rPr>
      </w:pPr>
      <w:r w:rsidRPr="00B01ACB">
        <w:rPr>
          <w:rFonts w:ascii="Times New Roman" w:eastAsia="Times New Roman" w:hAnsi="Times New Roman" w:cs="Times New Roman"/>
          <w:b/>
          <w:color w:val="000000"/>
          <w:kern w:val="0"/>
          <w:sz w:val="24"/>
          <w:szCs w:val="24"/>
          <w:lang w:val="en-US"/>
          <w14:ligatures w14:val="none"/>
        </w:rPr>
        <w:t xml:space="preserve">Conclusion: </w:t>
      </w:r>
      <w:r w:rsidRPr="00B01ACB">
        <w:rPr>
          <w:rFonts w:ascii="Times New Roman" w:eastAsia="Times New Roman" w:hAnsi="Times New Roman" w:cs="Times New Roman"/>
          <w:color w:val="000000"/>
          <w:kern w:val="0"/>
          <w:sz w:val="24"/>
          <w:szCs w:val="24"/>
          <w:lang w:val="en-US"/>
          <w14:ligatures w14:val="none"/>
        </w:rPr>
        <w:t xml:space="preserve">Administration of live </w:t>
      </w:r>
      <w:r w:rsidRPr="00B01ACB">
        <w:rPr>
          <w:rFonts w:ascii="Times New Roman" w:eastAsia="Times New Roman" w:hAnsi="Times New Roman" w:cs="Times New Roman"/>
          <w:i/>
          <w:color w:val="000000"/>
          <w:kern w:val="0"/>
          <w:sz w:val="24"/>
          <w:szCs w:val="24"/>
          <w:lang w:val="en-US"/>
          <w14:ligatures w14:val="none"/>
        </w:rPr>
        <w:t>E. coli</w:t>
      </w:r>
      <w:r w:rsidRPr="00B01ACB">
        <w:rPr>
          <w:rFonts w:ascii="Times New Roman" w:eastAsia="Times New Roman" w:hAnsi="Times New Roman" w:cs="Times New Roman"/>
          <w:color w:val="000000"/>
          <w:kern w:val="0"/>
          <w:sz w:val="24"/>
          <w:szCs w:val="24"/>
          <w:lang w:val="en-US"/>
          <w14:ligatures w14:val="none"/>
        </w:rPr>
        <w:t xml:space="preserve"> vaccine before broiler colonization with ESBL-/</w:t>
      </w:r>
      <w:proofErr w:type="spellStart"/>
      <w:r w:rsidRPr="00B01ACB">
        <w:rPr>
          <w:rFonts w:ascii="Times New Roman" w:eastAsia="Times New Roman" w:hAnsi="Times New Roman" w:cs="Times New Roman"/>
          <w:color w:val="000000"/>
          <w:kern w:val="0"/>
          <w:sz w:val="24"/>
          <w:szCs w:val="24"/>
          <w:lang w:val="en-US"/>
          <w14:ligatures w14:val="none"/>
        </w:rPr>
        <w:t>pAmpC</w:t>
      </w:r>
      <w:proofErr w:type="spellEnd"/>
      <w:r w:rsidRPr="00B01ACB">
        <w:rPr>
          <w:rFonts w:ascii="Times New Roman" w:eastAsia="Times New Roman" w:hAnsi="Times New Roman" w:cs="Times New Roman"/>
          <w:color w:val="000000"/>
          <w:kern w:val="0"/>
          <w:sz w:val="24"/>
          <w:szCs w:val="24"/>
          <w:lang w:val="en-US"/>
          <w14:ligatures w14:val="none"/>
        </w:rPr>
        <w:t xml:space="preserve">- </w:t>
      </w:r>
      <w:r w:rsidRPr="00B01ACB">
        <w:rPr>
          <w:rFonts w:ascii="Times New Roman" w:eastAsia="Times New Roman" w:hAnsi="Times New Roman" w:cs="Times New Roman"/>
          <w:i/>
          <w:color w:val="000000"/>
          <w:kern w:val="0"/>
          <w:sz w:val="24"/>
          <w:szCs w:val="24"/>
          <w:lang w:val="en-US"/>
          <w14:ligatures w14:val="none"/>
        </w:rPr>
        <w:t>E. coli</w:t>
      </w:r>
      <w:r w:rsidRPr="00B01ACB">
        <w:rPr>
          <w:rFonts w:ascii="Times New Roman" w:eastAsia="Times New Roman" w:hAnsi="Times New Roman" w:cs="Times New Roman"/>
          <w:color w:val="000000"/>
          <w:kern w:val="0"/>
          <w:sz w:val="24"/>
          <w:szCs w:val="24"/>
          <w:lang w:val="en-US"/>
          <w14:ligatures w14:val="none"/>
        </w:rPr>
        <w:t xml:space="preserve"> can act as a competitive exclusion method in early stages of life. Nonetheless, integrating supplementary interventions is essential for effectively reduce their prevalence.</w:t>
      </w:r>
    </w:p>
    <w:p w14:paraId="263BB540" w14:textId="77777777" w:rsidR="00B01ACB" w:rsidRPr="00B01ACB" w:rsidRDefault="00B01ACB" w:rsidP="0096379F">
      <w:pPr>
        <w:spacing w:after="0" w:line="240" w:lineRule="auto"/>
        <w:jc w:val="both"/>
        <w:rPr>
          <w:rFonts w:ascii="Times New Roman" w:eastAsia="Times New Roman" w:hAnsi="Times New Roman" w:cs="Times New Roman"/>
          <w:color w:val="000000"/>
          <w:kern w:val="0"/>
          <w:sz w:val="24"/>
          <w:szCs w:val="24"/>
          <w:lang w:val="en-US"/>
          <w14:ligatures w14:val="none"/>
        </w:rPr>
      </w:pPr>
      <w:r w:rsidRPr="00B01ACB">
        <w:rPr>
          <w:rFonts w:ascii="Times New Roman" w:eastAsia="Times New Roman" w:hAnsi="Times New Roman" w:cs="Times New Roman"/>
          <w:color w:val="000000"/>
          <w:kern w:val="0"/>
          <w:sz w:val="24"/>
          <w:szCs w:val="24"/>
          <w:lang w:val="en-US"/>
          <w14:ligatures w14:val="none"/>
        </w:rPr>
        <w:t xml:space="preserve"> </w:t>
      </w:r>
    </w:p>
    <w:p w14:paraId="5BA52101" w14:textId="77777777" w:rsidR="00B01ACB" w:rsidRPr="00B01ACB" w:rsidRDefault="00B01ACB" w:rsidP="0096379F">
      <w:pPr>
        <w:spacing w:after="0" w:line="240" w:lineRule="auto"/>
        <w:jc w:val="both"/>
        <w:rPr>
          <w:rFonts w:ascii="Times New Roman" w:eastAsia="Times New Roman" w:hAnsi="Times New Roman" w:cs="Times New Roman"/>
          <w:color w:val="000000"/>
          <w:kern w:val="0"/>
          <w:sz w:val="24"/>
          <w:szCs w:val="24"/>
          <w:lang w:val="en-US"/>
          <w14:ligatures w14:val="none"/>
        </w:rPr>
      </w:pPr>
      <w:r w:rsidRPr="00B01ACB">
        <w:rPr>
          <w:rFonts w:ascii="Times New Roman" w:eastAsia="Times New Roman" w:hAnsi="Times New Roman" w:cs="Times New Roman"/>
          <w:b/>
          <w:bCs/>
          <w:color w:val="000000"/>
          <w:kern w:val="0"/>
          <w:sz w:val="24"/>
          <w:szCs w:val="24"/>
          <w:lang w:val="en-US"/>
          <w14:ligatures w14:val="none"/>
        </w:rPr>
        <w:t>Keywords:</w:t>
      </w:r>
      <w:r w:rsidRPr="00B01ACB">
        <w:rPr>
          <w:rFonts w:ascii="Times New Roman" w:eastAsia="Times New Roman" w:hAnsi="Times New Roman" w:cs="Times New Roman"/>
          <w:color w:val="000000"/>
          <w:kern w:val="0"/>
          <w:sz w:val="24"/>
          <w:szCs w:val="24"/>
          <w:lang w:val="en-US"/>
          <w14:ligatures w14:val="none"/>
        </w:rPr>
        <w:t xml:space="preserve"> Antimicrobial resistance, broiler chicken, Escherichia coli, ESBL, </w:t>
      </w:r>
      <w:proofErr w:type="spellStart"/>
      <w:r w:rsidRPr="00B01ACB">
        <w:rPr>
          <w:rFonts w:ascii="Times New Roman" w:eastAsia="Times New Roman" w:hAnsi="Times New Roman" w:cs="Times New Roman"/>
          <w:color w:val="000000"/>
          <w:kern w:val="0"/>
          <w:sz w:val="24"/>
          <w:szCs w:val="24"/>
          <w:lang w:val="en-US"/>
          <w14:ligatures w14:val="none"/>
        </w:rPr>
        <w:t>pAmpC</w:t>
      </w:r>
      <w:proofErr w:type="spellEnd"/>
      <w:r w:rsidRPr="00B01ACB">
        <w:rPr>
          <w:rFonts w:ascii="Times New Roman" w:eastAsia="Times New Roman" w:hAnsi="Times New Roman" w:cs="Times New Roman"/>
          <w:color w:val="000000"/>
          <w:kern w:val="0"/>
          <w:sz w:val="24"/>
          <w:szCs w:val="24"/>
          <w:lang w:val="en-US"/>
          <w14:ligatures w14:val="none"/>
        </w:rPr>
        <w:t>, vaccination</w:t>
      </w:r>
    </w:p>
    <w:p w14:paraId="2EC565E1" w14:textId="77777777" w:rsidR="00893266" w:rsidRPr="00B01ACB" w:rsidRDefault="00893266">
      <w:pPr>
        <w:rPr>
          <w:lang w:val="en-US"/>
        </w:rPr>
      </w:pPr>
    </w:p>
    <w:sectPr w:rsidR="00893266" w:rsidRPr="00B01ACB" w:rsidSect="00A20122">
      <w:pgSz w:w="11909" w:h="16834"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ACB"/>
    <w:rsid w:val="001734D1"/>
    <w:rsid w:val="002A6B85"/>
    <w:rsid w:val="002B553D"/>
    <w:rsid w:val="00893266"/>
    <w:rsid w:val="0096379F"/>
    <w:rsid w:val="009A3BA0"/>
    <w:rsid w:val="00A20122"/>
    <w:rsid w:val="00B01A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5F0C5"/>
  <w15:chartTrackingRefBased/>
  <w15:docId w15:val="{1C1DE23E-B38D-404C-B10C-CDB5973DF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A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1A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1A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1A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1A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1A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1A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1A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1A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A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1A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1A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1A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1A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1A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1A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1A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1ACB"/>
    <w:rPr>
      <w:rFonts w:eastAsiaTheme="majorEastAsia" w:cstheme="majorBidi"/>
      <w:color w:val="272727" w:themeColor="text1" w:themeTint="D8"/>
    </w:rPr>
  </w:style>
  <w:style w:type="paragraph" w:styleId="Title">
    <w:name w:val="Title"/>
    <w:basedOn w:val="Normal"/>
    <w:next w:val="Normal"/>
    <w:link w:val="TitleChar"/>
    <w:uiPriority w:val="10"/>
    <w:qFormat/>
    <w:rsid w:val="00B01A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A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1A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1A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1ACB"/>
    <w:pPr>
      <w:spacing w:before="160"/>
      <w:jc w:val="center"/>
    </w:pPr>
    <w:rPr>
      <w:i/>
      <w:iCs/>
      <w:color w:val="404040" w:themeColor="text1" w:themeTint="BF"/>
    </w:rPr>
  </w:style>
  <w:style w:type="character" w:customStyle="1" w:styleId="QuoteChar">
    <w:name w:val="Quote Char"/>
    <w:basedOn w:val="DefaultParagraphFont"/>
    <w:link w:val="Quote"/>
    <w:uiPriority w:val="29"/>
    <w:rsid w:val="00B01ACB"/>
    <w:rPr>
      <w:i/>
      <w:iCs/>
      <w:color w:val="404040" w:themeColor="text1" w:themeTint="BF"/>
    </w:rPr>
  </w:style>
  <w:style w:type="paragraph" w:styleId="ListParagraph">
    <w:name w:val="List Paragraph"/>
    <w:basedOn w:val="Normal"/>
    <w:uiPriority w:val="34"/>
    <w:qFormat/>
    <w:rsid w:val="00B01ACB"/>
    <w:pPr>
      <w:ind w:left="720"/>
      <w:contextualSpacing/>
    </w:pPr>
  </w:style>
  <w:style w:type="character" w:styleId="IntenseEmphasis">
    <w:name w:val="Intense Emphasis"/>
    <w:basedOn w:val="DefaultParagraphFont"/>
    <w:uiPriority w:val="21"/>
    <w:qFormat/>
    <w:rsid w:val="00B01ACB"/>
    <w:rPr>
      <w:i/>
      <w:iCs/>
      <w:color w:val="0F4761" w:themeColor="accent1" w:themeShade="BF"/>
    </w:rPr>
  </w:style>
  <w:style w:type="paragraph" w:styleId="IntenseQuote">
    <w:name w:val="Intense Quote"/>
    <w:basedOn w:val="Normal"/>
    <w:next w:val="Normal"/>
    <w:link w:val="IntenseQuoteChar"/>
    <w:uiPriority w:val="30"/>
    <w:qFormat/>
    <w:rsid w:val="00B01A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1ACB"/>
    <w:rPr>
      <w:i/>
      <w:iCs/>
      <w:color w:val="0F4761" w:themeColor="accent1" w:themeShade="BF"/>
    </w:rPr>
  </w:style>
  <w:style w:type="character" w:styleId="IntenseReference">
    <w:name w:val="Intense Reference"/>
    <w:basedOn w:val="DefaultParagraphFont"/>
    <w:uiPriority w:val="32"/>
    <w:qFormat/>
    <w:rsid w:val="00B01ACB"/>
    <w:rPr>
      <w:b/>
      <w:bCs/>
      <w:smallCaps/>
      <w:color w:val="0F4761" w:themeColor="accent1" w:themeShade="BF"/>
      <w:spacing w:val="5"/>
    </w:rPr>
  </w:style>
  <w:style w:type="character" w:styleId="CommentReference">
    <w:name w:val="annotation reference"/>
    <w:basedOn w:val="DefaultParagraphFont"/>
    <w:uiPriority w:val="99"/>
    <w:semiHidden/>
    <w:unhideWhenUsed/>
    <w:rsid w:val="00B01ACB"/>
    <w:rPr>
      <w:sz w:val="16"/>
      <w:szCs w:val="16"/>
    </w:rPr>
  </w:style>
  <w:style w:type="paragraph" w:styleId="CommentText">
    <w:name w:val="annotation text"/>
    <w:basedOn w:val="Normal"/>
    <w:link w:val="CommentTextChar"/>
    <w:uiPriority w:val="99"/>
    <w:semiHidden/>
    <w:unhideWhenUsed/>
    <w:rsid w:val="00B01ACB"/>
    <w:pPr>
      <w:spacing w:after="0" w:line="240" w:lineRule="auto"/>
    </w:pPr>
    <w:rPr>
      <w:rFonts w:ascii="Times New Roman" w:eastAsia="Times New Roman" w:hAnsi="Times New Roman" w:cs="Times New Roman"/>
      <w:kern w:val="0"/>
      <w:sz w:val="20"/>
      <w:szCs w:val="20"/>
      <w:lang w:val="en-US"/>
      <w14:ligatures w14:val="none"/>
    </w:rPr>
  </w:style>
  <w:style w:type="character" w:customStyle="1" w:styleId="CommentTextChar">
    <w:name w:val="Comment Text Char"/>
    <w:basedOn w:val="DefaultParagraphFont"/>
    <w:link w:val="CommentText"/>
    <w:uiPriority w:val="99"/>
    <w:semiHidden/>
    <w:rsid w:val="00B01ACB"/>
    <w:rPr>
      <w:rFonts w:ascii="Times New Roman" w:eastAsia="Times New Roman" w:hAnsi="Times New Roman"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iana.vargas.gallo@fu-berlin.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368</Words>
  <Characters>2319</Characters>
  <Application>Microsoft Office Word</Application>
  <DocSecurity>0</DocSecurity>
  <Lines>19</Lines>
  <Paragraphs>5</Paragraphs>
  <ScaleCrop>false</ScaleCrop>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Vargas</dc:creator>
  <cp:keywords/>
  <dc:description/>
  <cp:lastModifiedBy>Diana Vargas</cp:lastModifiedBy>
  <cp:revision>2</cp:revision>
  <dcterms:created xsi:type="dcterms:W3CDTF">2024-04-16T17:10:00Z</dcterms:created>
  <dcterms:modified xsi:type="dcterms:W3CDTF">2024-04-16T17:17:00Z</dcterms:modified>
</cp:coreProperties>
</file>