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Times New Roman" w:cs="Times New Roman" w:eastAsia="Times New Roman" w:hAnsi="Times New Roman"/>
          <w:b/>
          <w:bCs/>
          <w:sz w:val="36"/>
          <w:szCs w:val="36"/>
        </w:rPr>
        <w:t xml:space="preserve">The Digitization of Tacit Knowledge</w:t>
      </w:r>
    </w:p>
    <w:p>
      <w:pPr>
        <w:spacing w:after="480"/>
        <w:jc w:val="center"/>
      </w:pPr>
      <w:r>
        <w:rPr>
          <w:rFonts w:ascii="Times New Roman" w:cs="Times New Roman" w:eastAsia="Times New Roman" w:hAnsi="Times New Roman"/>
          <w:i/>
          <w:iCs/>
          <w:sz w:val="26"/>
          <w:szCs w:val="26"/>
        </w:rPr>
        <w:t xml:space="preserve">CIAER as a Candidate Minimum Sufficient Schema for Adaptive Purposeful Behavior and an Empirical Framework for Capturing Human Expertise in Cyber-Physical Systems</w:t>
      </w:r>
    </w:p>
    <w:p>
      <w:pPr>
        <w:spacing w:after="120" w:before="720"/>
        <w:jc w:val="center"/>
      </w:pPr>
      <w:r>
        <w:rPr>
          <w:rFonts w:ascii="Times New Roman" w:cs="Times New Roman" w:eastAsia="Times New Roman" w:hAnsi="Times New Roman"/>
          <w:b/>
          <w:bCs/>
          <w:sz w:val="26"/>
          <w:szCs w:val="26"/>
        </w:rPr>
        <w:t xml:space="preserve">Kahn Capps</w:t>
      </w:r>
    </w:p>
    <w:p>
      <w:pPr>
        <w:spacing w:after="120"/>
        <w:jc w:val="center"/>
      </w:pPr>
      <w:r>
        <w:rPr>
          <w:rFonts w:ascii="Times New Roman" w:cs="Times New Roman" w:eastAsia="Times New Roman" w:hAnsi="Times New Roman"/>
          <w:sz w:val="24"/>
          <w:szCs w:val="24"/>
        </w:rPr>
        <w:t xml:space="preserve">Capps Family Enterprises</w:t>
      </w:r>
    </w:p>
    <w:p>
      <w:pPr>
        <w:spacing w:after="120"/>
        <w:jc w:val="center"/>
      </w:pPr>
      <w:r>
        <w:rPr>
          <w:rFonts w:ascii="Times New Roman" w:cs="Times New Roman" w:eastAsia="Times New Roman" w:hAnsi="Times New Roman"/>
          <w:sz w:val="24"/>
          <w:szCs w:val="24"/>
        </w:rPr>
        <w:t xml:space="preserve">Helena-West Helena, Arkansas</w:t>
      </w:r>
    </w:p>
    <w:p>
      <w:pPr>
        <w:spacing w:after="240"/>
        <w:jc w:val="center"/>
      </w:pPr>
      <w:r>
        <w:rPr>
          <w:rFonts w:ascii="Times New Roman" w:cs="Times New Roman" w:eastAsia="Times New Roman" w:hAnsi="Times New Roman"/>
          <w:sz w:val="24"/>
          <w:szCs w:val="24"/>
        </w:rPr>
        <w:t xml:space="preserve">2026</w:t>
      </w:r>
    </w:p>
    <w:p>
      <w:r>
        <w:br w:type="page"/>
      </w:r>
    </w:p>
    <w:p>
      <w:pPr>
        <w:spacing w:after="180" w:before="240"/>
        <w:jc w:val="center"/>
      </w:pPr>
      <w:r>
        <w:rPr>
          <w:rFonts w:ascii="Times New Roman" w:cs="Times New Roman" w:eastAsia="Times New Roman" w:hAnsi="Times New Roman"/>
          <w:b/>
          <w:bCs/>
          <w:sz w:val="26"/>
          <w:szCs w:val="26"/>
        </w:rPr>
        <w:t xml:space="preserve">Abstract</w:t>
      </w:r>
    </w:p>
    <w:p>
      <w:pPr>
        <w:spacing w:after="120" w:before="120" w:line="276"/>
        <w:jc w:val="both"/>
      </w:pPr>
      <w:r>
        <w:rPr>
          <w:rFonts w:ascii="Times New Roman" w:cs="Times New Roman" w:eastAsia="Times New Roman" w:hAnsi="Times New Roman"/>
          <w:sz w:val="22"/>
          <w:szCs w:val="22"/>
        </w:rPr>
        <w:t xml:space="preserve">This paper presents a framework for the systematic digitization of human expertise within cyber-physical systems, grounded in a central theoretical proposition: the five-phase decision event schema introduced here—Cause, Intuition, Action, Effect, Result (CIAER)—is proposed as a candidate minimum sufficient behavioral schema for adaptive purposeful behavior in embodied agents. We characterize CIAER as a candidate formal description of how embodied agents manage the continuous bidirectional reconciliation between an internal world model and an external environment. The knowledge graph constructed from accumulated CIAER events acts as a partial externalization of this reconciliation history—capturing the non-propositional expertise historically lost to conventional documentation.</w:t>
      </w:r>
    </w:p>
    <w:p>
      <w:pPr>
        <w:spacing w:after="120" w:before="120" w:line="276"/>
        <w:jc w:val="both"/>
      </w:pPr>
      <w:r>
        <w:rPr>
          <w:rFonts w:ascii="Times New Roman" w:cs="Times New Roman" w:eastAsia="Times New Roman" w:hAnsi="Times New Roman"/>
          <w:sz w:val="22"/>
          <w:szCs w:val="22"/>
        </w:rPr>
        <w:t xml:space="preserve">To operationalize this theory, we present (a) the theoretical framework and topological justification for the schema, (b) a layered multimodal capture architecture utilizing edge-compute PPE (hearing protection, smartphone camera, and biometric wearables), (c) a multi-domain validation roadmap designed to test the framework’s empirical claims across distinct operational environments, and (d) the deployment status of a proof-of-concept application, ArcShield, currently operating on a live PVC extrusion line. At present, the proof-of-concept demonstrates the feasibility of the capture pipeline rather than empirical proof of the hypothesis. By capturing Cause and Intuition alongside Action, the architecture directly addresses causal confusion in imitation learning, offering a structured protocol for transferring tacit industrial expertise into machine-readable formats.</w:t>
      </w:r>
    </w:p>
    <w:p>
      <w:pPr>
        <w:spacing w:after="120" w:before="18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CIAER • bidirectional reconciliation • tacit knowledge digitization • cognitive task analysis • somatic marker hypothesis • edge AI • causal confusion • connected worker</w:t>
      </w:r>
    </w:p>
    <w:p>
      <w:pPr>
        <w:pStyle w:val="Heading1"/>
        <w:spacing w:after="180" w:before="360"/>
      </w:pPr>
      <w:r>
        <w:rPr>
          <w:rFonts w:ascii="Times New Roman" w:cs="Times New Roman" w:eastAsia="Times New Roman" w:hAnsi="Times New Roman"/>
          <w:b/>
          <w:bCs/>
          <w:sz w:val="28"/>
          <w:szCs w:val="28"/>
        </w:rPr>
        <w:t xml:space="preserve">1. The Macroeconomic Crisis of Cognitive Capital Depletion</w:t>
      </w:r>
    </w:p>
    <w:p>
      <w:pPr>
        <w:spacing w:after="120" w:before="120" w:line="276"/>
        <w:jc w:val="both"/>
      </w:pPr>
      <w:r>
        <w:rPr>
          <w:rFonts w:ascii="Times New Roman" w:cs="Times New Roman" w:eastAsia="Times New Roman" w:hAnsi="Times New Roman"/>
          <w:sz w:val="22"/>
          <w:szCs w:val="22"/>
        </w:rPr>
        <w:t xml:space="preserve">The global industrial and operational landscape is undergoing a severe demographic contraction. The Alliance for Lifetime Income identifies 2024 through 2027 as the “Peak 65 Zone,” with over 11,200 Americans reaching traditional retirement age daily. Within U.S. manufacturing, approximately 26% of the workforce is aged 55 or older. Deloitte and The Manufacturing Institute (2024) project a requirement for 3.8 million new manufacturing employees by 2033, with 1.9 million positions at risk of remaining unfilled due to severe skills gaps.</w:t>
      </w:r>
    </w:p>
    <w:p>
      <w:pPr>
        <w:spacing w:after="120" w:before="120" w:line="276"/>
        <w:jc w:val="both"/>
      </w:pPr>
      <w:r>
        <w:rPr>
          <w:rFonts w:ascii="Times New Roman" w:cs="Times New Roman" w:eastAsia="Times New Roman" w:hAnsi="Times New Roman"/>
          <w:sz w:val="22"/>
          <w:szCs w:val="22"/>
        </w:rPr>
        <w:t xml:space="preserve">The qualitative dimension of this exodus is severe: cognitive task analysis literature consistently demonstrates that the majority of critical operational knowledge is non-propositional and rarely documented (Crandall, Klein, and Hoffman, 2006; Hoffman and Militello, 2008). The conventional framing of this crisis as a documentation problem correctable through improved Standard Operating Procedure (SOP) generation reflects a category error. The tacit expertise of a veteran operator extends substantially beyond rule-like knowledge. It is the accumulated bidirectional reconciliation history between an individual agent and a specific operational environment, encoded in the parameter-state of a learned generative model. This knowledge cannot be reconstructed from explicit documentation because it was never encoded in propositional form.</w:t>
      </w:r>
    </w:p>
    <w:p>
      <w:pPr>
        <w:pStyle w:val="Heading1"/>
        <w:spacing w:after="180" w:before="360"/>
      </w:pPr>
      <w:r>
        <w:rPr>
          <w:rFonts w:ascii="Times New Roman" w:cs="Times New Roman" w:eastAsia="Times New Roman" w:hAnsi="Times New Roman"/>
          <w:b/>
          <w:bCs/>
          <w:sz w:val="28"/>
          <w:szCs w:val="28"/>
        </w:rPr>
        <w:t xml:space="preserve">2. Theoretical Foundations: Convergent Evidence for a Bidirectional Schema</w:t>
      </w:r>
    </w:p>
    <w:p>
      <w:pPr>
        <w:spacing w:after="120" w:before="120" w:line="276"/>
        <w:jc w:val="both"/>
      </w:pPr>
      <w:r>
        <w:rPr>
          <w:rFonts w:ascii="Times New Roman" w:cs="Times New Roman" w:eastAsia="Times New Roman" w:hAnsi="Times New Roman"/>
          <w:sz w:val="22"/>
          <w:szCs w:val="22"/>
        </w:rPr>
        <w:t xml:space="preserve">The theoretical foundation of this paper rests on substantive convergent testimony across roughly four independent academic lineages spanning over a century. While these traditions have documented mutual influences, their convergence on structurally equivalent descriptions of the agent-environment interaction cycle establishes the plausibility of the CIAER schema as an empirical capture protocol.</w:t>
      </w:r>
    </w:p>
    <w:p>
      <w:pPr>
        <w:pStyle w:val="Heading2"/>
        <w:spacing w:after="120" w:before="240"/>
      </w:pPr>
      <w:r>
        <w:rPr>
          <w:rFonts w:ascii="Times New Roman" w:cs="Times New Roman" w:eastAsia="Times New Roman" w:hAnsi="Times New Roman"/>
          <w:b/>
          <w:bCs/>
          <w:sz w:val="24"/>
          <w:szCs w:val="24"/>
        </w:rPr>
        <w:t xml:space="preserve">2.1 The Foundational Claim: A Capture Protocol for Purposeful Behavior</w:t>
      </w:r>
    </w:p>
    <w:p>
      <w:pPr>
        <w:spacing w:after="120" w:before="120" w:line="276"/>
        <w:jc w:val="both"/>
      </w:pPr>
      <w:r>
        <w:rPr>
          <w:rFonts w:ascii="Times New Roman" w:cs="Times New Roman" w:eastAsia="Times New Roman" w:hAnsi="Times New Roman"/>
          <w:sz w:val="22"/>
          <w:szCs w:val="22"/>
        </w:rPr>
        <w:t xml:space="preserve">We propose CIAER (Cause, Intuition, Action, Effect, Result) as a candidate minimal decomposition of what an agent must do to act purposefully in a dynamic environment. The five-phase structure functions here as a working stipulation and empirical capture protocol, pending the validation design outlined in Section 7.</w:t>
      </w:r>
    </w:p>
    <w:p>
      <w:pPr>
        <w:spacing w:after="120" w:before="120" w:line="276"/>
        <w:jc w:val="both"/>
      </w:pPr>
      <w:r>
        <w:rPr>
          <w:rFonts w:ascii="Times New Roman" w:cs="Times New Roman" w:eastAsia="Times New Roman" w:hAnsi="Times New Roman"/>
          <w:b/>
          <w:bCs/>
          <w:sz w:val="22"/>
          <w:szCs w:val="22"/>
        </w:rPr>
        <w:t xml:space="preserve">2.1.1 Topological Justification: </w:t>
      </w:r>
      <w:r>
        <w:rPr>
          <w:rFonts w:ascii="Times New Roman" w:cs="Times New Roman" w:eastAsia="Times New Roman" w:hAnsi="Times New Roman"/>
          <w:sz w:val="22"/>
          <w:szCs w:val="22"/>
        </w:rPr>
        <w:t xml:space="preserve">The five-phase count corresponds to a particular decomposition of the agent-environment interaction by direction of information flow. Cause is the inward boundary-crossing (environmental state registers as prediction error). Intuition is the internal transformation (action selection). Action is the outward boundary-crossing (environmental restructuring). Effect is the environmental response. Result is the inward integration of that response. Alternative decompositions are conceivable, but we propose this one as the minimal decomposition that preserves the capture distinctions our industrial application requires.</w:t>
      </w:r>
    </w:p>
    <w:p>
      <w:pPr>
        <w:spacing w:after="120" w:before="120" w:line="276"/>
        <w:jc w:val="both"/>
      </w:pPr>
      <w:r>
        <w:rPr>
          <w:rFonts w:ascii="Times New Roman" w:cs="Times New Roman" w:eastAsia="Times New Roman" w:hAnsi="Times New Roman"/>
          <w:b/>
          <w:bCs/>
          <w:sz w:val="22"/>
          <w:szCs w:val="22"/>
        </w:rPr>
        <w:t xml:space="preserve">2.1.2 Multi-Timescale Tolerance: </w:t>
      </w:r>
      <w:r>
        <w:rPr>
          <w:rFonts w:ascii="Times New Roman" w:cs="Times New Roman" w:eastAsia="Times New Roman" w:hAnsi="Times New Roman"/>
          <w:sz w:val="22"/>
          <w:szCs w:val="22"/>
        </w:rPr>
        <w:t xml:space="preserve">The phases need not operate on uniform timescales. An expert’s outward arc (Action) may be executed in milliseconds, while the inward arc (Result/learning) unfolds over hours or weeks. The framework requires topological presence of the phases, not temporal coupling.</w:t>
      </w:r>
    </w:p>
    <w:p>
      <w:pPr>
        <w:spacing w:after="120" w:before="120" w:line="276"/>
        <w:jc w:val="both"/>
      </w:pPr>
      <w:r>
        <w:rPr>
          <w:rFonts w:ascii="Times New Roman" w:cs="Times New Roman" w:eastAsia="Times New Roman" w:hAnsi="Times New Roman"/>
          <w:b/>
          <w:bCs/>
          <w:sz w:val="22"/>
          <w:szCs w:val="22"/>
        </w:rPr>
        <w:t xml:space="preserve">2.1.3 Scope of Embodied Agency: </w:t>
      </w:r>
      <w:r>
        <w:rPr>
          <w:rFonts w:ascii="Times New Roman" w:cs="Times New Roman" w:eastAsia="Times New Roman" w:hAnsi="Times New Roman"/>
          <w:sz w:val="22"/>
          <w:szCs w:val="22"/>
        </w:rPr>
        <w:t xml:space="preserve">The framework applies to systems that maintain their own organization against environmental perturbation through bidirectional reconciliation, possessing an experience-dependent model update mechanism. This excludes fixed-function transducers (e.g., simple bimetallic thermostats) that possess feedback loops but lack the capacity for structural learning.</w:t>
      </w:r>
    </w:p>
    <w:p>
      <w:pPr>
        <w:pStyle w:val="Heading2"/>
        <w:spacing w:after="120" w:before="240"/>
      </w:pPr>
      <w:r>
        <w:rPr>
          <w:rFonts w:ascii="Times New Roman" w:cs="Times New Roman" w:eastAsia="Times New Roman" w:hAnsi="Times New Roman"/>
          <w:b/>
          <w:bCs/>
          <w:sz w:val="24"/>
          <w:szCs w:val="24"/>
        </w:rPr>
        <w:t xml:space="preserve">2.2 Lineage 1: Pragmatism to Predictive Processing</w:t>
      </w:r>
    </w:p>
    <w:p>
      <w:pPr>
        <w:spacing w:after="120" w:before="120" w:line="276"/>
        <w:jc w:val="both"/>
      </w:pPr>
      <w:r>
        <w:rPr>
          <w:rFonts w:ascii="Times New Roman" w:cs="Times New Roman" w:eastAsia="Times New Roman" w:hAnsi="Times New Roman"/>
          <w:sz w:val="22"/>
          <w:szCs w:val="22"/>
        </w:rPr>
        <w:t xml:space="preserve">John Dewey’s (1896) “sensorimotor coordination circuit” provided the earliest challenge to linear stimulus-response models, arguing that responses transform the conditions for the next stimulus. This circuit concept flowed into Wiener’s cybernetics (1948) and eventually into modern predictive processing and coding architectures (Rao and Ballard, 1999; Clark, 2016), which formally cast action as active inference designed to minimize prediction error.</w:t>
      </w:r>
    </w:p>
    <w:p>
      <w:pPr>
        <w:pStyle w:val="Heading2"/>
        <w:spacing w:after="120" w:before="240"/>
      </w:pPr>
      <w:r>
        <w:rPr>
          <w:rFonts w:ascii="Times New Roman" w:cs="Times New Roman" w:eastAsia="Times New Roman" w:hAnsi="Times New Roman"/>
          <w:b/>
          <w:bCs/>
          <w:sz w:val="24"/>
          <w:szCs w:val="24"/>
        </w:rPr>
        <w:t xml:space="preserve">2.3 Lineage 2: Organizational and Phenomenological Epistemology</w:t>
      </w:r>
    </w:p>
    <w:p>
      <w:pPr>
        <w:spacing w:after="120" w:before="120" w:line="276"/>
        <w:jc w:val="both"/>
      </w:pPr>
      <w:r>
        <w:rPr>
          <w:rFonts w:ascii="Times New Roman" w:cs="Times New Roman" w:eastAsia="Times New Roman" w:hAnsi="Times New Roman"/>
          <w:sz w:val="22"/>
          <w:szCs w:val="22"/>
        </w:rPr>
        <w:t xml:space="preserve">Polanyi’s (1958) epistemology of tacit knowledge and Nonaka and Takeuchi’s SECI model (1995) define the externalization bottleneck in industry. The Dreyfus model of skill acquisition (1986) empirically grounds why experts act intuitively without reflective decision-making, while Kolb’s Experiential Learning Cycle (1984) maps structural learning through reflection and experimentation.</w:t>
      </w:r>
    </w:p>
    <w:p>
      <w:pPr>
        <w:pStyle w:val="Heading2"/>
        <w:spacing w:after="120" w:before="240"/>
      </w:pPr>
      <w:r>
        <w:rPr>
          <w:rFonts w:ascii="Times New Roman" w:cs="Times New Roman" w:eastAsia="Times New Roman" w:hAnsi="Times New Roman"/>
          <w:b/>
          <w:bCs/>
          <w:sz w:val="24"/>
          <w:szCs w:val="24"/>
        </w:rPr>
        <w:t xml:space="preserve">2.4 Lineage 3: Naturalistic Decision Making and Human Factors</w:t>
      </w:r>
    </w:p>
    <w:p>
      <w:pPr>
        <w:spacing w:after="120" w:before="120" w:line="276"/>
        <w:jc w:val="both"/>
      </w:pPr>
      <w:r>
        <w:rPr>
          <w:rFonts w:ascii="Times New Roman" w:cs="Times New Roman" w:eastAsia="Times New Roman" w:hAnsi="Times New Roman"/>
          <w:sz w:val="22"/>
          <w:szCs w:val="22"/>
        </w:rPr>
        <w:t xml:space="preserve">Rasmussen’s Skill-Rule-Knowledge (SRK) hierarchy (1983) and Klein’s Recognition-Primed Decision (RPD) model (1993) provide the structural account of expert intuitive choice. Boyd’s OODA Loop (1986) conceptualized a similar cycle for military strategy. CIAER is not intended to replace OODA; rather, it adds components intended to enable systematic empirical capture of the cycle’s contents, particularly the distinction between the environmental Effect and internal Result, which OODA’s original formulation was not designed to support.</w:t>
      </w:r>
    </w:p>
    <w:p>
      <w:pPr>
        <w:pStyle w:val="Heading2"/>
        <w:spacing w:after="120" w:before="240"/>
      </w:pPr>
      <w:r>
        <w:rPr>
          <w:rFonts w:ascii="Times New Roman" w:cs="Times New Roman" w:eastAsia="Times New Roman" w:hAnsi="Times New Roman"/>
          <w:b/>
          <w:bCs/>
          <w:sz w:val="24"/>
          <w:szCs w:val="24"/>
        </w:rPr>
        <w:t xml:space="preserve">2.5 Lineage 4: Neurobiology and Somatic Markers</w:t>
      </w:r>
    </w:p>
    <w:p>
      <w:pPr>
        <w:spacing w:after="120" w:before="120" w:line="276"/>
        <w:jc w:val="both"/>
      </w:pPr>
      <w:r>
        <w:rPr>
          <w:rFonts w:ascii="Times New Roman" w:cs="Times New Roman" w:eastAsia="Times New Roman" w:hAnsi="Times New Roman"/>
          <w:sz w:val="22"/>
          <w:szCs w:val="22"/>
        </w:rPr>
        <w:t xml:space="preserve">Damasio’s Somatic Marker Hypothesis (1994) provides the neurobiological anchor for our biometric capture strategy, positing that physiological responses (EDA, HRV) encode the accumulated outcome history of prior decisions. It must be noted that applying this hypothesis to industrial expert judgment is a theoretical extension; the original hypothesis pertained to economic decision-making under uncertainty, and its universality remains subject to ongoing empirical debate (Maia &amp; McClelland, 2004; Dunn, Dalgleish &amp; Lawrence, 2006).</w:t>
      </w:r>
    </w:p>
    <w:p>
      <w:pPr>
        <w:pStyle w:val="Heading1"/>
        <w:spacing w:after="180" w:before="360"/>
      </w:pPr>
      <w:r>
        <w:rPr>
          <w:rFonts w:ascii="Times New Roman" w:cs="Times New Roman" w:eastAsia="Times New Roman" w:hAnsi="Times New Roman"/>
          <w:b/>
          <w:bCs/>
          <w:sz w:val="28"/>
          <w:szCs w:val="28"/>
        </w:rPr>
        <w:t xml:space="preserve">3. The CIAER Schema: Formal Definition</w:t>
      </w:r>
    </w:p>
    <w:p>
      <w:pPr>
        <w:spacing w:after="120" w:before="120" w:line="276"/>
        <w:jc w:val="both"/>
      </w:pPr>
      <w:r>
        <w:rPr>
          <w:rFonts w:ascii="Times New Roman" w:cs="Times New Roman" w:eastAsia="Times New Roman" w:hAnsi="Times New Roman"/>
          <w:sz w:val="22"/>
          <w:szCs w:val="22"/>
        </w:rPr>
        <w:t xml:space="preserve">The schema is formally defined as a directed cyclic graph:</w:t>
      </w:r>
    </w:p>
    <w:p>
      <w:pPr>
        <w:pStyle w:val="ListParagraph"/>
        <w:numPr>
          <w:ilvl w:val="0"/>
          <w:numId w:val="2"/>
        </w:numPr>
        <w:spacing w:after="60" w:before="60" w:line="276"/>
      </w:pPr>
      <w:r>
        <w:rPr>
          <w:rFonts w:ascii="Times New Roman" w:cs="Times New Roman" w:eastAsia="Times New Roman" w:hAnsi="Times New Roman"/>
          <w:b/>
          <w:bCs/>
          <w:sz w:val="22"/>
          <w:szCs w:val="22"/>
        </w:rPr>
        <w:t xml:space="preserve">Cause: </w:t>
      </w:r>
      <w:r>
        <w:rPr>
          <w:rFonts w:ascii="Times New Roman" w:cs="Times New Roman" w:eastAsia="Times New Roman" w:hAnsi="Times New Roman"/>
          <w:sz w:val="22"/>
          <w:szCs w:val="22"/>
        </w:rPr>
        <w:t xml:space="preserve">A registered discrepancy between the internal model’s prediction and the actual environmental state.</w:t>
      </w:r>
    </w:p>
    <w:p>
      <w:pPr>
        <w:pStyle w:val="ListParagraph"/>
        <w:numPr>
          <w:ilvl w:val="0"/>
          <w:numId w:val="2"/>
        </w:numPr>
        <w:spacing w:after="60" w:before="60" w:line="276"/>
      </w:pPr>
      <w:r>
        <w:rPr>
          <w:rFonts w:ascii="Times New Roman" w:cs="Times New Roman" w:eastAsia="Times New Roman" w:hAnsi="Times New Roman"/>
          <w:b/>
          <w:bCs/>
          <w:sz w:val="22"/>
          <w:szCs w:val="22"/>
        </w:rPr>
        <w:t xml:space="preserve">Intuition: </w:t>
      </w:r>
      <w:r>
        <w:rPr>
          <w:rFonts w:ascii="Times New Roman" w:cs="Times New Roman" w:eastAsia="Times New Roman" w:hAnsi="Times New Roman"/>
          <w:sz w:val="22"/>
          <w:szCs w:val="22"/>
        </w:rPr>
        <w:t xml:space="preserve">Internal model update to identify the probable cause and evaluate candidate actions (operating at Skill, Rule, or Knowledge levels).</w:t>
      </w:r>
    </w:p>
    <w:p>
      <w:pPr>
        <w:pStyle w:val="ListParagraph"/>
        <w:numPr>
          <w:ilvl w:val="0"/>
          <w:numId w:val="2"/>
        </w:numPr>
        <w:spacing w:after="60" w:before="60" w:line="276"/>
      </w:pPr>
      <w:r>
        <w:rPr>
          <w:rFonts w:ascii="Times New Roman" w:cs="Times New Roman" w:eastAsia="Times New Roman" w:hAnsi="Times New Roman"/>
          <w:b/>
          <w:bCs/>
          <w:sz w:val="22"/>
          <w:szCs w:val="22"/>
        </w:rPr>
        <w:t xml:space="preserve">Action: </w:t>
      </w:r>
      <w:r>
        <w:rPr>
          <w:rFonts w:ascii="Times New Roman" w:cs="Times New Roman" w:eastAsia="Times New Roman" w:hAnsi="Times New Roman"/>
          <w:sz w:val="22"/>
          <w:szCs w:val="22"/>
        </w:rPr>
        <w:t xml:space="preserve">The execution of the selected intervention.</w:t>
      </w:r>
    </w:p>
    <w:p>
      <w:pPr>
        <w:pStyle w:val="ListParagraph"/>
        <w:numPr>
          <w:ilvl w:val="0"/>
          <w:numId w:val="2"/>
        </w:numPr>
        <w:spacing w:after="60" w:before="60" w:line="276"/>
      </w:pPr>
      <w:r>
        <w:rPr>
          <w:rFonts w:ascii="Times New Roman" w:cs="Times New Roman" w:eastAsia="Times New Roman" w:hAnsi="Times New Roman"/>
          <w:b/>
          <w:bCs/>
          <w:sz w:val="22"/>
          <w:szCs w:val="22"/>
        </w:rPr>
        <w:t xml:space="preserve">Effect: </w:t>
      </w:r>
      <w:r>
        <w:rPr>
          <w:rFonts w:ascii="Times New Roman" w:cs="Times New Roman" w:eastAsia="Times New Roman" w:hAnsi="Times New Roman"/>
          <w:sz w:val="22"/>
          <w:szCs w:val="22"/>
        </w:rPr>
        <w:t xml:space="preserve">The new environmental state generated by the intervention.</w:t>
      </w:r>
    </w:p>
    <w:p>
      <w:pPr>
        <w:pStyle w:val="ListParagraph"/>
        <w:numPr>
          <w:ilvl w:val="0"/>
          <w:numId w:val="2"/>
        </w:numPr>
        <w:spacing w:after="60" w:before="60" w:line="276"/>
      </w:pPr>
      <w:r>
        <w:rPr>
          <w:rFonts w:ascii="Times New Roman" w:cs="Times New Roman" w:eastAsia="Times New Roman" w:hAnsi="Times New Roman"/>
          <w:b/>
          <w:bCs/>
          <w:sz w:val="22"/>
          <w:szCs w:val="22"/>
        </w:rPr>
        <w:t xml:space="preserve">Result: </w:t>
      </w:r>
      <w:r>
        <w:rPr>
          <w:rFonts w:ascii="Times New Roman" w:cs="Times New Roman" w:eastAsia="Times New Roman" w:hAnsi="Times New Roman"/>
          <w:sz w:val="22"/>
          <w:szCs w:val="22"/>
        </w:rPr>
        <w:t xml:space="preserve">The evaluation of the Effect against the model’s prediction, updating the reconciliation pathway.</w:t>
      </w:r>
    </w:p>
    <w:p>
      <w:pPr>
        <w:spacing w:after="120" w:before="120" w:line="276"/>
        <w:jc w:val="both"/>
      </w:pPr>
      <w:r>
        <w:rPr>
          <w:rFonts w:ascii="Times New Roman" w:cs="Times New Roman" w:eastAsia="Times New Roman" w:hAnsi="Times New Roman"/>
          <w:sz w:val="22"/>
          <w:szCs w:val="22"/>
        </w:rPr>
        <w:t xml:space="preserve">When two expert agents observe the same Cause event and produce different Intuition-to-Action paths, CIAER preserves these divergent chains as parallel subgraphs. These divergence points are high-information-density nodes revealing latent variables distinguishing varying levels of expertise.</w:t>
      </w:r>
    </w:p>
    <w:p>
      <w:pPr>
        <w:pStyle w:val="Heading1"/>
        <w:spacing w:after="180" w:before="360"/>
      </w:pPr>
      <w:r>
        <w:rPr>
          <w:rFonts w:ascii="Times New Roman" w:cs="Times New Roman" w:eastAsia="Times New Roman" w:hAnsi="Times New Roman"/>
          <w:b/>
          <w:bCs/>
          <w:sz w:val="28"/>
          <w:szCs w:val="28"/>
        </w:rPr>
        <w:t xml:space="preserve">4. Cross-Domain Manifestations</w:t>
      </w:r>
    </w:p>
    <w:p>
      <w:pPr>
        <w:spacing w:after="120" w:before="120" w:line="276"/>
        <w:jc w:val="both"/>
      </w:pPr>
      <w:r>
        <w:rPr>
          <w:rFonts w:ascii="Times New Roman" w:cs="Times New Roman" w:eastAsia="Times New Roman" w:hAnsi="Times New Roman"/>
          <w:sz w:val="22"/>
          <w:szCs w:val="22"/>
        </w:rPr>
        <w:t xml:space="preserve">To illustrate the schema’s applicability, we provide examples across distinct operational domains. With the exception of the polymer extrusion case (which is grounded in first-person operational deployment), these examples are illustrative cross-domain applications described from an external analytical perspective.</w:t>
      </w:r>
    </w:p>
    <w:p>
      <w:pPr>
        <w:pStyle w:val="ListParagraph"/>
        <w:numPr>
          <w:ilvl w:val="0"/>
          <w:numId w:val="2"/>
        </w:numPr>
        <w:spacing w:after="60" w:before="60" w:line="276"/>
      </w:pPr>
      <w:r>
        <w:rPr>
          <w:rFonts w:ascii="Times New Roman" w:cs="Times New Roman" w:eastAsia="Times New Roman" w:hAnsi="Times New Roman"/>
          <w:b/>
          <w:bCs/>
          <w:sz w:val="22"/>
          <w:szCs w:val="22"/>
        </w:rPr>
        <w:t xml:space="preserve">PVC Extrusion (Grounded): </w:t>
      </w:r>
      <w:r>
        <w:rPr>
          <w:rFonts w:ascii="Times New Roman" w:cs="Times New Roman" w:eastAsia="Times New Roman" w:hAnsi="Times New Roman"/>
          <w:sz w:val="22"/>
          <w:szCs w:val="22"/>
        </w:rPr>
        <w:t xml:space="preserve">Cause (visual discoloration + pressure variance) → Intuition (frictional heat diagnosis) → Action (screw RPM reduction) → Effect (reduced mechanical shear) → Result (profile clears; prediction confirmed).</w:t>
      </w:r>
    </w:p>
    <w:p>
      <w:pPr>
        <w:pStyle w:val="ListParagraph"/>
        <w:numPr>
          <w:ilvl w:val="0"/>
          <w:numId w:val="2"/>
        </w:numPr>
        <w:spacing w:after="60" w:before="60" w:line="276"/>
      </w:pPr>
      <w:r>
        <w:rPr>
          <w:rFonts w:ascii="Times New Roman" w:cs="Times New Roman" w:eastAsia="Times New Roman" w:hAnsi="Times New Roman"/>
          <w:b/>
          <w:bCs/>
          <w:sz w:val="22"/>
          <w:szCs w:val="22"/>
        </w:rPr>
        <w:t xml:space="preserve">Surgical Intervention (Illustrative): </w:t>
      </w:r>
      <w:r>
        <w:rPr>
          <w:rFonts w:ascii="Times New Roman" w:cs="Times New Roman" w:eastAsia="Times New Roman" w:hAnsi="Times New Roman"/>
          <w:sz w:val="22"/>
          <w:szCs w:val="22"/>
        </w:rPr>
        <w:t xml:space="preserve">Cause (subtle tissue texture change) → Intuition (probable micro-hemorrhage pattern match) → Action (altered dissection trajectory) → Effect (hemostasis achieved) → Result (vitals normalize).</w:t>
      </w:r>
    </w:p>
    <w:p>
      <w:pPr>
        <w:pStyle w:val="ListParagraph"/>
        <w:numPr>
          <w:ilvl w:val="0"/>
          <w:numId w:val="2"/>
        </w:numPr>
        <w:spacing w:after="60" w:before="60" w:line="276"/>
      </w:pPr>
      <w:r>
        <w:rPr>
          <w:rFonts w:ascii="Times New Roman" w:cs="Times New Roman" w:eastAsia="Times New Roman" w:hAnsi="Times New Roman"/>
          <w:b/>
          <w:bCs/>
          <w:sz w:val="22"/>
          <w:szCs w:val="22"/>
        </w:rPr>
        <w:t xml:space="preserve">Aviation (Illustrative): </w:t>
      </w:r>
      <w:r>
        <w:rPr>
          <w:rFonts w:ascii="Times New Roman" w:cs="Times New Roman" w:eastAsia="Times New Roman" w:hAnsi="Times New Roman"/>
          <w:sz w:val="22"/>
          <w:szCs w:val="22"/>
        </w:rPr>
        <w:t xml:space="preserve">Cause (attitude indicator discrepancy) → Intuition (incipient stall recognition) → Action (pitch/throttle correction) → Effect (altered aerodynamic profile) → Result (level flight restored).</w:t>
      </w:r>
    </w:p>
    <w:p>
      <w:pPr>
        <w:spacing w:after="120" w:before="120" w:line="276"/>
        <w:jc w:val="both"/>
      </w:pPr>
      <w:r>
        <w:rPr>
          <w:rFonts w:ascii="Times New Roman" w:cs="Times New Roman" w:eastAsia="Times New Roman" w:hAnsi="Times New Roman"/>
          <w:sz w:val="22"/>
          <w:szCs w:val="22"/>
        </w:rPr>
        <w:t xml:space="preserve">If the bidirectional reconciliation history is the primary asset to be captured, then the capture architecture must observe both arcs of the loop continuously, from the operator’s first-person perspective, with sufficient temporal resolution to register prediction-error events. We now describe a hardware strategy designed to meet these requirements.</w:t>
      </w:r>
    </w:p>
    <w:p>
      <w:pPr>
        <w:pStyle w:val="Heading1"/>
        <w:spacing w:after="180" w:before="360"/>
      </w:pPr>
      <w:r>
        <w:rPr>
          <w:rFonts w:ascii="Times New Roman" w:cs="Times New Roman" w:eastAsia="Times New Roman" w:hAnsi="Times New Roman"/>
          <w:b/>
          <w:bCs/>
          <w:sz w:val="28"/>
          <w:szCs w:val="28"/>
        </w:rPr>
        <w:t xml:space="preserve">5. The Hardware Strategy: PPE as a Data Platform</w:t>
      </w:r>
    </w:p>
    <w:p>
      <w:pPr>
        <w:spacing w:after="120" w:before="120" w:line="276"/>
        <w:jc w:val="both"/>
      </w:pPr>
      <w:r>
        <w:rPr>
          <w:rFonts w:ascii="Times New Roman" w:cs="Times New Roman" w:eastAsia="Times New Roman" w:hAnsi="Times New Roman"/>
          <w:sz w:val="22"/>
          <w:szCs w:val="22"/>
        </w:rPr>
        <w:t xml:space="preserve">To reduce adoption friction, the architecture integrates sensing capabilities into compliance-mandated Personal Protective Equipment (PPE).</w:t>
      </w:r>
    </w:p>
    <w:p>
      <w:pPr>
        <w:pStyle w:val="Heading2"/>
        <w:spacing w:after="120" w:before="240"/>
      </w:pPr>
      <w:r>
        <w:rPr>
          <w:rFonts w:ascii="Times New Roman" w:cs="Times New Roman" w:eastAsia="Times New Roman" w:hAnsi="Times New Roman"/>
          <w:b/>
          <w:bCs/>
          <w:sz w:val="24"/>
          <w:szCs w:val="24"/>
        </w:rPr>
        <w:t xml:space="preserve">5.1 Smart Hearing Protection as an Edge Node</w:t>
      </w:r>
    </w:p>
    <w:p>
      <w:pPr>
        <w:spacing w:after="120" w:before="120" w:line="276"/>
        <w:jc w:val="both"/>
      </w:pPr>
      <w:r>
        <w:rPr>
          <w:rFonts w:ascii="Times New Roman" w:cs="Times New Roman" w:eastAsia="Times New Roman" w:hAnsi="Times New Roman"/>
          <w:sz w:val="22"/>
          <w:szCs w:val="22"/>
        </w:rPr>
        <w:t xml:space="preserve">Paired with a smartphone visual sensor, smart hearing protection equipped with acoustic microphones captures the environmental Cause and physical Action from the expert’s precise perspective at near-zero marginal cost.</w:t>
      </w:r>
    </w:p>
    <w:p>
      <w:pPr>
        <w:pStyle w:val="Heading2"/>
        <w:spacing w:after="120" w:before="240"/>
      </w:pPr>
      <w:r>
        <w:rPr>
          <w:rFonts w:ascii="Times New Roman" w:cs="Times New Roman" w:eastAsia="Times New Roman" w:hAnsi="Times New Roman"/>
          <w:b/>
          <w:bCs/>
          <w:sz w:val="24"/>
          <w:szCs w:val="24"/>
        </w:rPr>
        <w:t xml:space="preserve">5.2 Biometric Integration Layer</w:t>
      </w:r>
    </w:p>
    <w:p>
      <w:pPr>
        <w:spacing w:after="120" w:before="120" w:line="276"/>
        <w:jc w:val="both"/>
      </w:pPr>
      <w:r>
        <w:rPr>
          <w:rFonts w:ascii="Times New Roman" w:cs="Times New Roman" w:eastAsia="Times New Roman" w:hAnsi="Times New Roman"/>
          <w:sz w:val="22"/>
          <w:szCs w:val="22"/>
        </w:rPr>
        <w:t xml:space="preserve">By establishing personal EDA and HRV baselines during shifts, the system aims to detect deviations corresponding to somatic marker retrieval events, automatically tagging the Intuition phase without requiring conscious operator action.</w:t>
      </w:r>
    </w:p>
    <w:p>
      <w:pPr>
        <w:spacing w:after="120" w:before="120" w:line="276"/>
        <w:jc w:val="both"/>
      </w:pPr>
      <w:r>
        <w:rPr>
          <w:rFonts w:ascii="Times New Roman" w:cs="Times New Roman" w:eastAsia="Times New Roman" w:hAnsi="Times New Roman"/>
          <w:b/>
          <w:bCs/>
          <w:sz w:val="22"/>
          <w:szCs w:val="22"/>
        </w:rPr>
        <w:t xml:space="preserve">Known Confounds &amp; Thresholds: </w:t>
      </w:r>
      <w:r>
        <w:rPr>
          <w:rFonts w:ascii="Times New Roman" w:cs="Times New Roman" w:eastAsia="Times New Roman" w:hAnsi="Times New Roman"/>
          <w:sz w:val="22"/>
          <w:szCs w:val="22"/>
        </w:rPr>
        <w:t xml:space="preserve">This is the highest-risk component of the architecture. Industrial environments present massive confound sources: sleep deprivation, shift-change effects, physical exertion, ambient temperature (350°F near an extruder vs. ambient shop), EDA non-responders, cardiovascular comorbidities, and electromagnetic noise from VFDs. Mitigations involve multi-signal corroboration (e.g., preliminary thresholds requiring ≥1.5 SD deviation in EDA tonic level concurrent with an HRV RMSSD drop ≥20% from a rolling 5-minute baseline), accelerometer activity classification, and thermal compensation.</w:t>
      </w:r>
    </w:p>
    <w:p>
      <w:pPr>
        <w:pStyle w:val="Heading2"/>
        <w:spacing w:after="120" w:before="240"/>
      </w:pPr>
      <w:r>
        <w:rPr>
          <w:rFonts w:ascii="Times New Roman" w:cs="Times New Roman" w:eastAsia="Times New Roman" w:hAnsi="Times New Roman"/>
          <w:b/>
          <w:bCs/>
          <w:sz w:val="24"/>
          <w:szCs w:val="24"/>
        </w:rPr>
        <w:t xml:space="preserve">5.3 Attention Capture Pipeline</w:t>
      </w:r>
    </w:p>
    <w:p>
      <w:pPr>
        <w:pStyle w:val="ListParagraph"/>
        <w:numPr>
          <w:ilvl w:val="0"/>
          <w:numId w:val="2"/>
        </w:numPr>
        <w:spacing w:after="60" w:before="60" w:line="276"/>
      </w:pPr>
      <w:r>
        <w:rPr>
          <w:rFonts w:ascii="Times New Roman" w:cs="Times New Roman" w:eastAsia="Times New Roman" w:hAnsi="Times New Roman"/>
          <w:b/>
          <w:bCs/>
          <w:sz w:val="22"/>
          <w:szCs w:val="22"/>
        </w:rPr>
        <w:t xml:space="preserve">Stage 1 — Temporal Anchoring (Current): </w:t>
      </w:r>
      <w:r>
        <w:rPr>
          <w:rFonts w:ascii="Times New Roman" w:cs="Times New Roman" w:eastAsia="Times New Roman" w:hAnsi="Times New Roman"/>
          <w:sz w:val="22"/>
          <w:szCs w:val="22"/>
        </w:rPr>
        <w:t xml:space="preserve">Frame differencing on the smartphone camera provides a coarse temporal anchor. In a PPE configuration, this measures camera/head motion rather than precise optical gaze.</w:t>
      </w:r>
    </w:p>
    <w:p>
      <w:pPr>
        <w:pStyle w:val="ListParagraph"/>
        <w:numPr>
          <w:ilvl w:val="0"/>
          <w:numId w:val="2"/>
        </w:numPr>
        <w:spacing w:after="60" w:before="60" w:line="276"/>
      </w:pPr>
      <w:r>
        <w:rPr>
          <w:rFonts w:ascii="Times New Roman" w:cs="Times New Roman" w:eastAsia="Times New Roman" w:hAnsi="Times New Roman"/>
          <w:b/>
          <w:bCs/>
          <w:sz w:val="22"/>
          <w:szCs w:val="22"/>
        </w:rPr>
        <w:t xml:space="preserve">Stage 2 — Precision Eye Tracking (Research): </w:t>
      </w:r>
      <w:r>
        <w:rPr>
          <w:rFonts w:ascii="Times New Roman" w:cs="Times New Roman" w:eastAsia="Times New Roman" w:hAnsi="Times New Roman"/>
          <w:sz w:val="22"/>
          <w:szCs w:val="22"/>
        </w:rPr>
        <w:t xml:space="preserve">True gaze inference requires dedicated hardware (e.g., Tobii, Pupil Labs) which currently face form-factor incompatibility with industrial PPE (hard hats, safety glasses).</w:t>
      </w:r>
    </w:p>
    <w:p>
      <w:pPr>
        <w:pStyle w:val="ListParagraph"/>
        <w:numPr>
          <w:ilvl w:val="0"/>
          <w:numId w:val="2"/>
        </w:numPr>
        <w:spacing w:after="60" w:before="60" w:line="276"/>
      </w:pPr>
      <w:r>
        <w:rPr>
          <w:rFonts w:ascii="Times New Roman" w:cs="Times New Roman" w:eastAsia="Times New Roman" w:hAnsi="Times New Roman"/>
          <w:b/>
          <w:bCs/>
          <w:sz w:val="22"/>
          <w:szCs w:val="22"/>
        </w:rPr>
        <w:t xml:space="preserve">Stage 3 — EEG Neural Ground Truth (Research): </w:t>
      </w:r>
      <w:r>
        <w:rPr>
          <w:rFonts w:ascii="Times New Roman" w:cs="Times New Roman" w:eastAsia="Times New Roman" w:hAnsi="Times New Roman"/>
          <w:sz w:val="22"/>
          <w:szCs w:val="22"/>
        </w:rPr>
        <w:t xml:space="preserve">An aspirational stage currently incompatible with industrial motion artifacts and sweat-related impedance drift.</w:t>
      </w:r>
    </w:p>
    <w:p>
      <w:pPr>
        <w:pStyle w:val="Heading1"/>
        <w:spacing w:after="180" w:before="360"/>
      </w:pPr>
      <w:r>
        <w:rPr>
          <w:rFonts w:ascii="Times New Roman" w:cs="Times New Roman" w:eastAsia="Times New Roman" w:hAnsi="Times New Roman"/>
          <w:b/>
          <w:bCs/>
          <w:sz w:val="28"/>
          <w:szCs w:val="28"/>
        </w:rPr>
        <w:t xml:space="preserve">6. Software Architecture and the Knowledge Graph</w:t>
      </w:r>
    </w:p>
    <w:p>
      <w:pPr>
        <w:spacing w:after="120" w:before="120" w:line="276"/>
        <w:jc w:val="both"/>
      </w:pPr>
      <w:r>
        <w:rPr>
          <w:rFonts w:ascii="Times New Roman" w:cs="Times New Roman" w:eastAsia="Times New Roman" w:hAnsi="Times New Roman"/>
          <w:sz w:val="22"/>
          <w:szCs w:val="22"/>
        </w:rPr>
        <w:t xml:space="preserve">The architecture utilizes edge ML models deployed on standard mobile devices, leveraging the Google Health Connect API for biometrics and machine PLC APIs for telemetry.</w:t>
      </w:r>
    </w:p>
    <w:p>
      <w:pPr>
        <w:spacing w:after="120" w:before="120" w:line="276"/>
        <w:jc w:val="both"/>
      </w:pPr>
      <w:r>
        <w:rPr>
          <w:rFonts w:ascii="Times New Roman" w:cs="Times New Roman" w:eastAsia="Times New Roman" w:hAnsi="Times New Roman"/>
          <w:b/>
          <w:bCs/>
          <w:sz w:val="22"/>
          <w:szCs w:val="22"/>
        </w:rPr>
        <w:t xml:space="preserve">Addressing Causal Confusion in Imitation Learning: </w:t>
      </w:r>
      <w:r>
        <w:rPr>
          <w:rFonts w:ascii="Times New Roman" w:cs="Times New Roman" w:eastAsia="Times New Roman" w:hAnsi="Times New Roman"/>
          <w:sz w:val="22"/>
          <w:szCs w:val="22"/>
        </w:rPr>
        <w:t xml:space="preserve">A primary failure mode in behavior cloning is “causal confusion” (de Haan, Jayaraman, and Levine, 2019), where an AI learns spurious correlations because it lacks access to the expert’s latent reasoning or the precise environmental trigger that prompted the action. By explicitly isolating the Cause and measuring the Intuition phase physiologically and verbally, the CIAER architecture provides the structured context required to train robust generative models, moving beyond mere procedural logging. Related work on Thought Cloning (Hu and Clune, 2023) has demonstrated in synthetic environments that training on synchronized thought processes, rather than behavioral actions alone, produces more robust and generalizable policies; the CIAER corpus is designed to generate real-world data suitable for testing whether these advantages hold with actual human expertise.</w:t>
      </w:r>
    </w:p>
    <w:p>
      <w:pPr>
        <w:spacing w:after="120" w:before="120" w:line="276"/>
        <w:jc w:val="both"/>
      </w:pPr>
      <w:r>
        <w:rPr>
          <w:rFonts w:ascii="Times New Roman" w:cs="Times New Roman" w:eastAsia="Times New Roman" w:hAnsi="Times New Roman"/>
          <w:sz w:val="22"/>
          <w:szCs w:val="22"/>
        </w:rPr>
        <w:t xml:space="preserve">The architecture above describes how CIAER events would be captured. Whether the schema actually manifests with structural invariance across operationally diverse domains—the central testable prediction of the framework—requires the multi-domain validation design described next.</w:t>
      </w:r>
    </w:p>
    <w:p>
      <w:pPr>
        <w:pStyle w:val="Heading1"/>
        <w:spacing w:after="180" w:before="360"/>
      </w:pPr>
      <w:r>
        <w:rPr>
          <w:rFonts w:ascii="Times New Roman" w:cs="Times New Roman" w:eastAsia="Times New Roman" w:hAnsi="Times New Roman"/>
          <w:b/>
          <w:bCs/>
          <w:sz w:val="28"/>
          <w:szCs w:val="28"/>
        </w:rPr>
        <w:t xml:space="preserve">7. Multi-Domain Validation Roadmap</w:t>
      </w:r>
    </w:p>
    <w:p>
      <w:pPr>
        <w:spacing w:after="120" w:before="120" w:line="276"/>
        <w:jc w:val="both"/>
      </w:pPr>
      <w:r>
        <w:rPr>
          <w:rFonts w:ascii="Times New Roman" w:cs="Times New Roman" w:eastAsia="Times New Roman" w:hAnsi="Times New Roman"/>
          <w:sz w:val="22"/>
          <w:szCs w:val="22"/>
        </w:rPr>
        <w:t xml:space="preserve">Testing proposed universals requires controlling for non-independence. Borrowing methodological principles from comparative linguistics (e.g., Verkerk et al., 2026, on spatiophylogenetic controls), a single-facility design allows us to control for organizational culture, management practices, and shift structure while testing genuine cross-domain cognitive variations across departments.</w:t>
      </w:r>
    </w:p>
    <w:p>
      <w:pPr>
        <w:pStyle w:val="ListParagraph"/>
        <w:numPr>
          <w:ilvl w:val="0"/>
          <w:numId w:val="3"/>
        </w:numPr>
        <w:spacing w:after="60" w:before="60" w:line="276"/>
      </w:pPr>
      <w:r>
        <w:rPr>
          <w:rFonts w:ascii="Times New Roman" w:cs="Times New Roman" w:eastAsia="Times New Roman" w:hAnsi="Times New Roman"/>
          <w:b/>
          <w:bCs/>
          <w:sz w:val="22"/>
          <w:szCs w:val="22"/>
        </w:rPr>
        <w:t xml:space="preserve">PVC Extrusion (Current): </w:t>
      </w:r>
      <w:r>
        <w:rPr>
          <w:rFonts w:ascii="Times New Roman" w:cs="Times New Roman" w:eastAsia="Times New Roman" w:hAnsi="Times New Roman"/>
          <w:sz w:val="22"/>
          <w:szCs w:val="22"/>
        </w:rPr>
        <w:t xml:space="preserve">Proof of concept. High Rule/Knowledge-based SRK profile.</w:t>
      </w:r>
    </w:p>
    <w:p>
      <w:pPr>
        <w:pStyle w:val="ListParagraph"/>
        <w:numPr>
          <w:ilvl w:val="0"/>
          <w:numId w:val="3"/>
        </w:numPr>
        <w:spacing w:after="60" w:before="60" w:line="276"/>
      </w:pPr>
      <w:r>
        <w:rPr>
          <w:rFonts w:ascii="Times New Roman" w:cs="Times New Roman" w:eastAsia="Times New Roman" w:hAnsi="Times New Roman"/>
          <w:b/>
          <w:bCs/>
          <w:sz w:val="22"/>
          <w:szCs w:val="22"/>
        </w:rPr>
        <w:t xml:space="preserve">Injection Molding: </w:t>
      </w:r>
      <w:r>
        <w:rPr>
          <w:rFonts w:ascii="Times New Roman" w:cs="Times New Roman" w:eastAsia="Times New Roman" w:hAnsi="Times New Roman"/>
          <w:sz w:val="22"/>
          <w:szCs w:val="22"/>
        </w:rPr>
        <w:t xml:space="preserve">Expands polymer dataset; highest proportion of complex tool-material interaction.</w:t>
      </w:r>
    </w:p>
    <w:p>
      <w:pPr>
        <w:pStyle w:val="ListParagraph"/>
        <w:numPr>
          <w:ilvl w:val="0"/>
          <w:numId w:val="3"/>
        </w:numPr>
        <w:spacing w:after="60" w:before="60" w:line="276"/>
      </w:pPr>
      <w:r>
        <w:rPr>
          <w:rFonts w:ascii="Times New Roman" w:cs="Times New Roman" w:eastAsia="Times New Roman" w:hAnsi="Times New Roman"/>
          <w:b/>
          <w:bCs/>
          <w:sz w:val="22"/>
          <w:szCs w:val="22"/>
        </w:rPr>
        <w:t xml:space="preserve">Sheet Metal Fabrication: </w:t>
      </w:r>
      <w:r>
        <w:rPr>
          <w:rFonts w:ascii="Times New Roman" w:cs="Times New Roman" w:eastAsia="Times New Roman" w:hAnsi="Times New Roman"/>
          <w:sz w:val="22"/>
          <w:szCs w:val="22"/>
        </w:rPr>
        <w:t xml:space="preserve">Introduces thermomechanical interpretation.</w:t>
      </w:r>
    </w:p>
    <w:p>
      <w:pPr>
        <w:pStyle w:val="ListParagraph"/>
        <w:numPr>
          <w:ilvl w:val="0"/>
          <w:numId w:val="3"/>
        </w:numPr>
        <w:spacing w:after="60" w:before="60" w:line="276"/>
      </w:pPr>
      <w:r>
        <w:rPr>
          <w:rFonts w:ascii="Times New Roman" w:cs="Times New Roman" w:eastAsia="Times New Roman" w:hAnsi="Times New Roman"/>
          <w:b/>
          <w:bCs/>
          <w:sz w:val="22"/>
          <w:szCs w:val="22"/>
        </w:rPr>
        <w:t xml:space="preserve">Filter Assembly: </w:t>
      </w:r>
      <w:r>
        <w:rPr>
          <w:rFonts w:ascii="Times New Roman" w:cs="Times New Roman" w:eastAsia="Times New Roman" w:hAnsi="Times New Roman"/>
          <w:sz w:val="22"/>
          <w:szCs w:val="22"/>
        </w:rPr>
        <w:t xml:space="preserve">Skill-based domain for multi-expert divergence validation.</w:t>
      </w:r>
    </w:p>
    <w:p>
      <w:pPr>
        <w:pStyle w:val="ListParagraph"/>
        <w:numPr>
          <w:ilvl w:val="0"/>
          <w:numId w:val="3"/>
        </w:numPr>
        <w:spacing w:after="60" w:before="60" w:line="276"/>
      </w:pPr>
      <w:r>
        <w:rPr>
          <w:rFonts w:ascii="Times New Roman" w:cs="Times New Roman" w:eastAsia="Times New Roman" w:hAnsi="Times New Roman"/>
          <w:b/>
          <w:bCs/>
          <w:sz w:val="22"/>
          <w:szCs w:val="22"/>
        </w:rPr>
        <w:t xml:space="preserve">Shipping and Receiving (The Designed Disconfirmation Test): </w:t>
      </w:r>
      <w:r>
        <w:rPr>
          <w:rFonts w:ascii="Times New Roman" w:cs="Times New Roman" w:eastAsia="Times New Roman" w:hAnsi="Times New Roman"/>
          <w:sz w:val="22"/>
          <w:szCs w:val="22"/>
        </w:rPr>
        <w:t xml:space="preserve">The somatic marker hypothesis was developed for embodied decisions under physical uncertainty. There is no strong prior reason to expect equivalent EDA spikes during documentary/clerical anomaly detection. If operators here show no biometric signature during verified high-judgment events, while extrusion operators do, the somatic extension to purely information-processing domains is falsified, successfully narrowing the framework’s scope.</w:t>
      </w:r>
    </w:p>
    <w:p>
      <w:pPr>
        <w:pStyle w:val="Heading1"/>
        <w:spacing w:after="180" w:before="360"/>
      </w:pPr>
      <w:r>
        <w:rPr>
          <w:rFonts w:ascii="Times New Roman" w:cs="Times New Roman" w:eastAsia="Times New Roman" w:hAnsi="Times New Roman"/>
          <w:b/>
          <w:bCs/>
          <w:sz w:val="28"/>
          <w:szCs w:val="28"/>
        </w:rPr>
        <w:t xml:space="preserve">8. Strategic Implementation and Proof of Concept</w:t>
      </w:r>
    </w:p>
    <w:p>
      <w:pPr>
        <w:spacing w:after="120" w:before="120" w:line="276"/>
        <w:jc w:val="both"/>
      </w:pPr>
      <w:r>
        <w:rPr>
          <w:rFonts w:ascii="Times New Roman" w:cs="Times New Roman" w:eastAsia="Times New Roman" w:hAnsi="Times New Roman"/>
          <w:sz w:val="22"/>
          <w:szCs w:val="22"/>
        </w:rPr>
        <w:t xml:space="preserve">The ArcShield proof-of-concept is implemented as a single-file progressive web application capturing the five-phase schema via Web Speech API, camera, and Health Connect API on a live PVC extrusion line in Arkansas.</w:t>
      </w:r>
    </w:p>
    <w:p>
      <w:pPr>
        <w:spacing w:after="120" w:before="120" w:line="276"/>
        <w:jc w:val="both"/>
      </w:pPr>
      <w:r>
        <w:rPr>
          <w:rFonts w:ascii="Times New Roman" w:cs="Times New Roman" w:eastAsia="Times New Roman" w:hAnsi="Times New Roman"/>
          <w:sz w:val="22"/>
          <w:szCs w:val="22"/>
        </w:rPr>
        <w:t xml:space="preserve">As of April 2026, the JSON schema is functional and generating structured event records. The frame-differencing anchor is operational. Voice annotation capture has been validated in test sessions and is functioning as designed. Computer vision gauge reading via multimodal LLM APIs has been tested for analog instrument digitization. The system’s current status represents foundational validation of the capture pipeline feasibility, not yet comprehensive empirical proof of the CIAER hypothesis.</w:t>
      </w:r>
    </w:p>
    <w:p>
      <w:pPr>
        <w:pStyle w:val="Heading1"/>
        <w:spacing w:after="180" w:before="360"/>
      </w:pPr>
      <w:r>
        <w:rPr>
          <w:rFonts w:ascii="Times New Roman" w:cs="Times New Roman" w:eastAsia="Times New Roman" w:hAnsi="Times New Roman"/>
          <w:b/>
          <w:bCs/>
          <w:sz w:val="28"/>
          <w:szCs w:val="28"/>
        </w:rPr>
        <w:t xml:space="preserve">9. Limitations and Future Directions</w:t>
      </w:r>
    </w:p>
    <w:p>
      <w:pPr>
        <w:spacing w:after="120" w:before="120" w:line="276"/>
        <w:jc w:val="both"/>
      </w:pPr>
      <w:r>
        <w:rPr>
          <w:rFonts w:ascii="Times New Roman" w:cs="Times New Roman" w:eastAsia="Times New Roman" w:hAnsi="Times New Roman"/>
          <w:b/>
          <w:bCs/>
          <w:sz w:val="22"/>
          <w:szCs w:val="22"/>
        </w:rPr>
        <w:t xml:space="preserve">The Discriminator Resides in the Agent Definition: </w:t>
      </w:r>
      <w:r>
        <w:rPr>
          <w:rFonts w:ascii="Times New Roman" w:cs="Times New Roman" w:eastAsia="Times New Roman" w:hAnsi="Times New Roman"/>
          <w:sz w:val="22"/>
          <w:szCs w:val="22"/>
        </w:rPr>
        <w:t xml:space="preserve">We acknowledge that the discriminative content of the framework currently resides primarily in the scope criteria of Section 2.1.3 (self-maintenance + experience-dependent update) rather than the five-phase count itself. The five-phase decomposition functions as a working stipulation and empirical capture protocol pending large-scale validation.</w:t>
      </w:r>
    </w:p>
    <w:p>
      <w:pPr>
        <w:spacing w:after="120" w:before="120" w:line="276"/>
        <w:jc w:val="both"/>
      </w:pPr>
      <w:r>
        <w:rPr>
          <w:rFonts w:ascii="Times New Roman" w:cs="Times New Roman" w:eastAsia="Times New Roman" w:hAnsi="Times New Roman"/>
          <w:b/>
          <w:bCs/>
          <w:sz w:val="22"/>
          <w:szCs w:val="22"/>
        </w:rPr>
        <w:t xml:space="preserve">EU AI Act and Privacy Implications: </w:t>
      </w:r>
      <w:r>
        <w:rPr>
          <w:rFonts w:ascii="Times New Roman" w:cs="Times New Roman" w:eastAsia="Times New Roman" w:hAnsi="Times New Roman"/>
          <w:sz w:val="22"/>
          <w:szCs w:val="22"/>
        </w:rPr>
        <w:t xml:space="preserve">The architecture utilizes on-device processing to enhance data privacy. However, we explicitly acknowledge this is merely one element of data protection; it does not constitute full compliance with the EU AI Act’s high-risk system obligations (conformity assessments, human oversight, transparency). Any deployment capturing worker cognitive states must navigate strict regulatory interpretations regarding performance monitoring.</w:t>
      </w:r>
    </w:p>
    <w:p>
      <w:pPr>
        <w:spacing w:after="120" w:before="120" w:line="276"/>
        <w:jc w:val="both"/>
      </w:pPr>
      <w:r>
        <w:rPr>
          <w:rFonts w:ascii="Times New Roman" w:cs="Times New Roman" w:eastAsia="Times New Roman" w:hAnsi="Times New Roman"/>
          <w:b/>
          <w:bCs/>
          <w:sz w:val="22"/>
          <w:szCs w:val="22"/>
        </w:rPr>
        <w:t xml:space="preserve">Mathematical Formalization: </w:t>
      </w:r>
      <w:r>
        <w:rPr>
          <w:rFonts w:ascii="Times New Roman" w:cs="Times New Roman" w:eastAsia="Times New Roman" w:hAnsi="Times New Roman"/>
          <w:sz w:val="22"/>
          <w:szCs w:val="22"/>
        </w:rPr>
        <w:t xml:space="preserve">Future theoretical work could explore formal derivations of the CIAER cycle through the mathematics of Bayesian mechanics and the Free Energy Principle (Friston, 2010), bridging the behavioral capture protocol with formal theories of active inference.</w:t>
      </w:r>
    </w:p>
    <w:p>
      <w:pPr>
        <w:pStyle w:val="Heading1"/>
        <w:spacing w:after="180" w:before="360"/>
      </w:pPr>
      <w:r>
        <w:rPr>
          <w:rFonts w:ascii="Times New Roman" w:cs="Times New Roman" w:eastAsia="Times New Roman" w:hAnsi="Times New Roman"/>
          <w:b/>
          <w:bCs/>
          <w:sz w:val="28"/>
          <w:szCs w:val="28"/>
        </w:rPr>
        <w:t xml:space="preserve">10. AI Disclosure</w:t>
      </w:r>
    </w:p>
    <w:p>
      <w:pPr>
        <w:spacing w:after="120" w:before="120" w:line="276"/>
        <w:jc w:val="both"/>
      </w:pPr>
      <w:r>
        <w:rPr>
          <w:rFonts w:ascii="Times New Roman" w:cs="Times New Roman" w:eastAsia="Times New Roman" w:hAnsi="Times New Roman"/>
          <w:sz w:val="22"/>
          <w:szCs w:val="22"/>
        </w:rPr>
        <w:t xml:space="preserve">This work was developed with the assistance of Anthropic Claude, serving as a research synthesis tool and rigorous adversarial interlocutor. The core conceptual contributions—the CIAER schema, the application of biometric capture to industrial expertise, and the multi-domain single-facility validation design—originate from the author.</w:t>
      </w:r>
    </w:p>
    <w:p>
      <w:pPr>
        <w:spacing w:after="120" w:before="120" w:line="276"/>
        <w:jc w:val="both"/>
      </w:pPr>
      <w:r>
        <w:rPr>
          <w:rFonts w:ascii="Times New Roman" w:cs="Times New Roman" w:eastAsia="Times New Roman" w:hAnsi="Times New Roman"/>
          <w:b/>
          <w:bCs/>
          <w:sz w:val="22"/>
          <w:szCs w:val="22"/>
        </w:rPr>
        <w:t xml:space="preserve">Methodological Note on Adversarial Stress-Testing: </w:t>
      </w:r>
      <w:r>
        <w:rPr>
          <w:rFonts w:ascii="Times New Roman" w:cs="Times New Roman" w:eastAsia="Times New Roman" w:hAnsi="Times New Roman"/>
          <w:sz w:val="22"/>
          <w:szCs w:val="22"/>
        </w:rPr>
        <w:t xml:space="preserve">The theoretical commitments regarding topological justification and multi-timescale tolerance were refined through iterative counterexample generation. When tested against edge cases (e.g., Venus flytraps, bacterial chemotaxis, patellar reflexes), the framework consistently produced a refinement rather than a collapse. We acknowledge the Popperian tension here: the framework’s ability to adapt its definitions of “Intuition” across varying substrates suggests the theory may lean conventionalist. We present the schema as a highly functional engineering protocol whose ultimate value lies in its empirical utility for knowledge capture, rather than as an unfalsifiable law of nature.</w:t>
      </w:r>
    </w:p>
    <w:p>
      <w:pPr>
        <w:pStyle w:val="Heading1"/>
        <w:spacing w:after="180" w:before="360"/>
      </w:pPr>
      <w:r>
        <w:rPr>
          <w:rFonts w:ascii="Times New Roman" w:cs="Times New Roman" w:eastAsia="Times New Roman" w:hAnsi="Times New Roman"/>
          <w:b/>
          <w:bCs/>
          <w:sz w:val="28"/>
          <w:szCs w:val="28"/>
        </w:rPr>
        <w:t xml:space="preserve">References</w:t>
      </w:r>
    </w:p>
    <w:p>
      <w:pPr>
        <w:spacing w:after="60" w:before="60" w:line="276"/>
        <w:ind w:left="360" w:hanging="360"/>
      </w:pPr>
      <w:r>
        <w:rPr>
          <w:rFonts w:ascii="Times New Roman" w:cs="Times New Roman" w:eastAsia="Times New Roman" w:hAnsi="Times New Roman"/>
          <w:sz w:val="22"/>
          <w:szCs w:val="22"/>
        </w:rPr>
        <w:t xml:space="preserve">Boyd, J. R. (1986). Patterns of Conflict. Briefing.</w:t>
      </w:r>
    </w:p>
    <w:p>
      <w:pPr>
        <w:spacing w:after="60" w:before="60" w:line="276"/>
        <w:ind w:left="360" w:hanging="360"/>
      </w:pPr>
      <w:r>
        <w:rPr>
          <w:rFonts w:ascii="Times New Roman" w:cs="Times New Roman" w:eastAsia="Times New Roman" w:hAnsi="Times New Roman"/>
          <w:sz w:val="22"/>
          <w:szCs w:val="22"/>
        </w:rPr>
        <w:t xml:space="preserve">Clark, A. (2016). Surfing Uncertainty: Prediction, Action, and the Embodied Mind. Oxford University Press.</w:t>
      </w:r>
    </w:p>
    <w:p>
      <w:pPr>
        <w:spacing w:after="60" w:before="60" w:line="276"/>
        <w:ind w:left="360" w:hanging="360"/>
      </w:pPr>
      <w:r>
        <w:rPr>
          <w:rFonts w:ascii="Times New Roman" w:cs="Times New Roman" w:eastAsia="Times New Roman" w:hAnsi="Times New Roman"/>
          <w:sz w:val="22"/>
          <w:szCs w:val="22"/>
        </w:rPr>
        <w:t xml:space="preserve">Chi, M. T. H., Glaser, R., &amp; Farr, M. J. (1988). The Nature of Expertise. Lawrence Erlbaum Associates.</w:t>
      </w:r>
    </w:p>
    <w:p>
      <w:pPr>
        <w:spacing w:after="60" w:before="60" w:line="276"/>
        <w:ind w:left="360" w:hanging="360"/>
      </w:pPr>
      <w:r>
        <w:rPr>
          <w:rFonts w:ascii="Times New Roman" w:cs="Times New Roman" w:eastAsia="Times New Roman" w:hAnsi="Times New Roman"/>
          <w:sz w:val="22"/>
          <w:szCs w:val="22"/>
        </w:rPr>
        <w:t xml:space="preserve">Crandall, B., Klein, G., &amp; Hoffman, R. R. (2006). Working Minds: A Practitioner’s Guide to Cognitive Task Analysis. MIT Press.</w:t>
      </w:r>
    </w:p>
    <w:p>
      <w:pPr>
        <w:spacing w:after="60" w:before="60" w:line="276"/>
        <w:ind w:left="360" w:hanging="360"/>
      </w:pPr>
      <w:r>
        <w:rPr>
          <w:rFonts w:ascii="Times New Roman" w:cs="Times New Roman" w:eastAsia="Times New Roman" w:hAnsi="Times New Roman"/>
          <w:sz w:val="22"/>
          <w:szCs w:val="22"/>
        </w:rPr>
        <w:t xml:space="preserve">Damasio, A. (1994). Descartes’ Error: Emotion, Reason, and the Human Brain. Putnam.</w:t>
      </w:r>
    </w:p>
    <w:p>
      <w:pPr>
        <w:spacing w:after="60" w:before="60" w:line="276"/>
        <w:ind w:left="360" w:hanging="360"/>
      </w:pPr>
      <w:r>
        <w:rPr>
          <w:rFonts w:ascii="Times New Roman" w:cs="Times New Roman" w:eastAsia="Times New Roman" w:hAnsi="Times New Roman"/>
          <w:sz w:val="22"/>
          <w:szCs w:val="22"/>
        </w:rPr>
        <w:t xml:space="preserve">de Haan, P., Jayaraman, D., &amp; Levine, S. (2019). Causal Confusion in Imitation Learning. NeurIPS 2019.</w:t>
      </w:r>
    </w:p>
    <w:p>
      <w:pPr>
        <w:spacing w:after="60" w:before="60" w:line="276"/>
        <w:ind w:left="360" w:hanging="360"/>
      </w:pPr>
      <w:r>
        <w:rPr>
          <w:rFonts w:ascii="Times New Roman" w:cs="Times New Roman" w:eastAsia="Times New Roman" w:hAnsi="Times New Roman"/>
          <w:sz w:val="22"/>
          <w:szCs w:val="22"/>
        </w:rPr>
        <w:t xml:space="preserve">Deloitte and The Manufacturing Institute. (2024). Taking Charge: Solving the Talent Crisis.</w:t>
      </w:r>
    </w:p>
    <w:p>
      <w:pPr>
        <w:spacing w:after="60" w:before="60" w:line="276"/>
        <w:ind w:left="360" w:hanging="360"/>
      </w:pPr>
      <w:r>
        <w:rPr>
          <w:rFonts w:ascii="Times New Roman" w:cs="Times New Roman" w:eastAsia="Times New Roman" w:hAnsi="Times New Roman"/>
          <w:sz w:val="22"/>
          <w:szCs w:val="22"/>
        </w:rPr>
        <w:t xml:space="preserve">Dewey, J. (1896). The Reflex Arc Concept in Psychology. Psychological Review, 3(4), 357–370.</w:t>
      </w:r>
    </w:p>
    <w:p>
      <w:pPr>
        <w:spacing w:after="60" w:before="60" w:line="276"/>
        <w:ind w:left="360" w:hanging="360"/>
      </w:pPr>
      <w:r>
        <w:rPr>
          <w:rFonts w:ascii="Times New Roman" w:cs="Times New Roman" w:eastAsia="Times New Roman" w:hAnsi="Times New Roman"/>
          <w:sz w:val="22"/>
          <w:szCs w:val="22"/>
        </w:rPr>
        <w:t xml:space="preserve">Dreyfus, H. L., &amp; Dreyfus, S. E. (1986). Mind Over Machine. Free Press.</w:t>
      </w:r>
    </w:p>
    <w:p>
      <w:pPr>
        <w:spacing w:after="60" w:before="60" w:line="276"/>
        <w:ind w:left="360" w:hanging="360"/>
      </w:pPr>
      <w:r>
        <w:rPr>
          <w:rFonts w:ascii="Times New Roman" w:cs="Times New Roman" w:eastAsia="Times New Roman" w:hAnsi="Times New Roman"/>
          <w:sz w:val="22"/>
          <w:szCs w:val="22"/>
        </w:rPr>
        <w:t xml:space="preserve">Dunn, B. D., Dalgleish, T., &amp; Lawrence, A. D. (2006). The somatic marker hypothesis: A critical evaluation. Neuroscience &amp; Biobehavioral Reviews, 30(2), 239–271.</w:t>
      </w:r>
    </w:p>
    <w:p>
      <w:pPr>
        <w:spacing w:after="60" w:before="60" w:line="276"/>
        <w:ind w:left="360" w:hanging="360"/>
      </w:pPr>
      <w:r>
        <w:rPr>
          <w:rFonts w:ascii="Times New Roman" w:cs="Times New Roman" w:eastAsia="Times New Roman" w:hAnsi="Times New Roman"/>
          <w:sz w:val="22"/>
          <w:szCs w:val="22"/>
        </w:rPr>
        <w:t xml:space="preserve">Friston, K. (2010). The free-energy principle: a unified brain theory? Nature Reviews Neuroscience, 11(2), 127–138.</w:t>
      </w:r>
    </w:p>
    <w:p>
      <w:pPr>
        <w:spacing w:after="60" w:before="60" w:line="276"/>
        <w:ind w:left="360" w:hanging="360"/>
      </w:pPr>
      <w:r>
        <w:rPr>
          <w:rFonts w:ascii="Times New Roman" w:cs="Times New Roman" w:eastAsia="Times New Roman" w:hAnsi="Times New Roman"/>
          <w:sz w:val="22"/>
          <w:szCs w:val="22"/>
        </w:rPr>
        <w:t xml:space="preserve">Hoffman, R. R., &amp; Militello, L. G. (2008). Perspectives on Cognitive Task Analysis. Psychology Press.</w:t>
      </w:r>
    </w:p>
    <w:p>
      <w:pPr>
        <w:spacing w:after="60" w:before="60" w:line="276"/>
        <w:ind w:left="360" w:hanging="360"/>
      </w:pPr>
      <w:r>
        <w:rPr>
          <w:rFonts w:ascii="Times New Roman" w:cs="Times New Roman" w:eastAsia="Times New Roman" w:hAnsi="Times New Roman"/>
          <w:sz w:val="22"/>
          <w:szCs w:val="22"/>
        </w:rPr>
        <w:t xml:space="preserve">Hu, S., &amp; Clune, J. (2023). Thought Cloning: Learning to Think while Acting by Imitating Human Thinking. NeurIPS 2023.</w:t>
      </w:r>
    </w:p>
    <w:p>
      <w:pPr>
        <w:spacing w:after="60" w:before="60" w:line="276"/>
        <w:ind w:left="360" w:hanging="360"/>
      </w:pPr>
      <w:r>
        <w:rPr>
          <w:rFonts w:ascii="Times New Roman" w:cs="Times New Roman" w:eastAsia="Times New Roman" w:hAnsi="Times New Roman"/>
          <w:sz w:val="22"/>
          <w:szCs w:val="22"/>
        </w:rPr>
        <w:t xml:space="preserve">Klein, G., Orasanu, J., &amp; Calderwood, R. (1993). Decision Making in Action: Models and Methods. Ablex.</w:t>
      </w:r>
    </w:p>
    <w:p>
      <w:pPr>
        <w:spacing w:after="60" w:before="60" w:line="276"/>
        <w:ind w:left="360" w:hanging="360"/>
      </w:pPr>
      <w:r>
        <w:rPr>
          <w:rFonts w:ascii="Times New Roman" w:cs="Times New Roman" w:eastAsia="Times New Roman" w:hAnsi="Times New Roman"/>
          <w:sz w:val="22"/>
          <w:szCs w:val="22"/>
        </w:rPr>
        <w:t xml:space="preserve">Kolb, D. A. (1984). Experiential Learning. Prentice Hall.</w:t>
      </w:r>
    </w:p>
    <w:p>
      <w:pPr>
        <w:spacing w:after="60" w:before="60" w:line="276"/>
        <w:ind w:left="360" w:hanging="360"/>
      </w:pPr>
      <w:r>
        <w:rPr>
          <w:rFonts w:ascii="Times New Roman" w:cs="Times New Roman" w:eastAsia="Times New Roman" w:hAnsi="Times New Roman"/>
          <w:sz w:val="22"/>
          <w:szCs w:val="22"/>
        </w:rPr>
        <w:t xml:space="preserve">Maia, T. V., &amp; McClelland, J. L. (2004). A reexamination of the evidence for the somatic marker hypothesis: What participants really know in the Iowa gambling task. PNAS, 101(45), 16075–16080.</w:t>
      </w:r>
    </w:p>
    <w:p>
      <w:pPr>
        <w:spacing w:after="60" w:before="60" w:line="276"/>
        <w:ind w:left="360" w:hanging="360"/>
      </w:pPr>
      <w:r>
        <w:rPr>
          <w:rFonts w:ascii="Times New Roman" w:cs="Times New Roman" w:eastAsia="Times New Roman" w:hAnsi="Times New Roman"/>
          <w:sz w:val="22"/>
          <w:szCs w:val="22"/>
        </w:rPr>
        <w:t xml:space="preserve">Nonaka, I., &amp; Takeuchi, H. (1995). The Knowledge-Creating Company. Oxford University Press.</w:t>
      </w:r>
    </w:p>
    <w:p>
      <w:pPr>
        <w:spacing w:after="60" w:before="60" w:line="276"/>
        <w:ind w:left="360" w:hanging="360"/>
      </w:pPr>
      <w:r>
        <w:rPr>
          <w:rFonts w:ascii="Times New Roman" w:cs="Times New Roman" w:eastAsia="Times New Roman" w:hAnsi="Times New Roman"/>
          <w:sz w:val="22"/>
          <w:szCs w:val="22"/>
        </w:rPr>
        <w:t xml:space="preserve">Polanyi, M. (1958). Personal Knowledge. University of Chicago Press.</w:t>
      </w:r>
    </w:p>
    <w:p>
      <w:pPr>
        <w:spacing w:after="60" w:before="60" w:line="276"/>
        <w:ind w:left="360" w:hanging="360"/>
      </w:pPr>
      <w:r>
        <w:rPr>
          <w:rFonts w:ascii="Times New Roman" w:cs="Times New Roman" w:eastAsia="Times New Roman" w:hAnsi="Times New Roman"/>
          <w:sz w:val="22"/>
          <w:szCs w:val="22"/>
        </w:rPr>
        <w:t xml:space="preserve">Rao, R. P., &amp; Ballard, D. H. (1999). Predictive coding in the visual cortex. Nature Neuroscience, 2(1), 79–87.</w:t>
      </w:r>
    </w:p>
    <w:p>
      <w:pPr>
        <w:spacing w:after="60" w:before="60" w:line="276"/>
        <w:ind w:left="360" w:hanging="360"/>
      </w:pPr>
      <w:r>
        <w:rPr>
          <w:rFonts w:ascii="Times New Roman" w:cs="Times New Roman" w:eastAsia="Times New Roman" w:hAnsi="Times New Roman"/>
          <w:sz w:val="22"/>
          <w:szCs w:val="22"/>
        </w:rPr>
        <w:t xml:space="preserve">Rasmussen, J. (1983). Skills, Rules, and Knowledge. IEEE Transactions on Systems, Man, and Cybernetics, 13(3), 257–266.</w:t>
      </w:r>
    </w:p>
    <w:p>
      <w:pPr>
        <w:spacing w:after="60" w:before="60" w:line="276"/>
        <w:ind w:left="360" w:hanging="360"/>
      </w:pPr>
      <w:r>
        <w:rPr>
          <w:rFonts w:ascii="Times New Roman" w:cs="Times New Roman" w:eastAsia="Times New Roman" w:hAnsi="Times New Roman"/>
          <w:sz w:val="22"/>
          <w:szCs w:val="22"/>
        </w:rPr>
        <w:t xml:space="preserve">Verkerk, A., et al. (2026). Enduring constraints on grammar revealed by Bayesian spatiophylogenetic analyses. Nature Human Behaviour, 10, 126–136.</w:t>
      </w:r>
    </w:p>
    <w:p>
      <w:pPr>
        <w:spacing w:after="60" w:before="60" w:line="276"/>
        <w:ind w:left="360" w:hanging="360"/>
      </w:pPr>
      <w:r>
        <w:rPr>
          <w:rFonts w:ascii="Times New Roman" w:cs="Times New Roman" w:eastAsia="Times New Roman" w:hAnsi="Times New Roman"/>
          <w:sz w:val="22"/>
          <w:szCs w:val="22"/>
        </w:rPr>
        <w:t xml:space="preserve">Wiener, N. (1948). Cybernetics. MIT Press.</w:t>
      </w:r>
    </w:p>
    <w:p>
      <w:pPr>
        <w:pStyle w:val="Heading1"/>
        <w:spacing w:after="180" w:before="360"/>
      </w:pPr>
      <w:r>
        <w:rPr>
          <w:rFonts w:ascii="Times New Roman" w:cs="Times New Roman" w:eastAsia="Times New Roman" w:hAnsi="Times New Roman"/>
          <w:b/>
          <w:bCs/>
          <w:sz w:val="28"/>
          <w:szCs w:val="28"/>
        </w:rPr>
        <w:t xml:space="preserve">Appendix A: Comparison with Existing Connected Worker Platforms</w:t>
      </w:r>
    </w:p>
    <w:p>
      <w:pPr>
        <w:spacing w:after="120" w:before="120" w:line="276"/>
        <w:jc w:val="both"/>
      </w:pPr>
      <w:r>
        <w:rPr>
          <w:rFonts w:ascii="Times New Roman" w:cs="Times New Roman" w:eastAsia="Times New Roman" w:hAnsi="Times New Roman"/>
          <w:sz w:val="22"/>
          <w:szCs w:val="22"/>
        </w:rPr>
        <w:t xml:space="preserve">Based on publicly available product documentation and announced capabilities as of early 2026, an analysis of major connected worker platforms (e.g., Squint AI, Augmentir, Tulip, DeepHow, Parsable, Cognite) indicates that contemporary solutions primarily document the Action phase. They systematically record procedural steps (what workers do) but generally lack architectural mechanisms to capture the initiating Cause, the physiological or inferential Intuition that selected the action, the distinct environmental Effect, or the consequent Result loop. This comparison reflects publicly documented capabilities only; vendor-internal features not documented in public materials may exist and are beyond the scope of this analysis.</w:t>
      </w:r>
    </w:p>
    <w:p>
      <w:pPr>
        <w:spacing w:after="120" w:before="120" w:line="276"/>
        <w:jc w:val="both"/>
      </w:pPr>
      <w:r>
        <w:rPr>
          <w:rFonts w:ascii="Times New Roman" w:cs="Times New Roman" w:eastAsia="Times New Roman" w:hAnsi="Times New Roman"/>
          <w:sz w:val="22"/>
          <w:szCs w:val="22"/>
        </w:rPr>
        <w:t xml:space="preserve">ArcShield contributes to the literature by demonstrating the feasibility of (1) a closed bidirectional CIAER capture loop with SRK-level tagging, and (2) the integration of passive biometric somatic marker tracking directly into compliance-mandated PPE, moving beyond pure procedural documentation into cognitive state logging.</w:t>
      </w:r>
    </w:p>
    <w:p>
      <w:pPr>
        <w:pStyle w:val="Heading1"/>
        <w:spacing w:after="180" w:before="360"/>
      </w:pPr>
      <w:r>
        <w:rPr>
          <w:rFonts w:ascii="Times New Roman" w:cs="Times New Roman" w:eastAsia="Times New Roman" w:hAnsi="Times New Roman"/>
          <w:b/>
          <w:bCs/>
          <w:sz w:val="28"/>
          <w:szCs w:val="28"/>
        </w:rPr>
        <w:t xml:space="preserve">Appendix B: Fully Worked Extrusion CIAER Event</w:t>
      </w:r>
    </w:p>
    <w:p>
      <w:pPr>
        <w:spacing w:after="120" w:before="120" w:line="276"/>
        <w:jc w:val="both"/>
      </w:pPr>
      <w:r>
        <w:rPr>
          <w:rFonts w:ascii="Times New Roman" w:cs="Times New Roman" w:eastAsia="Times New Roman" w:hAnsi="Times New Roman"/>
          <w:sz w:val="22"/>
          <w:szCs w:val="22"/>
        </w:rPr>
        <w:t xml:space="preserve">To ground the theoretical framework in operational reality, the following represents a single structured CIAER event captured from PPVC Line 1.</w:t>
      </w:r>
    </w:p>
    <w:p>
      <w:pPr>
        <w:spacing w:after="120" w:before="120" w:line="276"/>
        <w:jc w:val="both"/>
      </w:pPr>
      <w:r>
        <w:rPr>
          <w:rFonts w:ascii="Times New Roman" w:cs="Times New Roman" w:eastAsia="Times New Roman" w:hAnsi="Times New Roman"/>
          <w:b/>
          <w:bCs/>
          <w:sz w:val="22"/>
          <w:szCs w:val="22"/>
        </w:rPr>
        <w:t xml:space="preserve">Context: </w:t>
      </w:r>
      <w:r>
        <w:rPr>
          <w:rFonts w:ascii="Times New Roman" w:cs="Times New Roman" w:eastAsia="Times New Roman" w:hAnsi="Times New Roman"/>
          <w:sz w:val="22"/>
          <w:szCs w:val="22"/>
        </w:rPr>
        <w:t xml:space="preserve">Production of clear, flexible PVC profile.</w:t>
      </w:r>
    </w:p>
    <w:p>
      <w:pPr>
        <w:pStyle w:val="ListParagraph"/>
        <w:numPr>
          <w:ilvl w:val="0"/>
          <w:numId w:val="2"/>
        </w:numPr>
        <w:spacing w:after="60" w:before="60" w:line="276"/>
      </w:pPr>
      <w:r>
        <w:rPr>
          <w:rFonts w:ascii="Times New Roman" w:cs="Times New Roman" w:eastAsia="Times New Roman" w:hAnsi="Times New Roman"/>
          <w:b/>
          <w:bCs/>
          <w:sz w:val="22"/>
          <w:szCs w:val="22"/>
        </w:rPr>
        <w:t xml:space="preserve">CAUSE (The Interface Event): </w:t>
      </w:r>
    </w:p>
    <w:p>
      <w:pPr>
        <w:pStyle w:val="ListParagraph"/>
        <w:numPr>
          <w:ilvl w:val="0"/>
          <w:numId w:val="4"/>
        </w:numPr>
        <w:spacing w:after="40" w:before="40" w:line="276"/>
      </w:pPr>
      <w:r>
        <w:rPr>
          <w:rFonts w:ascii="Times New Roman" w:cs="Times New Roman" w:eastAsia="Times New Roman" w:hAnsi="Times New Roman"/>
          <w:b/>
          <w:bCs/>
          <w:sz w:val="22"/>
          <w:szCs w:val="22"/>
        </w:rPr>
        <w:t xml:space="preserve">Telemetry: </w:t>
      </w:r>
      <w:r>
        <w:rPr>
          <w:rFonts w:ascii="Times New Roman" w:cs="Times New Roman" w:eastAsia="Times New Roman" w:hAnsi="Times New Roman"/>
          <w:sz w:val="22"/>
          <w:szCs w:val="22"/>
        </w:rPr>
        <w:t xml:space="preserve">Barrel Zone 3 pressure transducer variance +4%; Melt Temp reading 382°F (Target 375°F).</w:t>
      </w:r>
    </w:p>
    <w:p>
      <w:pPr>
        <w:pStyle w:val="ListParagraph"/>
        <w:numPr>
          <w:ilvl w:val="0"/>
          <w:numId w:val="4"/>
        </w:numPr>
        <w:spacing w:after="40" w:before="40" w:line="276"/>
      </w:pPr>
      <w:r>
        <w:rPr>
          <w:rFonts w:ascii="Times New Roman" w:cs="Times New Roman" w:eastAsia="Times New Roman" w:hAnsi="Times New Roman"/>
          <w:b/>
          <w:bCs/>
          <w:sz w:val="22"/>
          <w:szCs w:val="22"/>
        </w:rPr>
        <w:t xml:space="preserve">Visual Anchor: </w:t>
      </w:r>
      <w:r>
        <w:rPr>
          <w:rFonts w:ascii="Times New Roman" w:cs="Times New Roman" w:eastAsia="Times New Roman" w:hAnsi="Times New Roman"/>
          <w:sz w:val="22"/>
          <w:szCs w:val="22"/>
        </w:rPr>
        <w:t xml:space="preserve">Operator head/camera tracks to extrudate die exit. Subtle yellowing detected in water-white profile.</w:t>
      </w:r>
    </w:p>
    <w:p>
      <w:pPr>
        <w:pStyle w:val="ListParagraph"/>
        <w:numPr>
          <w:ilvl w:val="0"/>
          <w:numId w:val="2"/>
        </w:numPr>
        <w:spacing w:after="60" w:before="60" w:line="276"/>
      </w:pPr>
      <w:r>
        <w:rPr>
          <w:rFonts w:ascii="Times New Roman" w:cs="Times New Roman" w:eastAsia="Times New Roman" w:hAnsi="Times New Roman"/>
          <w:b/>
          <w:bCs/>
          <w:sz w:val="22"/>
          <w:szCs w:val="22"/>
        </w:rPr>
        <w:t xml:space="preserve">INTUITION (Inference &amp; Projection): </w:t>
      </w:r>
    </w:p>
    <w:p>
      <w:pPr>
        <w:pStyle w:val="ListParagraph"/>
        <w:numPr>
          <w:ilvl w:val="0"/>
          <w:numId w:val="4"/>
        </w:numPr>
        <w:spacing w:after="40" w:before="40" w:line="276"/>
      </w:pPr>
      <w:r>
        <w:rPr>
          <w:rFonts w:ascii="Times New Roman" w:cs="Times New Roman" w:eastAsia="Times New Roman" w:hAnsi="Times New Roman"/>
          <w:b/>
          <w:bCs/>
          <w:sz w:val="22"/>
          <w:szCs w:val="22"/>
        </w:rPr>
        <w:t xml:space="preserve">Biometric: </w:t>
      </w:r>
      <w:r>
        <w:rPr>
          <w:rFonts w:ascii="Times New Roman" w:cs="Times New Roman" w:eastAsia="Times New Roman" w:hAnsi="Times New Roman"/>
          <w:sz w:val="22"/>
          <w:szCs w:val="22"/>
        </w:rPr>
        <w:t xml:space="preserve">EDA tonic level spikes +1.8 SD above 5-minute baseline; HRV RMSSD drops 24%. System automatically tags event as Rule/Knowledge transition.</w:t>
      </w:r>
    </w:p>
    <w:p>
      <w:pPr>
        <w:pStyle w:val="ListParagraph"/>
        <w:numPr>
          <w:ilvl w:val="0"/>
          <w:numId w:val="4"/>
        </w:numPr>
        <w:spacing w:after="40" w:before="40" w:line="276"/>
      </w:pPr>
      <w:r>
        <w:rPr>
          <w:rFonts w:ascii="Times New Roman" w:cs="Times New Roman" w:eastAsia="Times New Roman" w:hAnsi="Times New Roman"/>
          <w:b/>
          <w:bCs/>
          <w:sz w:val="22"/>
          <w:szCs w:val="22"/>
        </w:rPr>
        <w:t xml:space="preserve">Voice Annotation (Tested/Captured): </w:t>
      </w:r>
      <w:r>
        <w:rPr>
          <w:rFonts w:ascii="Times New Roman" w:cs="Times New Roman" w:eastAsia="Times New Roman" w:hAnsi="Times New Roman"/>
          <w:sz w:val="22"/>
          <w:szCs w:val="22"/>
        </w:rPr>
        <w:t xml:space="preserve">“Getting some yellow streaking, Zone 3 is running hot but the heater bands are off. It’s frictional heat from the regrind mix.”</w:t>
      </w:r>
    </w:p>
    <w:p>
      <w:pPr>
        <w:pStyle w:val="ListParagraph"/>
        <w:numPr>
          <w:ilvl w:val="0"/>
          <w:numId w:val="2"/>
        </w:numPr>
        <w:spacing w:after="60" w:before="60" w:line="276"/>
      </w:pPr>
      <w:r>
        <w:rPr>
          <w:rFonts w:ascii="Times New Roman" w:cs="Times New Roman" w:eastAsia="Times New Roman" w:hAnsi="Times New Roman"/>
          <w:b/>
          <w:bCs/>
          <w:sz w:val="22"/>
          <w:szCs w:val="22"/>
        </w:rPr>
        <w:t xml:space="preserve">ACTION (Outward Arc): </w:t>
      </w:r>
    </w:p>
    <w:p>
      <w:pPr>
        <w:pStyle w:val="ListParagraph"/>
        <w:numPr>
          <w:ilvl w:val="0"/>
          <w:numId w:val="4"/>
        </w:numPr>
        <w:spacing w:after="40" w:before="40" w:line="276"/>
      </w:pPr>
      <w:r>
        <w:rPr>
          <w:rFonts w:ascii="Times New Roman" w:cs="Times New Roman" w:eastAsia="Times New Roman" w:hAnsi="Times New Roman"/>
          <w:b/>
          <w:bCs/>
          <w:sz w:val="22"/>
          <w:szCs w:val="22"/>
        </w:rPr>
        <w:t xml:space="preserve">Intervention: </w:t>
      </w:r>
      <w:r>
        <w:rPr>
          <w:rFonts w:ascii="Times New Roman" w:cs="Times New Roman" w:eastAsia="Times New Roman" w:hAnsi="Times New Roman"/>
          <w:sz w:val="22"/>
          <w:szCs w:val="22"/>
        </w:rPr>
        <w:t xml:space="preserve">Operator manually reduces variable speed drive (VSD) screw RPM from 45.0 to 42.5.</w:t>
      </w:r>
    </w:p>
    <w:p>
      <w:pPr>
        <w:pStyle w:val="ListParagraph"/>
        <w:numPr>
          <w:ilvl w:val="0"/>
          <w:numId w:val="2"/>
        </w:numPr>
        <w:spacing w:after="60" w:before="60" w:line="276"/>
      </w:pPr>
      <w:r>
        <w:rPr>
          <w:rFonts w:ascii="Times New Roman" w:cs="Times New Roman" w:eastAsia="Times New Roman" w:hAnsi="Times New Roman"/>
          <w:b/>
          <w:bCs/>
          <w:sz w:val="22"/>
          <w:szCs w:val="22"/>
        </w:rPr>
        <w:t xml:space="preserve">EFFECT (Prediction Test): </w:t>
      </w:r>
    </w:p>
    <w:p>
      <w:pPr>
        <w:pStyle w:val="ListParagraph"/>
        <w:numPr>
          <w:ilvl w:val="0"/>
          <w:numId w:val="4"/>
        </w:numPr>
        <w:spacing w:after="40" w:before="40" w:line="276"/>
      </w:pPr>
      <w:r>
        <w:rPr>
          <w:rFonts w:ascii="Times New Roman" w:cs="Times New Roman" w:eastAsia="Times New Roman" w:hAnsi="Times New Roman"/>
          <w:b/>
          <w:bCs/>
          <w:sz w:val="22"/>
          <w:szCs w:val="22"/>
        </w:rPr>
        <w:t xml:space="preserve">Telemetry: </w:t>
      </w:r>
      <w:r>
        <w:rPr>
          <w:rFonts w:ascii="Times New Roman" w:cs="Times New Roman" w:eastAsia="Times New Roman" w:hAnsi="Times New Roman"/>
          <w:sz w:val="22"/>
          <w:szCs w:val="22"/>
        </w:rPr>
        <w:t xml:space="preserve">Extruder motor load drops; mechanical shear decreases; Melt Temp stabilizes at 376°F over subsequent 180 seconds.</w:t>
      </w:r>
    </w:p>
    <w:p>
      <w:pPr>
        <w:pStyle w:val="ListParagraph"/>
        <w:numPr>
          <w:ilvl w:val="0"/>
          <w:numId w:val="2"/>
        </w:numPr>
        <w:spacing w:after="60" w:before="60" w:line="276"/>
      </w:pPr>
      <w:r>
        <w:rPr>
          <w:rFonts w:ascii="Times New Roman" w:cs="Times New Roman" w:eastAsia="Times New Roman" w:hAnsi="Times New Roman"/>
          <w:b/>
          <w:bCs/>
          <w:sz w:val="22"/>
          <w:szCs w:val="22"/>
        </w:rPr>
        <w:t xml:space="preserve">RESULT (Model Update): </w:t>
      </w:r>
    </w:p>
    <w:p>
      <w:pPr>
        <w:pStyle w:val="ListParagraph"/>
        <w:numPr>
          <w:ilvl w:val="0"/>
          <w:numId w:val="4"/>
        </w:numPr>
        <w:spacing w:after="40" w:before="40" w:line="276"/>
      </w:pPr>
      <w:r>
        <w:rPr>
          <w:rFonts w:ascii="Times New Roman" w:cs="Times New Roman" w:eastAsia="Times New Roman" w:hAnsi="Times New Roman"/>
          <w:b/>
          <w:bCs/>
          <w:sz w:val="22"/>
          <w:szCs w:val="22"/>
        </w:rPr>
        <w:t xml:space="preserve">Outcome: </w:t>
      </w:r>
      <w:r>
        <w:rPr>
          <w:rFonts w:ascii="Times New Roman" w:cs="Times New Roman" w:eastAsia="Times New Roman" w:hAnsi="Times New Roman"/>
          <w:sz w:val="22"/>
          <w:szCs w:val="22"/>
        </w:rPr>
        <w:t xml:space="preserve">Extrudate returns to clear specification. Gauge checks confirm dimensional stability.</w:t>
      </w:r>
    </w:p>
    <w:p>
      <w:pPr>
        <w:pStyle w:val="ListParagraph"/>
        <w:numPr>
          <w:ilvl w:val="0"/>
          <w:numId w:val="4"/>
        </w:numPr>
        <w:spacing w:after="40" w:before="40" w:line="276"/>
      </w:pPr>
      <w:r>
        <w:rPr>
          <w:rFonts w:ascii="Times New Roman" w:cs="Times New Roman" w:eastAsia="Times New Roman" w:hAnsi="Times New Roman"/>
          <w:b/>
          <w:bCs/>
          <w:sz w:val="22"/>
          <w:szCs w:val="22"/>
        </w:rPr>
        <w:t xml:space="preserve">Graph Update: </w:t>
      </w:r>
      <w:r>
        <w:rPr>
          <w:rFonts w:ascii="Times New Roman" w:cs="Times New Roman" w:eastAsia="Times New Roman" w:hAnsi="Times New Roman"/>
          <w:sz w:val="22"/>
          <w:szCs w:val="22"/>
        </w:rPr>
        <w:t xml:space="preserve">The connection between [Cause: Zone 3 pressure flutter + minor yellowing] and [Action: RPM reduction over cooling water application] is reinforced in the facility’s knowledge graph for this specific resin blend.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The Digitization of Tacit Knowledge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Digitization of Tacit Knowledge</dc:title>
  <dc:creator>Kahn Capps</dc:creator>
  <cp:lastModifiedBy>Un-named</cp:lastModifiedBy>
  <cp:revision>1</cp:revision>
  <dcterms:created xsi:type="dcterms:W3CDTF">2026-04-13T06:40:31.978Z</dcterms:created>
  <dcterms:modified xsi:type="dcterms:W3CDTF">2026-04-13T06:40:31.979Z</dcterms:modified>
</cp:coreProperties>
</file>

<file path=docProps/custom.xml><?xml version="1.0" encoding="utf-8"?>
<Properties xmlns="http://schemas.openxmlformats.org/officeDocument/2006/custom-properties" xmlns:vt="http://schemas.openxmlformats.org/officeDocument/2006/docPropsVTypes"/>
</file>