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340" w:rsidRDefault="002C3340" w:rsidP="002C3340">
      <w:hyperlink r:id="rId4" w:history="1">
        <w:r w:rsidRPr="002E6BFC">
          <w:rPr>
            <w:rStyle w:val="Kpr"/>
          </w:rPr>
          <w:t>https://tccb.gov.tr/common/sanaltur/tur/Kulliye/index.html</w:t>
        </w:r>
      </w:hyperlink>
    </w:p>
    <w:p w:rsidR="005069FA" w:rsidRDefault="002C3340"/>
    <w:sectPr w:rsidR="005069FA" w:rsidSect="00EF6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2C3340"/>
    <w:rsid w:val="002C3340"/>
    <w:rsid w:val="00722AC9"/>
    <w:rsid w:val="00732316"/>
    <w:rsid w:val="00EF6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340"/>
    <w:pPr>
      <w:spacing w:after="160" w:line="278" w:lineRule="auto"/>
    </w:pPr>
    <w:rPr>
      <w:kern w:val="2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C334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ccb.gov.tr/common/sanaltur/tur/Kulliye/index.html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2026-10-06T12:18:00Z</dcterms:created>
  <dcterms:modified xsi:type="dcterms:W3CDTF">2026-10-06T12:18:00Z</dcterms:modified>
</cp:coreProperties>
</file>