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010"/>
        <w:gridCol w:w="2080"/>
        <w:gridCol w:w="2080"/>
        <w:gridCol w:w="2080"/>
        <w:tblGridChange w:id="0">
          <w:tblGrid>
            <w:gridCol w:w="1110"/>
            <w:gridCol w:w="2010"/>
            <w:gridCol w:w="2080"/>
            <w:gridCol w:w="2080"/>
            <w:gridCol w:w="2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1544453921"/>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alert detected that an employee downloaded and opened a malicious file from a phishing email. There is an inconsistency between the sender’s email address “76tguy6hh6tgftrt7tg.su’” the name used in the email body “Clyde West,” and the sender’s name, “Def Communications.” The email body and subject line contained grammatical errors. The email’s body also contained a password-protected attachment, “bfsvc.exe,” which was downloaded and opened on the affected machine. Having previously investigated the file hash, it is confirmed to be a known malicious file. Furthermore, the alert severity is reported as medium. With these findings, I chose to escalate this ticket to a level-two SOC analyst to take further action.</w:t>
            </w:r>
          </w:p>
        </w:tc>
      </w:tr>
    </w:tbl>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t xml:space="preserve">From: Def Communications &lt;76tguyhh6tgftrt7tg.su&gt;  &lt;114.114.114.114&gt;</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A">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