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Supplementary Tables S2–S5</w:t>
      </w:r>
    </w:p>
    <w:p>
      <w:pPr>
        <w:jc w:val="both"/>
      </w:pPr>
      <w:r>
        <w:t>These tables distinguish complementary prevalence analyses based on alternative analytical units and retailer–market boundaries from the conservative/default/expanded rule-boundary sensitivity analysis.</w:t>
      </w:r>
    </w:p>
    <w:p>
      <w:pPr>
        <w:spacing w:before="120" w:after="80"/>
      </w:pPr>
      <w:r>
        <w:rPr>
          <w:rFonts w:ascii="Times New Roman" w:hAnsi="Times New Roman"/>
          <w:b/>
          <w:sz w:val="18"/>
        </w:rPr>
        <w:t>Table S2. Dataset-construction flow, sample structure, and analytical denominators used in the prevalence analyses.</w:t>
      </w:r>
    </w:p>
    <w:p>
      <w:pPr>
        <w:spacing w:before="120" w:after="80"/>
      </w:pPr>
      <w:r>
        <w:rPr>
          <w:rFonts w:ascii="Times New Roman" w:hAnsi="Times New Roman"/>
          <w:b/>
          <w:sz w:val="18"/>
        </w:rPr>
        <w:t>Panel A. Dataset-construction 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rPr>
          <w:tblHeader w:val="true"/>
        </w:trPr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Dataset stage</w:t>
            </w:r>
          </w:p>
        </w:tc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Records (n)</w:t>
            </w:r>
          </w:p>
        </w:tc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Role in construction</w:t>
            </w:r>
          </w:p>
        </w:tc>
      </w:tr>
      <w:tr>
        <w:tc>
          <w:tcPr>
            <w:tcW w:type="dxa" w:w="37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Raw scraped product-page records</w:t>
            </w:r>
          </w:p>
        </w:tc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47,834</w:t>
            </w:r>
          </w:p>
        </w:tc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Starting product-page records</w:t>
            </w:r>
          </w:p>
        </w:tc>
      </w:tr>
      <w:tr>
        <w:tc>
          <w:tcPr>
            <w:tcW w:type="dxa" w:w="37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After minimum-information filtering</w:t>
            </w:r>
          </w:p>
        </w:tc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47,570</w:t>
            </w:r>
          </w:p>
        </w:tc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Removed records lacking required material or colour information</w:t>
            </w:r>
          </w:p>
        </w:tc>
      </w:tr>
      <w:tr>
        <w:tc>
          <w:tcPr>
            <w:tcW w:type="dxa" w:w="37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After colour-variant expansion and harmonization</w:t>
            </w:r>
          </w:p>
        </w:tc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51,994</w:t>
            </w:r>
          </w:p>
        </w:tc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Expanded Uniqlo records and harmonized retailer schemas</w:t>
            </w:r>
          </w:p>
        </w:tc>
      </w:tr>
      <w:tr>
        <w:tc>
          <w:tcPr>
            <w:tcW w:type="dxa" w:w="37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After category normalization and scope filtering</w:t>
            </w:r>
          </w:p>
        </w:tc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48,244</w:t>
            </w:r>
          </w:p>
        </w:tc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Removed accessories, footwear, and unresolved categories</w:t>
            </w:r>
          </w:p>
        </w:tc>
      </w:tr>
      <w:tr>
        <w:tc>
          <w:tcPr>
            <w:tcW w:type="dxa" w:w="37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Final analytical dataset</w:t>
            </w:r>
          </w:p>
        </w:tc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47,522</w:t>
            </w:r>
          </w:p>
        </w:tc>
        <w:tc>
          <w:tcPr>
            <w:tcW w:type="dxa" w:w="37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After component normalization and consistency filtering</w:t>
            </w:r>
          </w:p>
        </w:tc>
      </w:tr>
    </w:tbl>
    <w:p>
      <w:pPr>
        <w:spacing w:before="60" w:after="160"/>
      </w:pPr>
      <w:r>
        <w:rPr>
          <w:rFonts w:ascii="Times New Roman" w:hAnsi="Times New Roman"/>
          <w:i/>
          <w:sz w:val="16"/>
        </w:rPr>
        <w:t>Note: The first four counts summarize the upstream construction workflow documented in the archived dataset release. The final analytical count is checked against the row-level rule-evaluation input.</w:t>
      </w:r>
    </w:p>
    <w:p>
      <w:pPr>
        <w:spacing w:before="120" w:after="80"/>
      </w:pPr>
      <w:r>
        <w:rPr>
          <w:rFonts w:ascii="Times New Roman" w:hAnsi="Times New Roman"/>
          <w:b/>
          <w:sz w:val="18"/>
        </w:rPr>
        <w:t>Panel B. Analytical denominators and colour-variant multiplicity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8"/>
        <w:gridCol w:w="1388"/>
        <w:gridCol w:w="1388"/>
        <w:gridCol w:w="1388"/>
        <w:gridCol w:w="1388"/>
        <w:gridCol w:w="1388"/>
        <w:gridCol w:w="1388"/>
        <w:gridCol w:w="1388"/>
      </w:tblGrid>
      <w:tr>
        <w:trPr>
          <w:tblHeader w:val="true"/>
        </w:trPr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Analytical boundary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Colour variants (n)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Product units (n)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Products with &gt;1 variant (n)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Products with &gt;1 variant (%)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Mean variants/product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Median variants/product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Maximum variants/product</w:t>
            </w:r>
          </w:p>
        </w:tc>
      </w:tr>
      <w:tr>
        <w:tc>
          <w:tcPr>
            <w:tcW w:type="dxa" w:w="13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All portals pooled: distinct products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47,522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19,173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10,466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54.6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2.48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2.0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70</w:t>
            </w:r>
          </w:p>
        </w:tc>
      </w:tr>
      <w:tr>
        <w:tc>
          <w:tcPr>
            <w:tcW w:type="dxa" w:w="13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H&amp;M Australia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14,238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7,285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3,206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44.0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1.95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1.0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34</w:t>
            </w:r>
          </w:p>
        </w:tc>
      </w:tr>
      <w:tr>
        <w:tc>
          <w:tcPr>
            <w:tcW w:type="dxa" w:w="13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H&amp;M Great Britain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26,839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14,797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6,047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40.9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1.81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1.0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39</w:t>
            </w:r>
          </w:p>
        </w:tc>
      </w:tr>
      <w:tr>
        <w:tc>
          <w:tcPr>
            <w:tcW w:type="dxa" w:w="13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Uniqlo Australia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2,825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1,016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697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68.6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2.78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2.0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32</w:t>
            </w:r>
          </w:p>
        </w:tc>
      </w:tr>
      <w:tr>
        <w:tc>
          <w:tcPr>
            <w:tcW w:type="dxa" w:w="13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Uniqlo UK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3,620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1,386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861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62.1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2.61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2.0</w:t>
            </w:r>
          </w:p>
        </w:tc>
        <w:tc>
          <w:tcPr>
            <w:tcW w:type="dxa" w:w="13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13</w:t>
            </w:r>
          </w:p>
        </w:tc>
      </w:tr>
    </w:tbl>
    <w:p>
      <w:pPr>
        <w:spacing w:before="60" w:after="160"/>
      </w:pPr>
      <w:r>
        <w:rPr>
          <w:rFonts w:ascii="Times New Roman" w:hAnsi="Times New Roman"/>
          <w:i/>
          <w:sz w:val="16"/>
        </w:rPr>
        <w:t>Note: For H&amp;M, the product-family key is the seven-digit style prefix of the ten-digit article identifier; for Uniqlo, it is the full product-page identifier including its suffix. The same retailer-specific key is used across both regions. Garment categories were assigned after product acquisition and were not used as sampling quotas.</w:t>
      </w:r>
    </w:p>
    <w:p>
      <w:pPr>
        <w:spacing w:before="120" w:after="80"/>
      </w:pPr>
      <w:r>
        <w:rPr>
          <w:rFonts w:ascii="Times New Roman" w:hAnsi="Times New Roman"/>
          <w:b/>
          <w:sz w:val="18"/>
        </w:rPr>
        <w:t>Table S3. Aggregate removable-hardware, retained-barrier, and overall core-disruptor prevalence across complementary analytical units and retailer–market boundaries (%).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rPr>
          <w:tblHeader w:val="true"/>
        </w:trPr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Analytical boundary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Units (n)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Any removable - Conservative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Any removable - Default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Any removable - Expanded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Any retained - Conservative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Any retained - Default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Any retained - Expanded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Any overall - Conservative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Any overall - Default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Any overall - Expanded</w:t>
            </w:r>
          </w:p>
        </w:tc>
      </w:tr>
      <w:tr>
        <w:tc>
          <w:tcPr>
            <w:tcW w:type="dxa" w:w="101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All portals pooled: colour variants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47,522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21.5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27.2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42.4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39.9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44.9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52.5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48.9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55.1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69.6</w:t>
            </w:r>
          </w:p>
        </w:tc>
      </w:tr>
      <w:tr>
        <w:tc>
          <w:tcPr>
            <w:tcW w:type="dxa" w:w="101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H&amp;M Australia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14,238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23.1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28.7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43.8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42.0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46.2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50.6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51.4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56.4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68.9</w:t>
            </w:r>
          </w:p>
        </w:tc>
      </w:tr>
      <w:tr>
        <w:tc>
          <w:tcPr>
            <w:tcW w:type="dxa" w:w="101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H&amp;M Great Britain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26,839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24.0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29.6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46.7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38.7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43.1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53.5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49.2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55.1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72.7</w:t>
            </w:r>
          </w:p>
        </w:tc>
      </w:tr>
      <w:tr>
        <w:tc>
          <w:tcPr>
            <w:tcW w:type="dxa" w:w="101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Uniqlo Australia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2,825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8.0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13.6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21.9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37.3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48.6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52.7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40.0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50.9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58.0</w:t>
            </w:r>
          </w:p>
        </w:tc>
      </w:tr>
      <w:tr>
        <w:tc>
          <w:tcPr>
            <w:tcW w:type="dxa" w:w="101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Uniqlo UK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3,620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6.7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13.6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20.7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41.8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50.7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52.8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44.1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53.3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57.6</w:t>
            </w:r>
          </w:p>
        </w:tc>
      </w:tr>
      <w:tr>
        <w:tc>
          <w:tcPr>
            <w:tcW w:type="dxa" w:w="101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Distinct products: at least one flagged variant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19,173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24.6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31.1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48.8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43.5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48.3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56.9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52.8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58.9</w:t>
            </w:r>
          </w:p>
        </w:tc>
        <w:tc>
          <w:tcPr>
            <w:tcW w:type="dxa" w:w="10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74.9</w:t>
            </w:r>
          </w:p>
        </w:tc>
      </w:tr>
    </w:tbl>
    <w:p>
      <w:pPr>
        <w:spacing w:before="60" w:after="160"/>
      </w:pPr>
      <w:r>
        <w:rPr>
          <w:rFonts w:ascii="Times New Roman" w:hAnsi="Times New Roman"/>
          <w:i/>
          <w:sz w:val="16"/>
        </w:rPr>
        <w:t>Note: Pooled and portal-specific estimates use colour-specific garment variants as the unit. Distinct-product estimates count each retailer-specific product family once and classify it as flagged when at least one observed colour or regional variant is flagged. Conservative, default, and expanded refer to rule-boundary settings. ‘Any removable’ denotes at least one removable-hardware indicator in R1–R3; ‘Any retained’ denotes at least one retained-barrier indicator in R4–R8; and ‘Any overall’ denotes at least one core disruptor indicator in R1–R8.</w:t>
      </w:r>
    </w:p>
    <w:p>
      <w:pPr>
        <w:spacing w:before="120" w:after="80"/>
      </w:pPr>
      <w:r>
        <w:rPr>
          <w:rFonts w:ascii="Times New Roman" w:hAnsi="Times New Roman"/>
          <w:b/>
          <w:sz w:val="18"/>
        </w:rPr>
        <w:t>Table S4. Rule-level prevalence under pooled variant-level and distinct-product analytical units (%).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Indicator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Pooled variants - 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Pooled variants - 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Pooled variants - 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Distinct products - 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Distinct products - 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Distinct products - Expanded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R1 Metal-specified/conventional hardware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12.4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12.5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6.8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15.4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15.5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R2 Plastic-specified hardware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0.3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R3 Material-ambiguous hardware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19.1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21.6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38.1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21.9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24.7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44.1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R4 Fabric attached trim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17.2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19.9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30.3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18.2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20.7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33.2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R5 Decorative/non-textile attachment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3.0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R6 Surface print/coating barrier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4.7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R7 Lining/multilayer presence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18.9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23.0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24.4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22.4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26.1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27.5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R7b Hidden-layer mismatch diagnostic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8.6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8.2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8.2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10.7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10.0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10.0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R8 Secondary-component presence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10.8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10.8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11.6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9.8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9.8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10.9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R8b Secondary-component mismatch diagnostic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6.1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5.4</w:t>
            </w:r>
          </w:p>
        </w:tc>
      </w:tr>
    </w:tbl>
    <w:p>
      <w:pPr>
        <w:spacing w:before="60" w:after="160"/>
      </w:pPr>
      <w:r>
        <w:rPr>
          <w:rFonts w:ascii="Times New Roman" w:hAnsi="Times New Roman"/>
          <w:i/>
          <w:sz w:val="16"/>
        </w:rPr>
        <w:t>Note: R7b and R8b are material-mismatch diagnostics and are not included in the retained-barrier aggregate or the overall core-disruptor indicator. The distinct-product measure uses an at-least-one-flagged-variant criterion.</w:t>
      </w:r>
    </w:p>
    <w:p>
      <w:pPr>
        <w:spacing w:before="120" w:after="80"/>
      </w:pPr>
      <w:r>
        <w:rPr>
          <w:rFonts w:ascii="Times New Roman" w:hAnsi="Times New Roman"/>
          <w:b/>
          <w:sz w:val="18"/>
        </w:rPr>
        <w:t>Table S5. Pooled and portal-specific variant-level prevalence by indicator and rule boundary (%).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Indicator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Rule boundary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All portals pooled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H&amp;M Australia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H&amp;M Great Britain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Uniqlo Australia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Uniqlo UK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Any removable-hardware indicator (R1–R3)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21.5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24.0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6.7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Any removable-hardware indicator (R1–R3)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27.2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28.7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29.6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13.6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13.6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Any removable-hardware indicator (R1–R3)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42.4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43.8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46.7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21.9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20.7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Any retained-barrier indicator (R4–R8)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39.9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42.0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38.7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37.3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41.8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Any retained-barrier indicator (R4–R8)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44.9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46.2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48.6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50.7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Any retained-barrier indicator (R4–R8)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52.5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50.6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53.5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52.7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52.8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Any core disruptor indicator (R1–R8)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48.9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51.4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49.2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40.0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44.1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Any core disruptor indicator (R1–R8)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55.1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56.4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55.1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50.9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53.3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Any core disruptor indicator (R1–R8)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69.6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68.9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72.7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58.0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57.6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R1 Metal-specified/conventional hardware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0.6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R1 Metal-specified/conventional hardware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12.4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13.8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14.3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1.9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R1 Metal-specified/conventional hardware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12.5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13.9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14.3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1.9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R2 Plastic-specified hardware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1.0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R2 Plastic-specified hardware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1.0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R2 Plastic-specified hardware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1.0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R3 Material-ambiguous hardware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19.1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19.9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21.6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6.4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R3 Material-ambiguous hardware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21.6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23.9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22.7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12.5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12.2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R3 Material-ambiguous hardware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38.1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40.4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41.2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21.0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19.5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R4 Fabric attached trim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17.2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19.0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16.2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16.8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18.1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R4 Fabric attached trim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19.9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19.9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17.5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30.8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28.6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R4 Fabric attached trim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30.3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27.1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31.8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32.5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29.9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R5 Decorative/non-textile attachment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0.0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R5 Decorative/non-textile attachment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0.1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R5 Decorative/non-textile attachment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0.1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R6 Surface print/coating barrier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6.0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R6 Surface print/coating barrier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7.3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R6 Surface print/coating barrier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7.3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R7 Lining/multilayer presence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18.9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21.0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20.0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9.9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9.3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R7 Lining/multilayer presence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23.0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25.6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23.7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13.8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14.5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R7 Lining/multilayer presence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24.4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26.7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24.9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17.7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17.1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R7b Hidden-layer mismatch diagnostic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9.0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6.7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7.1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R7b Hidden-layer mismatch diagnostic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7.8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R7b Hidden-layer mismatch diagnostic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7.8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R8 Secondary-component presence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10.8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9.1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26.9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28.2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R8 Secondary-component presence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10.8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9.1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26.9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28.2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R8 Secondary-component presence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11.6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10.0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8.6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27.0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28.5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R8b Secondary-component mismatch diagnostic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Conservative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14.3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18.6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R8b Secondary-component mismatch diagnostic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Default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12.0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17.4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3"/>
              </w:rPr>
              <w:t>R8b Secondary-component mismatch diagnostic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Expanded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5.9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12.0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17.4</w:t>
            </w:r>
          </w:p>
        </w:tc>
      </w:tr>
    </w:tbl>
    <w:p>
      <w:pPr>
        <w:spacing w:before="60" w:after="160"/>
      </w:pPr>
      <w:r>
        <w:rPr>
          <w:rFonts w:ascii="Times New Roman" w:hAnsi="Times New Roman"/>
          <w:i/>
          <w:sz w:val="16"/>
        </w:rPr>
        <w:t>Note: All columns use colour-specific garment variants as the unit. The pooled column reproduces the primary main-manuscript estimate and is included as a reference for the four portal-specific estimates. Portal differences are descriptive and should not be interpreted as causal retailer or country effects.</w:t>
      </w:r>
    </w:p>
    <w:sectPr w:rsidR="00FC693F" w:rsidRPr="0006063C" w:rsidSect="00034616">
      <w:pgSz w:w="12240" w:h="15840"/>
      <w:pgMar w:top="794" w:right="567" w:bottom="7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Tables S2–S5</dc:title>
  <dc:subject>Complementary prevalence analyses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