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A5F"/>
          <w:sz w:val="48"/>
        </w:rPr>
        <w:t>Demand Forecasting System</w:t>
      </w:r>
    </w:p>
    <w:p>
      <w:pPr>
        <w:spacing w:after="40"/>
      </w:pPr>
      <w:r>
        <w:rPr>
          <w:color w:val="2E6DA4"/>
          <w:sz w:val="26"/>
        </w:rPr>
        <w:t>Project Overview and How It Works</w:t>
      </w:r>
    </w:p>
    <w:p>
      <w:pPr>
        <w:spacing w:after="40"/>
      </w:pPr>
      <w:r>
        <w:rPr>
          <w:color w:val="555555"/>
          <w:sz w:val="20"/>
        </w:rPr>
        <w:t>June 2026</w:t>
      </w:r>
    </w:p>
    <w:p>
      <w:pPr>
        <w:pBdr>
          <w:bottom w:val="single" w:sz="6" w:space="1" w:color="1F3A5F"/>
        </w:pBdr>
        <w:spacing w:after="160"/>
      </w:pPr>
    </w:p>
    <w:p>
      <w:pPr>
        <w:pStyle w:val="Heading1"/>
      </w:pPr>
      <w:r>
        <w:t>Executive Summary</w:t>
      </w:r>
    </w:p>
    <w:p>
      <w:pPr>
        <w:spacing w:after="120"/>
      </w:pPr>
      <w:r>
        <w:t>This project is an automated system that predicts how many units of each product we expect to sell over the coming three months, so that purchasing and restocking decisions are driven by data rather than guesswork. It pulls sales history directly from our database, sorts every product into a category based on how it actually sells, and applies the forecasting method best suited to that category. The system refreshes automatically every week and feeds its results to other tools through a live data connection.</w:t>
      </w:r>
    </w:p>
    <w:p>
      <w:pPr>
        <w:spacing w:after="40"/>
      </w:pPr>
      <w:r>
        <w:t>Of the roughly 3,100 products we track, about 320 (10%) sell consistently enough to forecast, and those 320 account for nearly 75% of total sales volume. The most established of these are forecasted with statistical models that, in testing, reduced average forecast error by about 41% compared with the spreadsheet formula we use today. The remaining products sell too sporadically to forecast reliably and are handled with a simple restock rule instead.</w:t>
      </w:r>
    </w:p>
    <w:p>
      <w:pPr>
        <w:pStyle w:val="Heading1"/>
      </w:pPr>
      <w:r>
        <w:t>Why We Built It</w:t>
      </w:r>
    </w:p>
    <w:p>
      <w:pPr>
        <w:spacing w:after="120"/>
      </w:pPr>
      <w:r>
        <w:t>Every product we stock raises the same question: how many should we order, and when? Order too few and we run out and lose sales. Order too many and cash is tied up in inventory that sits on the shelf.</w:t>
      </w:r>
    </w:p>
    <w:p>
      <w:pPr>
        <w:spacing w:after="40"/>
      </w:pPr>
      <w:r>
        <w:t>Products do not all behave the same way. Some sell steadily, dozens of units every week. Some sell in occasional bursts, with nothing for weeks and then a handful of orders. Some have only started selling recently and have just a few months of history. A single forecasting method cannot serve all three well. The system first identifies how each product sells, then forecasts it accordingly.</w:t>
      </w:r>
    </w:p>
    <w:p>
      <w:pPr>
        <w:pStyle w:val="Heading1"/>
      </w:pPr>
      <w:r>
        <w:t>How It Works</w:t>
      </w:r>
    </w:p>
    <w:p>
      <w:pPr>
        <w:spacing w:after="80"/>
      </w:pPr>
      <w:r>
        <w:t>The system runs as an automated pipeline that re-runs every week:</w:t>
      </w:r>
    </w:p>
    <w:p>
      <w:pPr>
        <w:pStyle w:val="ListNumber"/>
        <w:spacing w:after="80"/>
      </w:pPr>
      <w:r>
        <w:rPr>
          <w:b/>
        </w:rPr>
        <w:t xml:space="preserve">Collect the data. </w:t>
      </w:r>
      <w:r>
        <w:t>It pulls every product's order history from our sales database and organizes it into weekly sales totals going back about two years.</w:t>
      </w:r>
    </w:p>
    <w:p>
      <w:pPr>
        <w:pStyle w:val="ListNumber"/>
        <w:spacing w:after="80"/>
      </w:pPr>
      <w:r>
        <w:rPr>
          <w:b/>
        </w:rPr>
        <w:t xml:space="preserve">Classify each product. </w:t>
      </w:r>
      <w:r>
        <w:t>It examines each product's sales pattern, including the average volume, how often weeks pass with no sales, and how erratic sales are, then sorts it into one of three groups.</w:t>
      </w:r>
    </w:p>
    <w:p>
      <w:pPr>
        <w:pStyle w:val="ListNumber"/>
        <w:spacing w:after="80"/>
      </w:pPr>
      <w:r>
        <w:rPr>
          <w:b/>
        </w:rPr>
        <w:t xml:space="preserve">Forecast each group. </w:t>
      </w:r>
      <w:r>
        <w:t>Each group is handled with the method matched to its behavior, described in the sections below.</w:t>
      </w:r>
    </w:p>
    <w:p>
      <w:pPr>
        <w:pStyle w:val="ListNumber"/>
        <w:spacing w:after="80"/>
      </w:pPr>
      <w:r>
        <w:rPr>
          <w:b/>
        </w:rPr>
        <w:t xml:space="preserve">Check accuracy and select. </w:t>
      </w:r>
      <w:r>
        <w:t>For products with enough history, the system tests several forecasting methods against past sales and keeps whichever performed best. It flags products where accuracy is weak for human review.</w:t>
      </w:r>
    </w:p>
    <w:p>
      <w:pPr>
        <w:pStyle w:val="ListNumber"/>
        <w:spacing w:after="80"/>
      </w:pPr>
      <w:r>
        <w:rPr>
          <w:b/>
        </w:rPr>
        <w:t xml:space="preserve">Deliver the results. </w:t>
      </w:r>
      <w:r>
        <w:t>Forecasts are saved to the database and made available to other applications through a live connection.</w:t>
      </w:r>
    </w:p>
    <w:p>
      <w:pPr>
        <w:spacing w:after="40"/>
      </w:pPr>
      <w:r>
        <w:t>Because the process is automated, the forecasts always reflect the most recent sales with no manual effort.</w:t>
      </w:r>
    </w:p>
    <w:p>
      <w:pPr>
        <w:pStyle w:val="Heading1"/>
      </w:pPr>
      <w:r>
        <w:t>The Three Product Types</w:t>
      </w:r>
    </w:p>
    <w:p>
      <w:pPr>
        <w:spacing w:after="120"/>
      </w:pPr>
      <w:r>
        <w:t>Every product falls into one of three categories. Each is handled differently because each behaves differently.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088"/>
            <w:shd w:val="clear" w:fill="1F3A5F"/>
          </w:tcPr>
          <w:p>
            <w:pPr>
              <w:spacing w:after="40" w:before="40"/>
            </w:pPr>
            <w:r/>
            <w:r>
              <w:rPr>
                <w:b/>
                <w:color w:val="FFFFFF"/>
                <w:sz w:val="20"/>
              </w:rPr>
              <w:t>Category</w:t>
            </w:r>
          </w:p>
        </w:tc>
        <w:tc>
          <w:tcPr>
            <w:tcW w:type="dxa" w:w="2448"/>
            <w:shd w:val="clear" w:fill="1F3A5F"/>
          </w:tcPr>
          <w:p>
            <w:pPr>
              <w:spacing w:after="40" w:before="40"/>
            </w:pPr>
            <w:r/>
            <w:r>
              <w:rPr>
                <w:b/>
                <w:color w:val="FFFFFF"/>
                <w:sz w:val="20"/>
              </w:rPr>
              <w:t>How it sells</w:t>
            </w:r>
          </w:p>
        </w:tc>
        <w:tc>
          <w:tcPr>
            <w:tcW w:type="dxa" w:w="3528"/>
            <w:shd w:val="clear" w:fill="1F3A5F"/>
          </w:tcPr>
          <w:p>
            <w:pPr>
              <w:spacing w:after="40" w:before="40"/>
            </w:pPr>
            <w:r/>
            <w:r>
              <w:rPr>
                <w:b/>
                <w:color w:val="FFFFFF"/>
                <w:sz w:val="20"/>
              </w:rPr>
              <w:t>What the system does</w:t>
            </w:r>
          </w:p>
        </w:tc>
        <w:tc>
          <w:tcPr>
            <w:tcW w:type="dxa" w:w="1152"/>
            <w:shd w:val="clear" w:fill="1F3A5F"/>
          </w:tcPr>
          <w:p>
            <w:pPr>
              <w:spacing w:after="40" w:before="40"/>
            </w:pPr>
            <w:r/>
            <w:r>
              <w:rPr>
                <w:b/>
                <w:color w:val="FFFFFF"/>
                <w:sz w:val="20"/>
              </w:rPr>
              <w:t>Products</w:t>
            </w:r>
          </w:p>
        </w:tc>
        <w:tc>
          <w:tcPr>
            <w:tcW w:type="dxa" w:w="936"/>
            <w:shd w:val="clear" w:fill="1F3A5F"/>
          </w:tcPr>
          <w:p>
            <w:pPr>
              <w:spacing w:after="40" w:before="40"/>
            </w:pPr>
            <w:r/>
            <w:r>
              <w:rPr>
                <w:b/>
                <w:color w:val="FFFFFF"/>
                <w:sz w:val="20"/>
              </w:rPr>
              <w:t>of Sales</w:t>
            </w:r>
          </w:p>
        </w:tc>
      </w:tr>
      <w:tr>
        <w:tc>
          <w:tcPr>
            <w:tcW w:type="dxa" w:w="2088"/>
          </w:tcPr>
          <w:p>
            <w:pPr>
              <w:spacing w:after="40" w:before="40"/>
            </w:pPr>
            <w:r/>
            <w:r>
              <w:rPr>
                <w:b/>
                <w:sz w:val="19"/>
              </w:rPr>
              <w:t>Established steady sellers</w:t>
            </w:r>
          </w:p>
        </w:tc>
        <w:tc>
          <w:tcPr>
            <w:tcW w:type="dxa" w:w="2448"/>
          </w:tcPr>
          <w:p>
            <w:pPr>
              <w:spacing w:after="40" w:before="40"/>
            </w:pPr>
            <w:r/>
            <w:r>
              <w:rPr>
                <w:b w:val="0"/>
                <w:sz w:val="19"/>
              </w:rPr>
              <w:t>Consistent weekly sales, with a year or more of history</w:t>
            </w:r>
          </w:p>
        </w:tc>
        <w:tc>
          <w:tcPr>
            <w:tcW w:type="dxa" w:w="3528"/>
          </w:tcPr>
          <w:p>
            <w:pPr>
              <w:spacing w:after="40" w:before="40"/>
            </w:pPr>
            <w:r/>
            <w:r>
              <w:rPr>
                <w:b w:val="0"/>
                <w:sz w:val="19"/>
              </w:rPr>
              <w:t>Statistical models that capture trend and seasonality</w:t>
            </w:r>
          </w:p>
        </w:tc>
        <w:tc>
          <w:tcPr>
            <w:tcW w:type="dxa" w:w="1152"/>
          </w:tcPr>
          <w:p>
            <w:pPr>
              <w:spacing w:after="40" w:before="40"/>
            </w:pPr>
            <w:r/>
            <w:r>
              <w:rPr>
                <w:b w:val="0"/>
                <w:sz w:val="19"/>
              </w:rPr>
              <w:t>64  (2%)</w:t>
            </w:r>
          </w:p>
        </w:tc>
        <w:tc>
          <w:tcPr>
            <w:tcW w:type="dxa" w:w="936"/>
          </w:tcPr>
          <w:p>
            <w:pPr>
              <w:spacing w:after="40" w:before="40"/>
            </w:pPr>
            <w:r/>
            <w:r>
              <w:rPr>
                <w:b w:val="0"/>
                <w:sz w:val="19"/>
              </w:rPr>
              <w:t>28%</w:t>
            </w:r>
          </w:p>
        </w:tc>
      </w:tr>
      <w:tr>
        <w:tc>
          <w:tcPr>
            <w:tcW w:type="dxa" w:w="2088"/>
          </w:tcPr>
          <w:p>
            <w:pPr>
              <w:spacing w:after="40" w:before="40"/>
            </w:pPr>
            <w:r/>
            <w:r>
              <w:rPr>
                <w:b/>
                <w:sz w:val="19"/>
              </w:rPr>
              <w:t>Newer steady sellers</w:t>
            </w:r>
          </w:p>
        </w:tc>
        <w:tc>
          <w:tcPr>
            <w:tcW w:type="dxa" w:w="2448"/>
          </w:tcPr>
          <w:p>
            <w:pPr>
              <w:spacing w:after="40" w:before="40"/>
            </w:pPr>
            <w:r/>
            <w:r>
              <w:rPr>
                <w:b w:val="0"/>
                <w:sz w:val="19"/>
              </w:rPr>
              <w:t>Selling consistently, but with under a year of history</w:t>
            </w:r>
          </w:p>
        </w:tc>
        <w:tc>
          <w:tcPr>
            <w:tcW w:type="dxa" w:w="3528"/>
          </w:tcPr>
          <w:p>
            <w:pPr>
              <w:spacing w:after="40" w:before="40"/>
            </w:pPr>
            <w:r/>
            <w:r>
              <w:rPr>
                <w:b w:val="0"/>
                <w:sz w:val="19"/>
              </w:rPr>
              <w:t>The current spreadsheet formula (an average of recent sales-velocity windows), until enough history accumulates</w:t>
            </w:r>
          </w:p>
        </w:tc>
        <w:tc>
          <w:tcPr>
            <w:tcW w:type="dxa" w:w="1152"/>
          </w:tcPr>
          <w:p>
            <w:pPr>
              <w:spacing w:after="40" w:before="40"/>
            </w:pPr>
            <w:r/>
            <w:r>
              <w:rPr>
                <w:b w:val="0"/>
                <w:sz w:val="19"/>
              </w:rPr>
              <w:t>256  (8%)</w:t>
            </w:r>
          </w:p>
        </w:tc>
        <w:tc>
          <w:tcPr>
            <w:tcW w:type="dxa" w:w="936"/>
          </w:tcPr>
          <w:p>
            <w:pPr>
              <w:spacing w:after="40" w:before="40"/>
            </w:pPr>
            <w:r/>
            <w:r>
              <w:rPr>
                <w:b w:val="0"/>
                <w:sz w:val="19"/>
              </w:rPr>
              <w:t>47%</w:t>
            </w:r>
          </w:p>
        </w:tc>
      </w:tr>
      <w:tr>
        <w:tc>
          <w:tcPr>
            <w:tcW w:type="dxa" w:w="2088"/>
          </w:tcPr>
          <w:p>
            <w:pPr>
              <w:spacing w:after="40" w:before="40"/>
            </w:pPr>
            <w:r/>
            <w:r>
              <w:rPr>
                <w:b/>
                <w:sz w:val="19"/>
              </w:rPr>
              <w:t>Sporadic / intermittent</w:t>
            </w:r>
          </w:p>
        </w:tc>
        <w:tc>
          <w:tcPr>
            <w:tcW w:type="dxa" w:w="2448"/>
          </w:tcPr>
          <w:p>
            <w:pPr>
              <w:spacing w:after="40" w:before="40"/>
            </w:pPr>
            <w:r/>
            <w:r>
              <w:rPr>
                <w:b w:val="0"/>
                <w:sz w:val="19"/>
              </w:rPr>
              <w:t>Frequent zero-sales weeks; lumpy, hard-to-predict demand</w:t>
            </w:r>
          </w:p>
        </w:tc>
        <w:tc>
          <w:tcPr>
            <w:tcW w:type="dxa" w:w="3528"/>
          </w:tcPr>
          <w:p>
            <w:pPr>
              <w:spacing w:after="40" w:before="40"/>
            </w:pPr>
            <w:r/>
            <w:r>
              <w:rPr>
                <w:b w:val="0"/>
                <w:sz w:val="19"/>
              </w:rPr>
              <w:t>Not forecasted; a simple restock rule is recommended instead</w:t>
            </w:r>
          </w:p>
        </w:tc>
        <w:tc>
          <w:tcPr>
            <w:tcW w:type="dxa" w:w="1152"/>
          </w:tcPr>
          <w:p>
            <w:pPr>
              <w:spacing w:after="40" w:before="40"/>
            </w:pPr>
            <w:r/>
            <w:r>
              <w:rPr>
                <w:b w:val="0"/>
                <w:sz w:val="19"/>
              </w:rPr>
              <w:t>2,800  (90%)</w:t>
            </w:r>
          </w:p>
        </w:tc>
        <w:tc>
          <w:tcPr>
            <w:tcW w:type="dxa" w:w="936"/>
          </w:tcPr>
          <w:p>
            <w:pPr>
              <w:spacing w:after="40" w:before="40"/>
            </w:pPr>
            <w:r/>
            <w:r>
              <w:rPr>
                <w:b w:val="0"/>
                <w:sz w:val="19"/>
              </w:rPr>
              <w:t>25%</w:t>
            </w:r>
          </w:p>
        </w:tc>
      </w:tr>
    </w:tbl>
    <w:p>
      <w:pPr>
        <w:spacing w:after="40"/>
      </w:pPr>
    </w:p>
    <w:p>
      <w:pPr>
        <w:spacing w:after="120"/>
      </w:pPr>
      <w:r>
        <w:t>The two steady groups are about 10% of the catalog but roughly 75% of sales, so forecasting effort is concentrated where it most affects revenue and inventory.</w:t>
      </w:r>
    </w:p>
    <w:p>
      <w:pPr>
        <w:spacing w:after="120"/>
      </w:pPr>
      <w:r>
        <w:t>Classification updates every week. Products that begin selling steadily are promoted into forecasting, and products that go quiet are dropped. As newer steady sellers accumulate history, they graduate into the established group and move from the spreadsheet formula onto the statistical models. The system is built so that every consistently selling product is eventually forecasted with the statistical models, which is where its main value lies.</w:t>
      </w:r>
    </w:p>
    <w:p>
      <w:pPr>
        <w:spacing w:after="40"/>
      </w:pPr>
      <w:r>
        <w:t>The restock rule for sporadic products reorders a set quantity whenever available stock falls below a set level. This policy is still being finalized and is not a focus of the current work.</w:t>
      </w:r>
    </w:p>
    <w:p>
      <w:pPr>
        <w:pStyle w:val="Heading1"/>
      </w:pPr>
      <w:r>
        <w:t>Forecasting the Established Sellers</w:t>
      </w:r>
    </w:p>
    <w:p>
      <w:pPr>
        <w:spacing w:after="120"/>
      </w:pPr>
      <w:r>
        <w:t>This is the most important part of the system and where it adds the most value. For products with a year or more of steady history, the system fits several statistical models, including methods that capture gradual trends and recurring seasonal patterns such as the pre-holiday surge. Each week it tests these models against past sales and automatically selects the one that has tracked actual demand most closely for each individual product.</w:t>
      </w:r>
    </w:p>
    <w:p>
      <w:pPr>
        <w:spacing w:after="120"/>
      </w:pPr>
      <w:r>
        <w:t>To confirm the approach is an improvement, we ran a direct, like-for-like backtest against the current spreadsheet formula on these established products, using the same time periods and the same sales history for both. The statistical models won in every test period:</w:t>
      </w:r>
    </w:p>
    <w:tbl>
      <w:tblPr>
        <w:tblStyle w:val="TableGrid"/>
        <w:tblW w:type="auto" w:w="0"/>
        <w:jc w:val="center"/>
        <w:tblLook w:firstColumn="1" w:firstRow="1" w:lastColumn="0" w:lastRow="0" w:noHBand="0" w:noVBand="1" w:val="04A0"/>
      </w:tblPr>
      <w:tblGrid>
        <w:gridCol w:w="2880"/>
        <w:gridCol w:w="2880"/>
        <w:gridCol w:w="2880"/>
      </w:tblGrid>
      <w:tr>
        <w:tc>
          <w:tcPr>
            <w:tcW w:type="dxa" w:w="5040"/>
            <w:shd w:val="clear" w:fill="1F3A5F"/>
          </w:tcPr>
          <w:p>
            <w:pPr>
              <w:spacing w:after="40" w:before="40"/>
            </w:pPr>
            <w:r/>
            <w:r>
              <w:rPr>
                <w:b/>
                <w:color w:val="FFFFFF"/>
                <w:sz w:val="20"/>
              </w:rPr>
              <w:t>Measure</w:t>
            </w:r>
          </w:p>
        </w:tc>
        <w:tc>
          <w:tcPr>
            <w:tcW w:type="dxa" w:w="2304"/>
            <w:shd w:val="clear" w:fill="1F3A5F"/>
          </w:tcPr>
          <w:p>
            <w:pPr>
              <w:spacing w:after="40" w:before="40"/>
              <w:jc w:val="center"/>
            </w:pPr>
            <w:r/>
            <w:r>
              <w:rPr>
                <w:b/>
                <w:color w:val="FFFFFF"/>
                <w:sz w:val="20"/>
              </w:rPr>
              <w:t>Statistical models</w:t>
            </w:r>
          </w:p>
        </w:tc>
        <w:tc>
          <w:tcPr>
            <w:tcW w:type="dxa" w:w="2448"/>
            <w:shd w:val="clear" w:fill="1F3A5F"/>
          </w:tcPr>
          <w:p>
            <w:pPr>
              <w:spacing w:after="40" w:before="40"/>
              <w:jc w:val="center"/>
            </w:pPr>
            <w:r/>
            <w:r>
              <w:rPr>
                <w:b/>
                <w:color w:val="FFFFFF"/>
                <w:sz w:val="20"/>
              </w:rPr>
              <w:t>Spreadsheet formula</w:t>
            </w:r>
          </w:p>
        </w:tc>
      </w:tr>
      <w:tr>
        <w:tc>
          <w:tcPr>
            <w:tcW w:type="dxa" w:w="5040"/>
          </w:tcPr>
          <w:p>
            <w:pPr>
              <w:spacing w:after="40" w:before="40"/>
            </w:pPr>
            <w:r/>
            <w:r>
              <w:rPr>
                <w:b w:val="0"/>
                <w:sz w:val="20"/>
              </w:rPr>
              <w:t>Forecast error as a share of demand (WAPE)</w:t>
            </w:r>
          </w:p>
        </w:tc>
        <w:tc>
          <w:tcPr>
            <w:tcW w:type="dxa" w:w="2304"/>
            <w:shd w:val="clear" w:fill="EAF0F6"/>
          </w:tcPr>
          <w:p>
            <w:pPr>
              <w:spacing w:after="40" w:before="40"/>
              <w:jc w:val="center"/>
            </w:pPr>
            <w:r/>
            <w:r>
              <w:rPr>
                <w:b/>
                <w:sz w:val="20"/>
              </w:rPr>
              <w:t>16%</w:t>
            </w:r>
          </w:p>
        </w:tc>
        <w:tc>
          <w:tcPr>
            <w:tcW w:type="dxa" w:w="2448"/>
          </w:tcPr>
          <w:p>
            <w:pPr>
              <w:spacing w:after="40" w:before="40"/>
              <w:jc w:val="center"/>
            </w:pPr>
            <w:r/>
            <w:r>
              <w:rPr>
                <w:b w:val="0"/>
                <w:sz w:val="20"/>
              </w:rPr>
              <w:t>29%</w:t>
            </w:r>
          </w:p>
        </w:tc>
      </w:tr>
      <w:tr>
        <w:tc>
          <w:tcPr>
            <w:tcW w:type="dxa" w:w="5040"/>
          </w:tcPr>
          <w:p>
            <w:pPr>
              <w:spacing w:after="40" w:before="40"/>
            </w:pPr>
            <w:r/>
            <w:r>
              <w:rPr>
                <w:b w:val="0"/>
                <w:sz w:val="20"/>
              </w:rPr>
              <w:t>Error vs. a basic benchmark (MASE, lower is better)</w:t>
            </w:r>
          </w:p>
        </w:tc>
        <w:tc>
          <w:tcPr>
            <w:tcW w:type="dxa" w:w="2304"/>
            <w:shd w:val="clear" w:fill="EAF0F6"/>
          </w:tcPr>
          <w:p>
            <w:pPr>
              <w:spacing w:after="40" w:before="40"/>
              <w:jc w:val="center"/>
            </w:pPr>
            <w:r/>
            <w:r>
              <w:rPr>
                <w:b/>
                <w:sz w:val="20"/>
              </w:rPr>
              <w:t>0.51</w:t>
            </w:r>
          </w:p>
        </w:tc>
        <w:tc>
          <w:tcPr>
            <w:tcW w:type="dxa" w:w="2448"/>
          </w:tcPr>
          <w:p>
            <w:pPr>
              <w:spacing w:after="40" w:before="40"/>
              <w:jc w:val="center"/>
            </w:pPr>
            <w:r/>
            <w:r>
              <w:rPr>
                <w:b w:val="0"/>
                <w:sz w:val="20"/>
              </w:rPr>
              <w:t>0.90</w:t>
            </w:r>
          </w:p>
        </w:tc>
      </w:tr>
      <w:tr>
        <w:tc>
          <w:tcPr>
            <w:tcW w:type="dxa" w:w="5040"/>
          </w:tcPr>
          <w:p>
            <w:pPr>
              <w:spacing w:after="40" w:before="40"/>
            </w:pPr>
            <w:r/>
            <w:r>
              <w:rPr>
                <w:b w:val="0"/>
                <w:sz w:val="20"/>
              </w:rPr>
              <w:t>Products forecast more accurately</w:t>
            </w:r>
          </w:p>
        </w:tc>
        <w:tc>
          <w:tcPr>
            <w:tcW w:type="dxa" w:w="2304"/>
            <w:shd w:val="clear" w:fill="EAF0F6"/>
          </w:tcPr>
          <w:p>
            <w:pPr>
              <w:spacing w:after="40" w:before="40"/>
              <w:jc w:val="center"/>
            </w:pPr>
            <w:r/>
            <w:r>
              <w:rPr>
                <w:b/>
                <w:sz w:val="20"/>
              </w:rPr>
              <w:t>63 of 64</w:t>
            </w:r>
          </w:p>
        </w:tc>
        <w:tc>
          <w:tcPr>
            <w:tcW w:type="dxa" w:w="2448"/>
          </w:tcPr>
          <w:p>
            <w:pPr>
              <w:spacing w:after="40" w:before="40"/>
              <w:jc w:val="center"/>
            </w:pPr>
            <w:r/>
            <w:r>
              <w:rPr>
                <w:b w:val="0"/>
                <w:sz w:val="20"/>
              </w:rPr>
              <w:t>1 of 64</w:t>
            </w:r>
          </w:p>
        </w:tc>
      </w:tr>
      <w:tr>
        <w:tc>
          <w:tcPr>
            <w:tcW w:type="dxa" w:w="5040"/>
          </w:tcPr>
          <w:p>
            <w:pPr>
              <w:spacing w:after="40" w:before="40"/>
            </w:pPr>
            <w:r/>
            <w:r>
              <w:rPr>
                <w:b w:val="0"/>
                <w:sz w:val="20"/>
              </w:rPr>
              <w:t>Backtest periods won (of 6)</w:t>
            </w:r>
          </w:p>
        </w:tc>
        <w:tc>
          <w:tcPr>
            <w:tcW w:type="dxa" w:w="2304"/>
            <w:shd w:val="clear" w:fill="EAF0F6"/>
          </w:tcPr>
          <w:p>
            <w:pPr>
              <w:spacing w:after="40" w:before="40"/>
              <w:jc w:val="center"/>
            </w:pPr>
            <w:r/>
            <w:r>
              <w:rPr>
                <w:b/>
                <w:sz w:val="20"/>
              </w:rPr>
              <w:t>6</w:t>
            </w:r>
          </w:p>
        </w:tc>
        <w:tc>
          <w:tcPr>
            <w:tcW w:type="dxa" w:w="2448"/>
          </w:tcPr>
          <w:p>
            <w:pPr>
              <w:spacing w:after="40" w:before="40"/>
              <w:jc w:val="center"/>
            </w:pPr>
            <w:r/>
            <w:r>
              <w:rPr>
                <w:b w:val="0"/>
                <w:sz w:val="20"/>
              </w:rPr>
              <w:t>0</w:t>
            </w:r>
          </w:p>
        </w:tc>
      </w:tr>
    </w:tbl>
    <w:p>
      <w:pPr>
        <w:spacing w:after="40"/>
      </w:pPr>
    </w:p>
    <w:p>
      <w:pPr>
        <w:spacing w:after="60"/>
      </w:pPr>
      <w:r>
        <w:t>Reading the two main measures:</w:t>
      </w:r>
    </w:p>
    <w:p>
      <w:pPr>
        <w:pStyle w:val="ListBullet"/>
        <w:spacing w:after="60"/>
      </w:pPr>
      <w:r>
        <w:rPr>
          <w:b/>
        </w:rPr>
        <w:t>WAPE</w:t>
      </w:r>
      <w:r>
        <w:rPr>
          <w:b w:val="0"/>
        </w:rPr>
        <w:t xml:space="preserve"> is the total forecast miss as a share of actual demand. The statistical models are off by about 16% of demand, versus 29% for the formula.</w:t>
      </w:r>
    </w:p>
    <w:p>
      <w:pPr>
        <w:pStyle w:val="ListBullet"/>
        <w:spacing w:after="60"/>
      </w:pPr>
      <w:r>
        <w:rPr>
          <w:b/>
        </w:rPr>
        <w:t>MASE</w:t>
      </w:r>
      <w:r>
        <w:rPr>
          <w:b w:val="0"/>
        </w:rPr>
        <w:t xml:space="preserve"> compares the forecast against a basic “repeat recent sales” benchmark. A value below 1.0 beats that benchmark. At 0.51 the statistical models cut the benchmark's error roughly in half, while the formula at 0.90 is only slightly better than it.</w:t>
      </w:r>
    </w:p>
    <w:p>
      <w:pPr>
        <w:spacing w:after="40"/>
      </w:pPr>
      <w:r>
        <w:t>Our sales history is only about two years, which limits how well any method can learn long-term seasonal patterns. Even so, the statistical models outperformed the existing formula on every measure and in every period tested.</w:t>
      </w:r>
    </w:p>
    <w:p>
      <w:pPr>
        <w:pStyle w:val="Heading1"/>
      </w:pPr>
      <w:r>
        <w:t>Forecast Ranges and Confidence</w:t>
      </w:r>
    </w:p>
    <w:p>
      <w:pPr>
        <w:spacing w:after="120"/>
      </w:pPr>
      <w:r>
        <w:t>For each established product, the system reports a point forecast, the expected number of units to sell over the next 13 weeks, together with an upper estimate. The recommended planning range runs from the point forecast up to that upper estimate, so purchasing can plan for the expected case while covering a realistic high case. For example, an established product forecast to sell about 359 units over 13 weeks carries an upper estimate of 466.</w:t>
      </w:r>
    </w:p>
    <w:p>
      <w:pPr>
        <w:spacing w:after="120"/>
      </w:pPr>
      <w:r>
        <w:t>The upper estimate comes from a prediction interval set at 70%. The interval is based on the model's own recent track record: the system measures how far its forecasts have missed in the recent past and uses that to size the band around each new forecast. A 70% interval means actual demand is expected to land within the range about 70% of the time, with the upper estimate representing the higher end. Newer steady sellers receive a point forecast only; their history is still too short to produce a reliable range.</w:t>
      </w:r>
    </w:p>
    <w:p>
      <w:pPr>
        <w:spacing w:after="60"/>
      </w:pPr>
      <w:r>
        <w:t>Each forecast also carries a confidence label:</w:t>
      </w:r>
    </w:p>
    <w:p>
      <w:pPr>
        <w:pStyle w:val="ListBullet"/>
        <w:spacing w:after="60"/>
      </w:pPr>
      <w:r>
        <w:rPr>
          <w:b/>
        </w:rPr>
        <w:t>Standard confidence</w:t>
      </w:r>
      <w:r>
        <w:rPr>
          <w:b w:val="0"/>
        </w:rPr>
        <w:t xml:space="preserve"> means the forecast tracked actual demand closely in backtesting. These can feed automated restocking directly.</w:t>
      </w:r>
    </w:p>
    <w:p>
      <w:pPr>
        <w:pStyle w:val="ListBullet"/>
        <w:spacing w:after="60"/>
      </w:pPr>
      <w:r>
        <w:rPr>
          <w:b/>
        </w:rPr>
        <w:t>Low confidence</w:t>
      </w:r>
      <w:r>
        <w:rPr>
          <w:b w:val="0"/>
        </w:rPr>
        <w:t xml:space="preserve"> means either the product is a newer seller still on the spreadsheet formula with limited history, or an established product whose backtested error was higher than our accuracy threshold. These are flagged for a quick human review before large orders.</w:t>
      </w:r>
    </w:p>
    <w:p>
      <w:pPr>
        <w:spacing w:after="40"/>
      </w:pPr>
      <w:r>
        <w:t>Currently, 61 of the 64 established products are standard confidence. Newer sellers are labeled low confidence by default until they build enough history to qualify for the statistical models.</w:t>
      </w:r>
    </w:p>
    <w:p>
      <w:pPr>
        <w:pStyle w:val="Heading1"/>
      </w:pPr>
      <w:r>
        <w:t>Future Improvements</w:t>
      </w:r>
    </w:p>
    <w:p>
      <w:pPr>
        <w:spacing w:after="60"/>
      </w:pPr>
      <w:r>
        <w:t>The system is built to improve as the business and its data grow:</w:t>
      </w:r>
    </w:p>
    <w:p>
      <w:pPr>
        <w:pStyle w:val="ListBullet"/>
        <w:spacing w:after="60"/>
      </w:pPr>
      <w:r>
        <w:rPr>
          <w:b/>
        </w:rPr>
        <w:t xml:space="preserve">Bringing in external demand signals. </w:t>
      </w:r>
      <w:r>
        <w:rPr>
          <w:b w:val="0"/>
        </w:rPr>
        <w:t>We plan to connect web traffic and analytics from the sites we sell on, such as Google web analytics, so that shifts in shopper interest can inform forecasts earlier than sales figures alone would show.</w:t>
      </w:r>
    </w:p>
    <w:p>
      <w:pPr>
        <w:pStyle w:val="ListBullet"/>
        <w:spacing w:after="60"/>
      </w:pPr>
      <w:r>
        <w:rPr>
          <w:b/>
        </w:rPr>
        <w:t xml:space="preserve">Learning seasonal patterns more precisely. </w:t>
      </w:r>
      <w:r>
        <w:rPr>
          <w:b w:val="0"/>
        </w:rPr>
        <w:t>Our sales history currently spans about two years, which limits how confidently any method can identify seasonal swings. Each additional year of data lets the models capture these patterns more accurately.</w:t>
      </w:r>
    </w:p>
    <w:p>
      <w:pPr>
        <w:pStyle w:val="ListBullet"/>
        <w:spacing w:after="60"/>
      </w:pPr>
      <w:r>
        <w:rPr>
          <w:b/>
        </w:rPr>
        <w:t xml:space="preserve">Graduating more products to statistical forecasting. </w:t>
      </w:r>
      <w:r>
        <w:rPr>
          <w:b w:val="0"/>
        </w:rPr>
        <w:t>As newer steady sellers accumulate history, they move onto the statistical models, steadily expanding the share of demand covered by the more accurate approach.</w:t>
      </w:r>
    </w:p>
    <w:p>
      <w:pPr>
        <w:spacing w:after="40"/>
      </w:pPr>
      <w:r>
        <w:t>These are real limitations of a short data history, but the approach already outperforms the current formula on the products we forecast today, and it is positioned to widen that lead as more data accumulates.</w:t>
      </w:r>
    </w:p>
    <w:p>
      <w:pPr>
        <w:pStyle w:val="Heading1"/>
      </w:pPr>
      <w:r>
        <w:t>Current Status</w:t>
      </w:r>
    </w:p>
    <w:tbl>
      <w:tblPr>
        <w:tblStyle w:val="TableGrid"/>
        <w:tblW w:type="auto" w:w="0"/>
        <w:tblLook w:firstColumn="1" w:firstRow="1" w:lastColumn="0" w:lastRow="0" w:noHBand="0" w:noVBand="1" w:val="04A0"/>
      </w:tblPr>
      <w:tblGrid>
        <w:gridCol w:w="4320"/>
        <w:gridCol w:w="4320"/>
      </w:tblGrid>
      <w:tr>
        <w:tc>
          <w:tcPr>
            <w:tcW w:type="dxa" w:w="2736"/>
            <w:shd w:val="clear" w:fill="EAF0F6"/>
          </w:tcPr>
          <w:p>
            <w:pPr>
              <w:spacing w:after="40" w:before="40"/>
            </w:pPr>
            <w:r/>
            <w:r>
              <w:rPr>
                <w:b/>
                <w:color w:val="1F3A5F"/>
                <w:sz w:val="21"/>
              </w:rPr>
              <w:t>Products tracked</w:t>
            </w:r>
          </w:p>
        </w:tc>
        <w:tc>
          <w:tcPr>
            <w:tcW w:type="dxa" w:w="7056"/>
          </w:tcPr>
          <w:p>
            <w:pPr>
              <w:spacing w:after="40" w:before="40"/>
            </w:pPr>
            <w:r/>
            <w:r>
              <w:rPr>
                <w:b w:val="0"/>
                <w:sz w:val="21"/>
              </w:rPr>
              <w:t>About 3,100, with roughly two years of weekly sales history</w:t>
            </w:r>
          </w:p>
        </w:tc>
      </w:tr>
      <w:tr>
        <w:tc>
          <w:tcPr>
            <w:tcW w:type="dxa" w:w="2736"/>
            <w:shd w:val="clear" w:fill="EAF0F6"/>
          </w:tcPr>
          <w:p>
            <w:pPr>
              <w:spacing w:after="40" w:before="40"/>
            </w:pPr>
            <w:r/>
            <w:r>
              <w:rPr>
                <w:b/>
                <w:color w:val="1F3A5F"/>
                <w:sz w:val="21"/>
              </w:rPr>
              <w:t>Actively forecasted</w:t>
            </w:r>
          </w:p>
        </w:tc>
        <w:tc>
          <w:tcPr>
            <w:tcW w:type="dxa" w:w="7056"/>
          </w:tcPr>
          <w:p>
            <w:pPr>
              <w:spacing w:after="40" w:before="40"/>
            </w:pPr>
            <w:r/>
            <w:r>
              <w:rPr>
                <w:b w:val="0"/>
                <w:sz w:val="21"/>
              </w:rPr>
              <w:t>320 products, about 75% of total sales volume</w:t>
            </w:r>
          </w:p>
        </w:tc>
      </w:tr>
      <w:tr>
        <w:tc>
          <w:tcPr>
            <w:tcW w:type="dxa" w:w="2736"/>
            <w:shd w:val="clear" w:fill="EAF0F6"/>
          </w:tcPr>
          <w:p>
            <w:pPr>
              <w:spacing w:after="40" w:before="40"/>
            </w:pPr>
            <w:r/>
            <w:r>
              <w:rPr>
                <w:b/>
                <w:color w:val="1F3A5F"/>
                <w:sz w:val="21"/>
              </w:rPr>
              <w:t>Forecast method</w:t>
            </w:r>
          </w:p>
        </w:tc>
        <w:tc>
          <w:tcPr>
            <w:tcW w:type="dxa" w:w="7056"/>
          </w:tcPr>
          <w:p>
            <w:pPr>
              <w:spacing w:after="40" w:before="40"/>
            </w:pPr>
            <w:r/>
            <w:r>
              <w:rPr>
                <w:b w:val="0"/>
                <w:sz w:val="21"/>
              </w:rPr>
              <w:t>Statistical models for established sellers; the current formula for newer sellers, converging on statistical models over time</w:t>
            </w:r>
          </w:p>
        </w:tc>
      </w:tr>
      <w:tr>
        <w:tc>
          <w:tcPr>
            <w:tcW w:type="dxa" w:w="2736"/>
            <w:shd w:val="clear" w:fill="EAF0F6"/>
          </w:tcPr>
          <w:p>
            <w:pPr>
              <w:spacing w:after="40" w:before="40"/>
            </w:pPr>
            <w:r/>
            <w:r>
              <w:rPr>
                <w:b/>
                <w:color w:val="1F3A5F"/>
                <w:sz w:val="21"/>
              </w:rPr>
              <w:t>Forecast horizon</w:t>
            </w:r>
          </w:p>
        </w:tc>
        <w:tc>
          <w:tcPr>
            <w:tcW w:type="dxa" w:w="7056"/>
          </w:tcPr>
          <w:p>
            <w:pPr>
              <w:spacing w:after="40" w:before="40"/>
            </w:pPr>
            <w:r/>
            <w:r>
              <w:rPr>
                <w:b w:val="0"/>
                <w:sz w:val="21"/>
              </w:rPr>
              <w:t>13 weeks (about 90 days) ahead</w:t>
            </w:r>
          </w:p>
        </w:tc>
      </w:tr>
      <w:tr>
        <w:tc>
          <w:tcPr>
            <w:tcW w:type="dxa" w:w="2736"/>
            <w:shd w:val="clear" w:fill="EAF0F6"/>
          </w:tcPr>
          <w:p>
            <w:pPr>
              <w:spacing w:after="40" w:before="40"/>
            </w:pPr>
            <w:r/>
            <w:r>
              <w:rPr>
                <w:b/>
                <w:color w:val="1F3A5F"/>
                <w:sz w:val="21"/>
              </w:rPr>
              <w:t>Refresh cadence</w:t>
            </w:r>
          </w:p>
        </w:tc>
        <w:tc>
          <w:tcPr>
            <w:tcW w:type="dxa" w:w="7056"/>
          </w:tcPr>
          <w:p>
            <w:pPr>
              <w:spacing w:after="40" w:before="40"/>
            </w:pPr>
            <w:r/>
            <w:r>
              <w:rPr>
                <w:b w:val="0"/>
                <w:sz w:val="21"/>
              </w:rPr>
              <w:t>Fully automated, every week</w:t>
            </w:r>
          </w:p>
        </w:tc>
      </w:tr>
      <w:tr>
        <w:tc>
          <w:tcPr>
            <w:tcW w:type="dxa" w:w="2736"/>
            <w:shd w:val="clear" w:fill="EAF0F6"/>
          </w:tcPr>
          <w:p>
            <w:pPr>
              <w:spacing w:after="40" w:before="40"/>
            </w:pPr>
            <w:r/>
            <w:r>
              <w:rPr>
                <w:b/>
                <w:color w:val="1F3A5F"/>
                <w:sz w:val="21"/>
              </w:rPr>
              <w:t>Status</w:t>
            </w:r>
          </w:p>
        </w:tc>
        <w:tc>
          <w:tcPr>
            <w:tcW w:type="dxa" w:w="7056"/>
          </w:tcPr>
          <w:p>
            <w:pPr>
              <w:spacing w:after="40" w:before="40"/>
            </w:pPr>
            <w:r/>
            <w:r>
              <w:rPr>
                <w:b w:val="0"/>
                <w:sz w:val="21"/>
              </w:rPr>
              <w:t>Live and connected to downstream tools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2E6DA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