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B17192">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proofErr w:type="spellStart"/>
                  <w:r>
                    <w:rPr>
                      <w:rFonts w:ascii="Times New Roman" w:hAnsi="Times New Roman"/>
                    </w:rPr>
                    <w:t>MTConnect</w:t>
                  </w:r>
                  <w:proofErr w:type="spellEnd"/>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B17192">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981EFE" w:rsidRPr="00C83681" w:rsidRDefault="006D32F3" w:rsidP="00981EFE">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81EFE" w:rsidRPr="00C83681" w:rsidRDefault="006D32F3" w:rsidP="00981EFE">
                  <w:pPr>
                    <w:rPr>
                      <w:rFonts w:ascii="Times New Roman" w:hAnsi="Times New Roman"/>
                    </w:rPr>
                  </w:pPr>
                  <w:r w:rsidRPr="00C83681">
                    <w:rPr>
                      <w:rFonts w:ascii="Times New Roman" w:hAnsi="Times New Roman"/>
                    </w:rPr>
                    <w:t xml:space="preserve">Prepared on: </w:t>
                  </w:r>
                  <w:r w:rsidR="00B17192" w:rsidRPr="00C83681">
                    <w:fldChar w:fldCharType="begin"/>
                  </w:r>
                  <w:r w:rsidRPr="00C83681">
                    <w:rPr>
                      <w:rFonts w:ascii="Times New Roman" w:hAnsi="Times New Roman"/>
                    </w:rPr>
                    <w:instrText xml:space="preserve"> TIME \@ "MMMM d, yyyy" </w:instrText>
                  </w:r>
                  <w:r w:rsidR="00B17192" w:rsidRPr="00C83681">
                    <w:fldChar w:fldCharType="separate"/>
                  </w:r>
                  <w:r w:rsidR="00E11F8F">
                    <w:rPr>
                      <w:rFonts w:ascii="Times New Roman" w:hAnsi="Times New Roman"/>
                      <w:noProof/>
                    </w:rPr>
                    <w:t>February 4, 2010</w:t>
                  </w:r>
                  <w:r w:rsidR="00B17192" w:rsidRPr="00C83681">
                    <w:fldChar w:fldCharType="end"/>
                  </w:r>
                </w:p>
              </w:txbxContent>
            </v:textbox>
          </v:shape>
        </w:pict>
      </w:r>
    </w:p>
    <w:p w:rsidR="00981EFE" w:rsidRDefault="006D32F3" w:rsidP="00981EFE">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981EFE" w:rsidRDefault="006D32F3" w:rsidP="00981EFE">
      <w:pPr>
        <w:pStyle w:val="BodyA"/>
      </w:pPr>
      <w:r>
        <w:t xml:space="preserve">AMT - The Association </w:t>
      </w:r>
      <w:proofErr w:type="gramStart"/>
      <w:r>
        <w:t>For</w:t>
      </w:r>
      <w:proofErr w:type="gramEnd"/>
      <w:r>
        <w:t xml:space="preserve"> Manufacturing Technology (“AMT”)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disclaimers contained in the </w:t>
      </w:r>
      <w:proofErr w:type="spellStart"/>
      <w:r>
        <w:t>MTConnect</w:t>
      </w:r>
      <w:proofErr w:type="spellEnd"/>
      <w:r>
        <w:t xml:space="preserve"> Specification. </w:t>
      </w:r>
    </w:p>
    <w:p w:rsidR="00981EFE" w:rsidRDefault="006D32F3" w:rsidP="00981EFE">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Specification Implementer License Agreement (“Implementer License”) or to the </w:t>
      </w:r>
      <w:proofErr w:type="spellStart"/>
      <w:r>
        <w:t>MTConnect</w:t>
      </w:r>
      <w:proofErr w:type="spellEnd"/>
      <w:r>
        <w:t xml:space="preserve"> Intellectual Property Policy and Agreement (“IP Policy”).  The Implementer License and IP Policy each sets forth the license terms and other terms of use for </w:t>
      </w:r>
      <w:proofErr w:type="spellStart"/>
      <w:r>
        <w:t>MTConnect</w:t>
      </w:r>
      <w:proofErr w:type="spellEnd"/>
      <w:r>
        <w:t xml:space="preserve"> Implementers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pwarndorf@amtonline.org.</w:t>
      </w:r>
    </w:p>
    <w:p w:rsidR="00981EFE" w:rsidRDefault="006D32F3" w:rsidP="00981EFE">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secure any such rights.  </w:t>
      </w:r>
    </w:p>
    <w:p w:rsidR="00981EFE" w:rsidRDefault="006D32F3" w:rsidP="00981EFE">
      <w:pPr>
        <w:pStyle w:val="BodyA"/>
      </w:pPr>
      <w:r>
        <w:t xml:space="preserve">The </w:t>
      </w:r>
      <w:proofErr w:type="spellStart"/>
      <w:r>
        <w:t>MTConnect</w:t>
      </w:r>
      <w:proofErr w:type="spellEnd"/>
      <w:r>
        <w:t xml:space="preserve"> Specification is provided “as is” and </w:t>
      </w:r>
      <w:proofErr w:type="spellStart"/>
      <w:r>
        <w:t>MTConnect</w:t>
      </w:r>
      <w:proofErr w:type="spellEnd"/>
      <w:r>
        <w:t xml:space="preserve"> Institute and AMT, and each of their respective members, officers, affiliates, sponsors and agents, make no representation or warranty of any kind relating to these materials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 whether or not they had advance notice of the possibility of such damage.</w:t>
      </w:r>
    </w:p>
    <w:p w:rsidR="00981EFE" w:rsidRDefault="006D32F3" w:rsidP="00981EFE">
      <w:pPr>
        <w:pStyle w:val="ContentsHeading"/>
        <w:sectPr w:rsidR="00981EFE" w:rsidSect="00981EFE">
          <w:headerReference w:type="even" r:id="rId12"/>
          <w:headerReference w:type="default" r:id="rId13"/>
          <w:footerReference w:type="even" r:id="rId14"/>
          <w:footerReference w:type="default" r:id="rId15"/>
          <w:pgSz w:w="12240" w:h="15840"/>
          <w:pgMar w:top="1440" w:right="1440" w:bottom="1440" w:left="1440" w:header="720" w:footer="864" w:gutter="0"/>
          <w:pgNumType w:start="1"/>
          <w:cols w:space="720"/>
        </w:sectPr>
      </w:pPr>
      <w:r>
        <w:br w:type="page"/>
      </w:r>
      <w:r>
        <w:lastRenderedPageBreak/>
        <w:t>Table of Contents</w:t>
      </w:r>
    </w:p>
    <w:p w:rsidR="00981EFE" w:rsidRDefault="00B17192">
      <w:pPr>
        <w:pStyle w:val="TOC1"/>
        <w:tabs>
          <w:tab w:val="left" w:pos="340"/>
          <w:tab w:val="right" w:leader="dot" w:pos="9350"/>
        </w:tabs>
        <w:rPr>
          <w:rFonts w:eastAsia="Times New Roman"/>
          <w:b w:val="0"/>
          <w:caps w:val="0"/>
          <w:noProof/>
          <w:color w:val="auto"/>
          <w:sz w:val="24"/>
          <w:szCs w:val="24"/>
        </w:rPr>
      </w:pPr>
      <w:r w:rsidRPr="00B17192">
        <w:lastRenderedPageBreak/>
        <w:fldChar w:fldCharType="begin"/>
      </w:r>
      <w:r w:rsidR="006D32F3">
        <w:instrText xml:space="preserve"> TOC \o "1-3" </w:instrText>
      </w:r>
      <w:r w:rsidRPr="00B17192">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B17192">
        <w:rPr>
          <w:noProof/>
        </w:rPr>
        <w:fldChar w:fldCharType="begin"/>
      </w:r>
      <w:r>
        <w:rPr>
          <w:noProof/>
        </w:rPr>
        <w:instrText xml:space="preserve"> PAGEREF _Toc106015115 \h </w:instrText>
      </w:r>
      <w:r w:rsidR="00B17192">
        <w:rPr>
          <w:noProof/>
        </w:rPr>
      </w:r>
      <w:r w:rsidR="00B17192">
        <w:rPr>
          <w:noProof/>
        </w:rPr>
        <w:fldChar w:fldCharType="separate"/>
      </w:r>
      <w:r w:rsidR="00661905">
        <w:rPr>
          <w:noProof/>
        </w:rPr>
        <w:t>1</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B17192">
        <w:rPr>
          <w:noProof/>
        </w:rPr>
        <w:fldChar w:fldCharType="begin"/>
      </w:r>
      <w:r>
        <w:rPr>
          <w:noProof/>
        </w:rPr>
        <w:instrText xml:space="preserve"> PAGEREF _Toc106015116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B17192">
        <w:rPr>
          <w:noProof/>
        </w:rPr>
        <w:fldChar w:fldCharType="begin"/>
      </w:r>
      <w:r>
        <w:rPr>
          <w:noProof/>
        </w:rPr>
        <w:instrText xml:space="preserve"> PAGEREF _Toc106015117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B17192">
        <w:rPr>
          <w:noProof/>
        </w:rPr>
        <w:fldChar w:fldCharType="begin"/>
      </w:r>
      <w:r>
        <w:rPr>
          <w:noProof/>
        </w:rPr>
        <w:instrText xml:space="preserve"> PAGEREF _Toc106015118 \h </w:instrText>
      </w:r>
      <w:r w:rsidR="00B17192">
        <w:rPr>
          <w:noProof/>
        </w:rPr>
      </w:r>
      <w:r w:rsidR="00B17192">
        <w:rPr>
          <w:noProof/>
        </w:rPr>
        <w:fldChar w:fldCharType="separate"/>
      </w:r>
      <w:r w:rsidR="00661905">
        <w:rPr>
          <w:noProof/>
        </w:rPr>
        <w:t>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B17192">
        <w:rPr>
          <w:noProof/>
        </w:rPr>
        <w:fldChar w:fldCharType="begin"/>
      </w:r>
      <w:r>
        <w:rPr>
          <w:noProof/>
        </w:rPr>
        <w:instrText xml:space="preserve"> PAGEREF _Toc106015119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B17192">
        <w:rPr>
          <w:noProof/>
        </w:rPr>
        <w:fldChar w:fldCharType="begin"/>
      </w:r>
      <w:r>
        <w:rPr>
          <w:noProof/>
        </w:rPr>
        <w:instrText xml:space="preserve"> PAGEREF _Toc106015120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B17192">
        <w:rPr>
          <w:noProof/>
        </w:rPr>
        <w:fldChar w:fldCharType="begin"/>
      </w:r>
      <w:r>
        <w:rPr>
          <w:noProof/>
        </w:rPr>
        <w:instrText xml:space="preserve"> PAGEREF _Toc106015121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B17192">
        <w:rPr>
          <w:noProof/>
        </w:rPr>
        <w:fldChar w:fldCharType="begin"/>
      </w:r>
      <w:r>
        <w:rPr>
          <w:noProof/>
        </w:rPr>
        <w:instrText xml:space="preserve"> PAGEREF _Toc106015122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B17192">
        <w:rPr>
          <w:noProof/>
        </w:rPr>
        <w:fldChar w:fldCharType="begin"/>
      </w:r>
      <w:r>
        <w:rPr>
          <w:noProof/>
        </w:rPr>
        <w:instrText xml:space="preserve"> PAGEREF _Toc106015123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B17192">
        <w:rPr>
          <w:noProof/>
        </w:rPr>
        <w:fldChar w:fldCharType="begin"/>
      </w:r>
      <w:r>
        <w:rPr>
          <w:noProof/>
        </w:rPr>
        <w:instrText xml:space="preserve"> PAGEREF _Toc106015124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B17192">
        <w:rPr>
          <w:noProof/>
        </w:rPr>
        <w:fldChar w:fldCharType="begin"/>
      </w:r>
      <w:r>
        <w:rPr>
          <w:noProof/>
        </w:rPr>
        <w:instrText xml:space="preserve"> PAGEREF _Toc106015125 \h </w:instrText>
      </w:r>
      <w:r w:rsidR="00B17192">
        <w:rPr>
          <w:noProof/>
        </w:rPr>
      </w:r>
      <w:r w:rsidR="00B17192">
        <w:rPr>
          <w:noProof/>
        </w:rPr>
        <w:fldChar w:fldCharType="separate"/>
      </w:r>
      <w:r w:rsidR="00661905">
        <w:rPr>
          <w:noProof/>
        </w:rPr>
        <w:t>9</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B17192">
        <w:rPr>
          <w:noProof/>
        </w:rPr>
        <w:fldChar w:fldCharType="begin"/>
      </w:r>
      <w:r>
        <w:rPr>
          <w:noProof/>
        </w:rPr>
        <w:instrText xml:space="preserve"> PAGEREF _Toc106015126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B17192">
        <w:rPr>
          <w:noProof/>
        </w:rPr>
        <w:fldChar w:fldCharType="begin"/>
      </w:r>
      <w:r>
        <w:rPr>
          <w:noProof/>
        </w:rPr>
        <w:instrText xml:space="preserve"> PAGEREF _Toc106015127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B17192">
        <w:rPr>
          <w:noProof/>
        </w:rPr>
        <w:fldChar w:fldCharType="begin"/>
      </w:r>
      <w:r>
        <w:rPr>
          <w:noProof/>
        </w:rPr>
        <w:instrText xml:space="preserve"> PAGEREF _Toc106015128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B17192">
        <w:rPr>
          <w:noProof/>
        </w:rPr>
        <w:fldChar w:fldCharType="begin"/>
      </w:r>
      <w:r>
        <w:rPr>
          <w:noProof/>
        </w:rPr>
        <w:instrText xml:space="preserve"> PAGEREF _Toc106015129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B17192">
        <w:rPr>
          <w:noProof/>
        </w:rPr>
        <w:fldChar w:fldCharType="begin"/>
      </w:r>
      <w:r>
        <w:rPr>
          <w:noProof/>
        </w:rPr>
        <w:instrText xml:space="preserve"> PAGEREF _Toc106015130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B17192">
        <w:rPr>
          <w:noProof/>
        </w:rPr>
        <w:fldChar w:fldCharType="begin"/>
      </w:r>
      <w:r>
        <w:rPr>
          <w:noProof/>
        </w:rPr>
        <w:instrText xml:space="preserve"> PAGEREF _Toc106015131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B17192">
        <w:rPr>
          <w:noProof/>
        </w:rPr>
        <w:fldChar w:fldCharType="begin"/>
      </w:r>
      <w:r>
        <w:rPr>
          <w:noProof/>
        </w:rPr>
        <w:instrText xml:space="preserve"> PAGEREF _Toc106015132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B17192">
        <w:rPr>
          <w:noProof/>
        </w:rPr>
        <w:fldChar w:fldCharType="begin"/>
      </w:r>
      <w:r>
        <w:rPr>
          <w:noProof/>
        </w:rPr>
        <w:instrText xml:space="preserve"> PAGEREF _Toc106015133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B17192">
        <w:rPr>
          <w:noProof/>
        </w:rPr>
        <w:fldChar w:fldCharType="begin"/>
      </w:r>
      <w:r>
        <w:rPr>
          <w:noProof/>
        </w:rPr>
        <w:instrText xml:space="preserve"> PAGEREF _Toc106015134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B17192">
        <w:rPr>
          <w:noProof/>
        </w:rPr>
        <w:fldChar w:fldCharType="begin"/>
      </w:r>
      <w:r>
        <w:rPr>
          <w:noProof/>
        </w:rPr>
        <w:instrText xml:space="preserve"> PAGEREF _Toc106015135 \h </w:instrText>
      </w:r>
      <w:r w:rsidR="00B17192">
        <w:rPr>
          <w:noProof/>
        </w:rPr>
      </w:r>
      <w:r w:rsidR="00B17192">
        <w:rPr>
          <w:noProof/>
        </w:rPr>
        <w:fldChar w:fldCharType="separate"/>
      </w:r>
      <w:r w:rsidR="00661905">
        <w:rPr>
          <w:noProof/>
        </w:rPr>
        <w:t>13</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B17192">
        <w:rPr>
          <w:noProof/>
        </w:rPr>
        <w:fldChar w:fldCharType="begin"/>
      </w:r>
      <w:r>
        <w:rPr>
          <w:noProof/>
        </w:rPr>
        <w:instrText xml:space="preserve"> PAGEREF _Toc106015136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B17192">
        <w:rPr>
          <w:noProof/>
        </w:rPr>
        <w:fldChar w:fldCharType="begin"/>
      </w:r>
      <w:r>
        <w:rPr>
          <w:noProof/>
        </w:rPr>
        <w:instrText xml:space="preserve"> PAGEREF _Toc106015137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B17192">
        <w:rPr>
          <w:noProof/>
        </w:rPr>
        <w:fldChar w:fldCharType="begin"/>
      </w:r>
      <w:r>
        <w:rPr>
          <w:noProof/>
        </w:rPr>
        <w:instrText xml:space="preserve"> PAGEREF _Toc106015138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B17192">
        <w:rPr>
          <w:noProof/>
        </w:rPr>
        <w:fldChar w:fldCharType="begin"/>
      </w:r>
      <w:r>
        <w:rPr>
          <w:noProof/>
        </w:rPr>
        <w:instrText xml:space="preserve"> PAGEREF _Toc106015139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B17192">
        <w:rPr>
          <w:noProof/>
        </w:rPr>
        <w:fldChar w:fldCharType="begin"/>
      </w:r>
      <w:r>
        <w:rPr>
          <w:noProof/>
        </w:rPr>
        <w:instrText xml:space="preserve"> PAGEREF _Toc106015140 \h </w:instrText>
      </w:r>
      <w:r w:rsidR="00B17192">
        <w:rPr>
          <w:noProof/>
        </w:rPr>
      </w:r>
      <w:r w:rsidR="00B17192">
        <w:rPr>
          <w:noProof/>
        </w:rPr>
        <w:fldChar w:fldCharType="separate"/>
      </w:r>
      <w:r w:rsidR="00661905">
        <w:rPr>
          <w:noProof/>
        </w:rPr>
        <w:t>16</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B17192">
        <w:rPr>
          <w:noProof/>
        </w:rPr>
        <w:fldChar w:fldCharType="begin"/>
      </w:r>
      <w:r>
        <w:rPr>
          <w:noProof/>
        </w:rPr>
        <w:instrText xml:space="preserve"> PAGEREF _Toc106015141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B17192">
        <w:rPr>
          <w:noProof/>
        </w:rPr>
        <w:fldChar w:fldCharType="begin"/>
      </w:r>
      <w:r>
        <w:rPr>
          <w:noProof/>
        </w:rPr>
        <w:instrText xml:space="preserve"> PAGEREF _Toc106015142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B17192">
        <w:rPr>
          <w:noProof/>
        </w:rPr>
        <w:fldChar w:fldCharType="begin"/>
      </w:r>
      <w:r>
        <w:rPr>
          <w:noProof/>
        </w:rPr>
        <w:instrText xml:space="preserve"> PAGEREF _Toc106015143 \h </w:instrText>
      </w:r>
      <w:r w:rsidR="00B17192">
        <w:rPr>
          <w:noProof/>
        </w:rPr>
      </w:r>
      <w:r w:rsidR="00B17192">
        <w:rPr>
          <w:noProof/>
        </w:rPr>
        <w:fldChar w:fldCharType="separate"/>
      </w:r>
      <w:r w:rsidR="00661905">
        <w:rPr>
          <w:noProof/>
        </w:rPr>
        <w:t>20</w:t>
      </w:r>
      <w:r w:rsidR="00B17192">
        <w:rPr>
          <w:noProof/>
        </w:rPr>
        <w:fldChar w:fldCharType="end"/>
      </w:r>
    </w:p>
    <w:p w:rsidR="00981EFE" w:rsidRDefault="00B17192">
      <w:pPr>
        <w:pStyle w:val="Contents1"/>
        <w:tabs>
          <w:tab w:val="right" w:leader="dot" w:pos="9340"/>
        </w:tabs>
      </w:pPr>
      <w:r>
        <w:fldChar w:fldCharType="end"/>
      </w:r>
    </w:p>
    <w:p w:rsidR="00981EFE" w:rsidRDefault="006B3C2E">
      <w:pPr>
        <w:sectPr w:rsidR="00981EFE">
          <w:headerReference w:type="even" r:id="rId16"/>
          <w:footerReference w:type="even" r:id="rId17"/>
          <w:footerReference w:type="default" r:id="rId18"/>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B17192">
      <w:pPr>
        <w:pStyle w:val="TableofFigures"/>
        <w:tabs>
          <w:tab w:val="right" w:leader="dot" w:pos="9350"/>
        </w:tabs>
        <w:rPr>
          <w:rFonts w:ascii="Times New Roman" w:eastAsia="Times New Roman" w:hAnsi="Times New Roman"/>
          <w:smallCaps w:val="0"/>
          <w:noProof/>
          <w:color w:val="auto"/>
          <w:szCs w:val="24"/>
        </w:rPr>
      </w:pPr>
      <w:r w:rsidRPr="00B17192">
        <w:rPr>
          <w:color w:val="0079A5"/>
          <w:sz w:val="48"/>
        </w:rPr>
        <w:fldChar w:fldCharType="begin"/>
      </w:r>
      <w:r w:rsidR="006D32F3">
        <w:rPr>
          <w:color w:val="0079A5"/>
          <w:sz w:val="48"/>
        </w:rPr>
        <w:instrText xml:space="preserve"> TOC \c "Figure" </w:instrText>
      </w:r>
      <w:r w:rsidRPr="00B17192">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B17192">
        <w:rPr>
          <w:noProof/>
        </w:rPr>
        <w:fldChar w:fldCharType="begin"/>
      </w:r>
      <w:r>
        <w:rPr>
          <w:noProof/>
        </w:rPr>
        <w:instrText xml:space="preserve"> PAGEREF _Toc100766047 \h </w:instrText>
      </w:r>
      <w:r w:rsidR="00B17192">
        <w:rPr>
          <w:noProof/>
        </w:rPr>
      </w:r>
      <w:r w:rsidR="00B17192">
        <w:rPr>
          <w:noProof/>
        </w:rPr>
        <w:fldChar w:fldCharType="separate"/>
      </w:r>
      <w:r w:rsidR="00661905">
        <w:rPr>
          <w:noProof/>
        </w:rPr>
        <w:t>10</w:t>
      </w:r>
      <w:r w:rsidR="00B17192">
        <w:rPr>
          <w:noProof/>
        </w:rPr>
        <w:fldChar w:fldCharType="end"/>
      </w:r>
    </w:p>
    <w:p w:rsidR="00981EFE" w:rsidRDefault="00B17192">
      <w:pPr>
        <w:pStyle w:val="BodyA"/>
        <w:rPr>
          <w:color w:val="0079A5"/>
          <w:sz w:val="48"/>
        </w:rPr>
      </w:pPr>
      <w:r>
        <w:rPr>
          <w:color w:val="0079A5"/>
          <w:sz w:val="48"/>
        </w:rPr>
        <w:fldChar w:fldCharType="end"/>
      </w:r>
    </w:p>
    <w:p w:rsidR="00981EFE" w:rsidRDefault="006B3C2E">
      <w:pPr>
        <w:ind w:left="108"/>
        <w:sectPr w:rsidR="00981EFE" w:rsidSect="00981EFE">
          <w:headerReference w:type="even" r:id="rId19"/>
          <w:footerReference w:type="even" r:id="rId20"/>
          <w:footerReference w:type="default" r:id="rId21"/>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proofErr w:type="spellStart"/>
      <w:r>
        <w:t>MTConnect</w:t>
      </w:r>
      <w:proofErr w:type="spellEnd"/>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 xml:space="preserve">The types of data that may need to be addressed in </w:t>
      </w:r>
      <w:proofErr w:type="spellStart"/>
      <w:r>
        <w:t>MTConnect</w:t>
      </w:r>
      <w:proofErr w:type="spellEnd"/>
      <w:r>
        <w:t xml:space="preserve">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981EFE" w:rsidRDefault="006D32F3">
      <w:pPr>
        <w:pStyle w:val="BodyA"/>
      </w:pPr>
      <w:r>
        <w:t xml:space="preserve">The first version of </w:t>
      </w:r>
      <w:proofErr w:type="spellStart"/>
      <w:r>
        <w:t>MTConnect</w:t>
      </w:r>
      <w:proofErr w:type="spellEnd"/>
      <w:r>
        <w:t xml:space="preserve">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proofErr w:type="spellStart"/>
      <w:r>
        <w:t>MTConnect</w:t>
      </w:r>
      <w:proofErr w:type="spellEnd"/>
      <w:r>
        <w:t xml:space="preserve"> Document Structure</w:t>
      </w:r>
      <w:bookmarkEnd w:id="2"/>
    </w:p>
    <w:p w:rsidR="00981EFE" w:rsidRPr="00C354ED" w:rsidRDefault="006D32F3" w:rsidP="00981EFE">
      <w:pPr>
        <w:pStyle w:val="BodyA"/>
      </w:pPr>
      <w:r w:rsidRPr="00C354ED">
        <w:t xml:space="preserve">The </w:t>
      </w:r>
      <w:proofErr w:type="spellStart"/>
      <w:r w:rsidRPr="00C354ED">
        <w:t>MTConnect</w:t>
      </w:r>
      <w:proofErr w:type="spellEnd"/>
      <w:r w:rsidRPr="00C354ED">
        <w:t xml:space="preserve">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6B3C2E" w:rsidP="00981EFE">
      <w:pPr>
        <w:pStyle w:val="BodyA"/>
        <w:spacing w:after="0"/>
        <w:ind w:left="1440"/>
      </w:pPr>
    </w:p>
    <w:p w:rsidR="00981EFE" w:rsidRDefault="006D32F3" w:rsidP="00981EFE">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 xml:space="preserve">define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specify the requirements for compliance with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proofErr w:type="gramStart"/>
      <w:r>
        <w:rPr>
          <w:b/>
        </w:rPr>
        <w:t>Adapter</w:t>
      </w:r>
      <w:r>
        <w:tab/>
        <w:t>An optional software component that connects the Agent to the Device.</w:t>
      </w:r>
      <w:proofErr w:type="gramEnd"/>
    </w:p>
    <w:p w:rsidR="00981EFE" w:rsidRDefault="006D32F3">
      <w:pPr>
        <w:pStyle w:val="GlossaryEntry"/>
      </w:pPr>
      <w:proofErr w:type="gramStart"/>
      <w:r>
        <w:rPr>
          <w:b/>
        </w:rPr>
        <w:t>Agent</w:t>
      </w:r>
      <w:r>
        <w:tab/>
        <w:t xml:space="preserve">A process that implements the </w:t>
      </w:r>
      <w:proofErr w:type="spellStart"/>
      <w:r>
        <w:t>MTConnect</w:t>
      </w:r>
      <w:proofErr w:type="spellEnd"/>
      <w:r>
        <w:t xml:space="preserve"> specification, acting as an interface to the device.</w:t>
      </w:r>
      <w:proofErr w:type="gramEnd"/>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981EFE"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981EFE"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981EFE" w:rsidRPr="00BE7028" w:rsidRDefault="006D32F3">
      <w:pPr>
        <w:pStyle w:val="GlossaryEntry"/>
      </w:pPr>
      <w:proofErr w:type="gramStart"/>
      <w:r>
        <w:rPr>
          <w:b/>
        </w:rPr>
        <w:t>UUID</w:t>
      </w:r>
      <w:r>
        <w:rPr>
          <w:b/>
        </w:rPr>
        <w:tab/>
      </w:r>
      <w:r>
        <w:t>Universally unique identifier.</w:t>
      </w:r>
      <w:proofErr w:type="gramEnd"/>
    </w:p>
    <w:p w:rsidR="00981EFE"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2" w:history="1">
        <w:r>
          <w:rPr>
            <w:color w:val="000099"/>
            <w:u w:val="single"/>
          </w:rPr>
          <w:t>http://www.w3.org/TR/xpath</w:t>
        </w:r>
      </w:hyperlink>
    </w:p>
    <w:p w:rsidR="00981EFE" w:rsidRDefault="006D32F3">
      <w:pPr>
        <w:pStyle w:val="GlossaryEntry"/>
      </w:pPr>
      <w:proofErr w:type="gramStart"/>
      <w:r>
        <w:rPr>
          <w:b/>
        </w:rPr>
        <w:t>XML</w:t>
      </w:r>
      <w:r>
        <w:tab/>
        <w:t>Extensible Markup Language.</w:t>
      </w:r>
      <w:proofErr w:type="gramEnd"/>
      <w:r>
        <w:t xml:space="preserve"> </w:t>
      </w:r>
      <w:hyperlink r:id="rId23"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End w:id="7"/>
      <w:r>
        <w:t>Terminology</w:t>
      </w:r>
      <w:bookmarkEnd w:id="8"/>
      <w:r>
        <w:t xml:space="preserve"> and Conventions</w:t>
      </w:r>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9" w:name="_Ref77086146"/>
      <w:bookmarkStart w:id="10" w:name="_Toc89966162"/>
      <w:bookmarkStart w:id="11" w:name="_Toc106015123"/>
      <w:bookmarkStart w:id="12" w:name="_Toc89966180"/>
      <w:bookmarkStart w:id="13" w:name="_Ref89787999"/>
      <w:bookmarkStart w:id="14" w:name="_Ref89788104"/>
      <w:bookmarkStart w:id="15" w:name="_Ref89788265"/>
      <w:r>
        <w:lastRenderedPageBreak/>
        <w:t>Streams, Samples and Events</w:t>
      </w:r>
      <w:bookmarkEnd w:id="9"/>
      <w:bookmarkEnd w:id="10"/>
      <w:bookmarkEnd w:id="11"/>
    </w:p>
    <w:p w:rsidR="00981EFE" w:rsidRDefault="006D32F3">
      <w:pPr>
        <w:pStyle w:val="BodyA"/>
      </w:pPr>
      <w:r>
        <w:t xml:space="preserve">The </w:t>
      </w:r>
      <w:proofErr w:type="spellStart"/>
      <w:r>
        <w:t>MTConnect</w:t>
      </w:r>
      <w:proofErr w:type="spellEnd"/>
      <w:r>
        <w:t xml:space="preserve">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PowerStatus</w:t>
      </w:r>
      <w:proofErr w:type="spellEnd"/>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w:t>
      </w:r>
      <w:proofErr w:type="spellStart"/>
      <w:r>
        <w:t>MTConnect</w:t>
      </w:r>
      <w:proofErr w:type="spellEnd"/>
      <w:r>
        <w:t xml:space="preserve">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16" w:name="_TOC62497"/>
      <w:bookmarkStart w:id="17" w:name="_Toc89966163"/>
      <w:bookmarkStart w:id="18" w:name="_Toc106015124"/>
      <w:bookmarkEnd w:id="16"/>
      <w:r>
        <w:rPr>
          <w:rFonts w:ascii="Courier" w:hAnsi="Courier"/>
        </w:rPr>
        <w:t>Streams</w:t>
      </w:r>
      <w:bookmarkEnd w:id="17"/>
      <w:bookmarkEnd w:id="18"/>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4"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19" w:name="_Toc76926787"/>
      <w:bookmarkStart w:id="20" w:name="_Toc100766046"/>
      <w:r w:rsidRPr="00BE7028">
        <w:t xml:space="preserve">Figure </w:t>
      </w:r>
      <w:r w:rsidR="00B17192" w:rsidRPr="00BE7028">
        <w:fldChar w:fldCharType="begin"/>
      </w:r>
      <w:r w:rsidRPr="00BE7028">
        <w:instrText xml:space="preserve"> SEQ Figure \* ARABIC </w:instrText>
      </w:r>
      <w:r w:rsidR="00B17192" w:rsidRPr="00BE7028">
        <w:fldChar w:fldCharType="separate"/>
      </w:r>
      <w:r w:rsidR="00661905">
        <w:rPr>
          <w:noProof/>
        </w:rPr>
        <w:t>1</w:t>
      </w:r>
      <w:r w:rsidR="00B17192" w:rsidRPr="00BE7028">
        <w:fldChar w:fldCharType="end"/>
      </w:r>
      <w:r w:rsidRPr="00BE7028">
        <w:t>: Streams Schema Diagram</w:t>
      </w:r>
      <w:bookmarkEnd w:id="19"/>
      <w:bookmarkEnd w:id="20"/>
    </w:p>
    <w:p w:rsidR="00981EFE" w:rsidRDefault="006B3C2E"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6B3C2E">
      <w:pPr>
        <w:ind w:left="108"/>
      </w:pPr>
    </w:p>
    <w:p w:rsidR="00981EFE" w:rsidRDefault="006B3C2E">
      <w:pPr>
        <w:pStyle w:val="BodyA"/>
      </w:pPr>
    </w:p>
    <w:p w:rsidR="00981EFE" w:rsidRDefault="006D32F3">
      <w:pPr>
        <w:pStyle w:val="Heading2"/>
        <w:ind w:hanging="648"/>
      </w:pPr>
      <w:bookmarkStart w:id="21" w:name="_TOC62697"/>
      <w:bookmarkStart w:id="22" w:name="_Toc89966164"/>
      <w:bookmarkStart w:id="23" w:name="_Toc106015125"/>
      <w:bookmarkEnd w:id="21"/>
      <w:r>
        <w:t>Structure</w:t>
      </w:r>
      <w:bookmarkEnd w:id="22"/>
      <w:bookmarkEnd w:id="23"/>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4" w:name="_Toc76926788"/>
      <w:bookmarkStart w:id="25"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B17192" w:rsidRPr="00BE7028">
        <w:fldChar w:fldCharType="begin"/>
      </w:r>
      <w:r w:rsidR="006D32F3" w:rsidRPr="00BE7028">
        <w:instrText xml:space="preserve"> SEQ Figure \* ARABIC </w:instrText>
      </w:r>
      <w:r w:rsidR="00B17192" w:rsidRPr="00BE7028">
        <w:fldChar w:fldCharType="separate"/>
      </w:r>
      <w:r>
        <w:rPr>
          <w:noProof/>
        </w:rPr>
        <w:t>2</w:t>
      </w:r>
      <w:r w:rsidR="00B17192" w:rsidRPr="00BE7028">
        <w:fldChar w:fldCharType="end"/>
      </w:r>
      <w:r w:rsidR="006D32F3" w:rsidRPr="00BE7028">
        <w:t>: Streams Example Structure</w:t>
      </w:r>
      <w:bookmarkEnd w:id="24"/>
      <w:bookmarkEnd w:id="25"/>
    </w:p>
    <w:p w:rsidR="00981EFE" w:rsidRDefault="006B3C2E">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981EFE" w:rsidRPr="00CD1D1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is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884061">
        <w:t xml:space="preserve">not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p>
    <w:p w:rsidR="00981EFE" w:rsidRDefault="006D32F3" w:rsidP="00661905">
      <w:pPr>
        <w:pStyle w:val="Code"/>
        <w:numPr>
          <w:ilvl w:val="0"/>
          <w:numId w:val="13"/>
        </w:numPr>
        <w:ind w:left="648" w:hanging="648"/>
      </w:pPr>
      <w:proofErr w:type="gramStart"/>
      <w:r>
        <w:t>&lt;?xml</w:t>
      </w:r>
      <w:proofErr w:type="gramEnd"/>
      <w:r>
        <w:t xml:space="preserve"> version="1.0" encoding="UTF-8"?&gt;</w:t>
      </w:r>
    </w:p>
    <w:p w:rsidR="00981EFE" w:rsidRDefault="006D32F3" w:rsidP="00661905">
      <w:pPr>
        <w:pStyle w:val="Code"/>
        <w:numPr>
          <w:ilvl w:val="0"/>
          <w:numId w:val="13"/>
        </w:numPr>
        <w:ind w:left="648" w:hanging="648"/>
      </w:pPr>
      <w:r>
        <w:t>&lt;</w:t>
      </w:r>
      <w:proofErr w:type="spellStart"/>
      <w:r>
        <w:t>MTConnectStreams</w:t>
      </w:r>
      <w:proofErr w:type="spellEnd"/>
      <w:r>
        <w:t xml:space="preserve">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PowerStatus</w:t>
      </w:r>
      <w:proofErr w:type="spellEnd"/>
      <w:r>
        <w:t xml:space="preserve"> name="power" </w:t>
      </w:r>
      <w:proofErr w:type="spellStart"/>
      <w:r>
        <w:t>dataItemId</w:t>
      </w:r>
      <w:proofErr w:type="spellEnd"/>
      <w:r>
        <w:t>="9" sequence="30055111" timestamp="2008-07-07T14:27:59.591"&gt;ON&lt;/</w:t>
      </w:r>
      <w:proofErr w:type="spellStart"/>
      <w:r>
        <w:t>PowerStatus</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981EFE" w:rsidRDefault="006D32F3" w:rsidP="00661905">
      <w:pPr>
        <w:pStyle w:val="Code"/>
        <w:numPr>
          <w:ilvl w:val="0"/>
          <w:numId w:val="13"/>
        </w:numPr>
        <w:ind w:left="648" w:hanging="648"/>
      </w:pPr>
      <w:r>
        <w:lastRenderedPageBreak/>
        <w:t xml:space="preserve">      &lt;</w:t>
      </w:r>
      <w:proofErr w:type="spellStart"/>
      <w:r>
        <w:t>ComponentStream</w:t>
      </w:r>
      <w:proofErr w:type="spellEnd"/>
      <w:r>
        <w:t xml:space="preserve"> </w:t>
      </w:r>
      <w:proofErr w:type="spellStart"/>
      <w:r>
        <w:t>componentId</w:t>
      </w:r>
      <w:proofErr w:type="spellEnd"/>
      <w:r>
        <w:t>="3"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PowerStatus</w:t>
      </w:r>
      <w:proofErr w:type="spellEnd"/>
      <w:r>
        <w:t xml:space="preserve"> name="power" </w:t>
      </w:r>
      <w:proofErr w:type="spellStart"/>
      <w:r>
        <w:t>dataItemId</w:t>
      </w:r>
      <w:proofErr w:type="spellEnd"/>
      <w:r>
        <w:t>="10" sequence="52162" timestamp="2008-06-11T10:17:33.291"&gt;ON&lt;/</w:t>
      </w:r>
      <w:proofErr w:type="spellStart"/>
      <w:r>
        <w:t>PowerStatus</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w:t>
      </w:r>
      <w:proofErr w:type="spellStart"/>
      <w:r>
        <w:t>MTConnectStreams</w:t>
      </w:r>
      <w:proofErr w:type="spellEnd"/>
      <w:r>
        <w:t>&gt;</w:t>
      </w:r>
    </w:p>
    <w:p w:rsidR="00981EFE" w:rsidRDefault="006D32F3">
      <w:pPr>
        <w:pStyle w:val="Heading2"/>
        <w:ind w:hanging="648"/>
      </w:pPr>
      <w:bookmarkStart w:id="26" w:name="_TOC64065"/>
      <w:bookmarkStart w:id="27" w:name="_Toc89966165"/>
      <w:bookmarkStart w:id="28" w:name="_Toc106015126"/>
      <w:bookmarkEnd w:id="26"/>
      <w:proofErr w:type="spellStart"/>
      <w:r>
        <w:rPr>
          <w:rFonts w:ascii="Courier" w:hAnsi="Courier"/>
        </w:rPr>
        <w:t>DeviceStream</w:t>
      </w:r>
      <w:bookmarkEnd w:id="27"/>
      <w:bookmarkEnd w:id="28"/>
      <w:proofErr w:type="spellEnd"/>
    </w:p>
    <w:p w:rsidR="00981EFE"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pPr>
      <w:bookmarkStart w:id="29" w:name="_Toc89966166"/>
      <w:bookmarkStart w:id="30" w:name="_Toc106015127"/>
      <w:proofErr w:type="spellStart"/>
      <w:r>
        <w:rPr>
          <w:rFonts w:ascii="Courier" w:hAnsi="Courier"/>
        </w:rPr>
        <w:t>DeviceStream</w:t>
      </w:r>
      <w:proofErr w:type="spellEnd"/>
      <w:r>
        <w:t xml:space="preserve"> Attributes</w:t>
      </w:r>
      <w:bookmarkEnd w:id="29"/>
      <w:bookmarkEnd w:id="3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B3C2E">
      <w:pPr>
        <w:ind w:left="108"/>
      </w:pPr>
    </w:p>
    <w:p w:rsidR="00981EFE" w:rsidRDefault="006D32F3">
      <w:pPr>
        <w:pStyle w:val="Heading3"/>
        <w:tabs>
          <w:tab w:val="num" w:pos="648"/>
        </w:tabs>
        <w:ind w:left="648" w:hanging="648"/>
      </w:pPr>
      <w:bookmarkStart w:id="31" w:name="_Toc89966167"/>
      <w:bookmarkStart w:id="32" w:name="_Toc106015128"/>
      <w:proofErr w:type="spellStart"/>
      <w:r>
        <w:rPr>
          <w:rFonts w:ascii="Courier" w:hAnsi="Courier"/>
        </w:rPr>
        <w:t>DeviceStream</w:t>
      </w:r>
      <w:proofErr w:type="spellEnd"/>
      <w:r>
        <w:t xml:space="preserve"> Elements</w:t>
      </w:r>
      <w:bookmarkEnd w:id="31"/>
      <w:bookmarkEnd w:id="32"/>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6B3C2E">
      <w:pPr>
        <w:ind w:left="108"/>
      </w:pPr>
    </w:p>
    <w:p w:rsidR="00981EFE" w:rsidRDefault="006D32F3">
      <w:pPr>
        <w:pStyle w:val="Heading2"/>
        <w:ind w:hanging="648"/>
      </w:pPr>
      <w:bookmarkStart w:id="33" w:name="_TOC64637"/>
      <w:bookmarkStart w:id="34" w:name="_Toc89966168"/>
      <w:bookmarkStart w:id="35" w:name="_Toc106015129"/>
      <w:bookmarkEnd w:id="33"/>
      <w:proofErr w:type="spellStart"/>
      <w:r>
        <w:rPr>
          <w:rFonts w:ascii="Courier" w:hAnsi="Courier"/>
        </w:rPr>
        <w:t>ComponentStream</w:t>
      </w:r>
      <w:bookmarkEnd w:id="34"/>
      <w:bookmarkEnd w:id="35"/>
      <w:proofErr w:type="spellEnd"/>
    </w:p>
    <w:p w:rsidR="00981EFE"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981EFE" w:rsidRDefault="006D32F3">
      <w:pPr>
        <w:pStyle w:val="Heading3"/>
        <w:tabs>
          <w:tab w:val="num" w:pos="648"/>
        </w:tabs>
        <w:ind w:left="648" w:hanging="648"/>
      </w:pPr>
      <w:bookmarkStart w:id="36" w:name="_Toc89966169"/>
      <w:bookmarkStart w:id="37" w:name="_Toc106015130"/>
      <w:proofErr w:type="spellStart"/>
      <w:r>
        <w:rPr>
          <w:rFonts w:ascii="Courier" w:hAnsi="Courier"/>
        </w:rPr>
        <w:t>ComponentStream</w:t>
      </w:r>
      <w:proofErr w:type="spellEnd"/>
      <w:r>
        <w:t xml:space="preserve"> Attributes</w:t>
      </w:r>
      <w:bookmarkEnd w:id="36"/>
      <w:bookmarkEnd w:id="37"/>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B3C2E">
      <w:pPr>
        <w:pStyle w:val="BodyA"/>
      </w:pPr>
    </w:p>
    <w:p w:rsidR="00981EFE"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8" w:name="_Toc89966170"/>
      <w:bookmarkStart w:id="39" w:name="_Toc106015131"/>
      <w:proofErr w:type="spellStart"/>
      <w:r>
        <w:rPr>
          <w:rFonts w:ascii="Courier" w:hAnsi="Courier"/>
        </w:rPr>
        <w:t>ComponentStream</w:t>
      </w:r>
      <w:proofErr w:type="spellEnd"/>
      <w:r>
        <w:t xml:space="preserve"> Elements</w:t>
      </w:r>
      <w:bookmarkEnd w:id="38"/>
      <w:bookmarkEnd w:id="39"/>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6B3C2E">
      <w:pPr>
        <w:ind w:left="108"/>
      </w:pPr>
    </w:p>
    <w:p w:rsidR="00E81D18" w:rsidRDefault="00E81D18">
      <w:pPr>
        <w:pStyle w:val="Heading2"/>
        <w:ind w:hanging="648"/>
      </w:pPr>
      <w:bookmarkStart w:id="40" w:name="_TOC65201"/>
      <w:bookmarkStart w:id="41" w:name="_Ref89789984"/>
      <w:bookmarkStart w:id="42" w:name="_Toc89966171"/>
      <w:bookmarkStart w:id="43" w:name="_Toc106015132"/>
      <w:bookmarkEnd w:id="40"/>
      <w:r>
        <w:t>Samples and Events</w:t>
      </w:r>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r>
        <w:rPr>
          <w:rFonts w:ascii="Courier" w:hAnsi="Courier"/>
        </w:rPr>
        <w:t>Samples</w:t>
      </w:r>
      <w:bookmarkEnd w:id="41"/>
      <w:bookmarkEnd w:id="42"/>
      <w:bookmarkEnd w:id="43"/>
    </w:p>
    <w:p w:rsidR="00981EFE" w:rsidRDefault="00494AAB">
      <w:pPr>
        <w:pStyle w:val="BodyA"/>
      </w:pPr>
      <w:r w:rsidRPr="00494AAB">
        <w:t xml:space="preserve">The </w:t>
      </w:r>
      <w:r w:rsidRPr="00114577">
        <w:rPr>
          <w:rStyle w:val="ImbeddedCode"/>
        </w:rPr>
        <w:t>Samples</w:t>
      </w:r>
      <w:r w:rsidRPr="00494AAB">
        <w:t xml:space="preserve"> element must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6B3C2E">
      <w:pPr>
        <w:ind w:left="108"/>
      </w:pPr>
    </w:p>
    <w:p w:rsidR="00981EFE" w:rsidRDefault="006D32F3">
      <w:pPr>
        <w:pStyle w:val="Heading2"/>
        <w:ind w:hanging="648"/>
        <w:rPr>
          <w:rFonts w:ascii="Courier" w:hAnsi="Courier"/>
        </w:rPr>
      </w:pPr>
      <w:bookmarkStart w:id="44" w:name="_TOC65383"/>
      <w:bookmarkStart w:id="45" w:name="_Toc89966172"/>
      <w:bookmarkStart w:id="46" w:name="_Toc106015133"/>
      <w:bookmarkEnd w:id="44"/>
      <w:r>
        <w:rPr>
          <w:rFonts w:ascii="Courier" w:hAnsi="Courier"/>
        </w:rPr>
        <w:t>Sample</w:t>
      </w:r>
      <w:bookmarkEnd w:id="45"/>
      <w:bookmarkEnd w:id="46"/>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47" w:name="_Toc89966173"/>
      <w:bookmarkStart w:id="48" w:name="_Toc106015134"/>
      <w:r>
        <w:t>Sample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B3C2E">
      <w:pPr>
        <w:ind w:left="108"/>
      </w:pPr>
    </w:p>
    <w:p w:rsidR="00981EFE" w:rsidRDefault="006B3C2E">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981EFE" w:rsidRDefault="006B3C2E">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49" w:name="_Toc89966174"/>
      <w:bookmarkStart w:id="50" w:name="_Toc106015135"/>
      <w:r>
        <w:t>Sample Elements</w:t>
      </w:r>
      <w:bookmarkEnd w:id="49"/>
      <w:bookmarkEnd w:id="50"/>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spellStart"/>
      <w:r>
        <w:rPr>
          <w:rStyle w:val="ImbeddedCode"/>
          <w:b/>
        </w:rPr>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lastRenderedPageBreak/>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position as given in 3 dimensional space.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4440D5" w:rsidRPr="009C59F1" w:rsidRDefault="004440D5" w:rsidP="004440D5">
      <w:pPr>
        <w:pStyle w:val="GlossaryEntry"/>
      </w:pPr>
      <w:proofErr w:type="spellStart"/>
      <w:proofErr w:type="gramStart"/>
      <w:r>
        <w:rPr>
          <w:rStyle w:val="ImbeddedCode"/>
          <w:b/>
        </w:rPr>
        <w:t>Path</w:t>
      </w:r>
      <w:r w:rsidR="008B0B40">
        <w:rPr>
          <w:rStyle w:val="ImbeddedCode"/>
          <w:b/>
        </w:rPr>
        <w:t>Rotation</w:t>
      </w:r>
      <w:proofErr w:type="spellEnd"/>
      <w:r>
        <w:rPr>
          <w:rStyle w:val="ImbeddedCode"/>
          <w:b/>
        </w:rPr>
        <w:tab/>
      </w:r>
      <w:r>
        <w:t xml:space="preserve">The </w:t>
      </w:r>
      <w:r w:rsidR="00062D3A">
        <w:t>rotation</w:t>
      </w:r>
      <w:r>
        <w:t xml:space="preserve"> as giv</w:t>
      </w:r>
      <w:r w:rsidR="00E4533E">
        <w:t>en in 3 dimensional space.</w:t>
      </w:r>
      <w:proofErr w:type="gramEnd"/>
      <w:r w:rsidR="00E4533E">
        <w:t xml:space="preserve"> The angles </w:t>
      </w:r>
      <w:r>
        <w:rPr>
          <w:b/>
        </w:rPr>
        <w:t>MUST</w:t>
      </w:r>
      <w:r>
        <w:t xml:space="preserve"> default to </w:t>
      </w:r>
      <w:r w:rsidRPr="00717779">
        <w:rPr>
          <w:rStyle w:val="ImbeddedCode"/>
        </w:rPr>
        <w:t>WORK</w:t>
      </w:r>
      <w:r>
        <w:t xml:space="preserve"> coordinates and will be given </w:t>
      </w:r>
      <w:r w:rsidR="00790015">
        <w:t>as</w:t>
      </w:r>
      <w:r>
        <w:t xml:space="preserve"> a space delimited vector of floating point numbers given in </w:t>
      </w:r>
      <w:r w:rsidR="00C85908">
        <w:rPr>
          <w:rStyle w:val="ImbeddedCode"/>
        </w:rPr>
        <w:t>DEGREE_3D</w:t>
      </w:r>
      <w:r>
        <w:t xml:space="preserve"> units.</w:t>
      </w:r>
      <w:r w:rsidR="002B7EBE">
        <w:t xml:space="preserve"> The </w:t>
      </w:r>
      <w:proofErr w:type="spellStart"/>
      <w:r w:rsidR="002B7EBE">
        <w:t>PathRotation</w:t>
      </w:r>
      <w:proofErr w:type="spellEnd"/>
      <w:r w:rsidR="002B7EBE">
        <w:t xml:space="preserve"> </w:t>
      </w:r>
      <w:r>
        <w:t xml:space="preserve">will be given in the following format and </w:t>
      </w:r>
      <w:r>
        <w:rPr>
          <w:b/>
        </w:rPr>
        <w:t>MUST</w:t>
      </w:r>
      <w:r>
        <w:t xml:space="preserve"> be listed in order </w:t>
      </w:r>
      <w:r w:rsidR="004B2C34">
        <w:t>A, B, and C as the rotations around the X, Y, and Z axes respectively</w:t>
      </w:r>
      <w:r>
        <w:t>:</w:t>
      </w:r>
      <w:r>
        <w:br/>
      </w:r>
      <w:r w:rsidRPr="001E50D3">
        <w:rPr>
          <w:rStyle w:val="ImbeddedCode"/>
          <w:sz w:val="22"/>
          <w:szCs w:val="22"/>
        </w:rPr>
        <w:t>&lt;</w:t>
      </w:r>
      <w:proofErr w:type="spellStart"/>
      <w:r w:rsidRPr="001E50D3">
        <w:rPr>
          <w:rStyle w:val="ImbeddedCode"/>
          <w:sz w:val="22"/>
          <w:szCs w:val="22"/>
        </w:rPr>
        <w:t>Path</w:t>
      </w:r>
      <w:r w:rsidR="00204A20" w:rsidRPr="001E50D3">
        <w:rPr>
          <w:rStyle w:val="ImbeddedCode"/>
          <w:sz w:val="22"/>
          <w:szCs w:val="22"/>
        </w:rPr>
        <w:t>Rotation</w:t>
      </w:r>
      <w:proofErr w:type="spellEnd"/>
      <w:r w:rsidRPr="001E50D3">
        <w:rPr>
          <w:rStyle w:val="ImbeddedCode"/>
          <w:sz w:val="22"/>
          <w:szCs w:val="22"/>
        </w:rPr>
        <w:t xml:space="preserve"> …&gt;10.123 55.232 100.981&lt;/</w:t>
      </w:r>
      <w:proofErr w:type="spellStart"/>
      <w:r w:rsidR="00204A20" w:rsidRPr="001E50D3">
        <w:rPr>
          <w:rStyle w:val="ImbeddedCode"/>
          <w:sz w:val="22"/>
          <w:szCs w:val="22"/>
        </w:rPr>
        <w:t>PathRotation</w:t>
      </w:r>
      <w:proofErr w:type="spellEnd"/>
      <w:r w:rsidR="00204A20" w:rsidRPr="001E50D3">
        <w:rPr>
          <w:rStyle w:val="ImbeddedCode"/>
          <w:sz w:val="22"/>
          <w:szCs w:val="22"/>
        </w:rPr>
        <w:t xml:space="preserve"> </w:t>
      </w:r>
      <w:r w:rsidRPr="001E50D3">
        <w:rPr>
          <w:rStyle w:val="ImbeddedCode"/>
          <w:sz w:val="22"/>
          <w:szCs w:val="22"/>
        </w:rPr>
        <w:t>&gt;</w:t>
      </w:r>
      <w:r>
        <w:rPr>
          <w:rStyle w:val="ImbeddedCode"/>
        </w:rPr>
        <w:br/>
      </w:r>
      <w:r w:rsidR="003C54D1">
        <w:t>Where A = 10.123, B = 55.232, and C</w:t>
      </w:r>
      <w:r>
        <w:t>=100.981.</w:t>
      </w:r>
    </w:p>
    <w:p w:rsidR="00981EFE"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proofErr w:type="spellStart"/>
      <w:r>
        <w:rPr>
          <w:rStyle w:val="ImbeddedCode"/>
          <w:b/>
        </w:rPr>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lastRenderedPageBreak/>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1" w:name="_Toc89966175"/>
      <w:bookmarkStart w:id="52" w:name="_Toc106015136"/>
      <w:r>
        <w:t>Extensibility</w:t>
      </w:r>
      <w:bookmarkEnd w:id="51"/>
      <w:bookmarkEnd w:id="52"/>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w:t>
      </w:r>
      <w:proofErr w:type="spellStart"/>
      <w:r>
        <w:t>MTConnect</w:t>
      </w:r>
      <w:proofErr w:type="spellEnd"/>
      <w:r>
        <w:t xml:space="preserve"> </w:t>
      </w:r>
      <w:r>
        <w:rPr>
          <w:i/>
        </w:rPr>
        <w:t>Agents</w:t>
      </w:r>
      <w:r>
        <w:t>. Any non-sanctioned extensions will not be guaranteed to have consistency across implementations.</w:t>
      </w:r>
    </w:p>
    <w:p w:rsidR="00981EFE" w:rsidRDefault="006D32F3">
      <w:pPr>
        <w:pStyle w:val="Heading2"/>
        <w:ind w:hanging="648"/>
      </w:pPr>
      <w:bookmarkStart w:id="53" w:name="_TOC69293"/>
      <w:bookmarkStart w:id="54" w:name="_Ref89789990"/>
      <w:bookmarkStart w:id="55" w:name="_Toc89966176"/>
      <w:bookmarkStart w:id="56" w:name="_Toc106015137"/>
      <w:bookmarkEnd w:id="53"/>
      <w:r>
        <w:rPr>
          <w:rFonts w:ascii="Courier" w:hAnsi="Courier"/>
        </w:rPr>
        <w:t>Events</w:t>
      </w:r>
      <w:bookmarkEnd w:id="54"/>
      <w:bookmarkEnd w:id="55"/>
      <w:bookmarkEnd w:id="56"/>
    </w:p>
    <w:p w:rsidR="00981EFE" w:rsidRDefault="00BA6DC1">
      <w:pPr>
        <w:pStyle w:val="BodyA"/>
      </w:pPr>
      <w:r w:rsidRPr="00494AAB">
        <w:t xml:space="preserve">The </w:t>
      </w:r>
      <w:r>
        <w:rPr>
          <w:rStyle w:val="ImbeddedCode"/>
        </w:rPr>
        <w:t>Events</w:t>
      </w:r>
      <w:r w:rsidRPr="00494AAB">
        <w:t xml:space="preserve"> element must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6B3C2E">
      <w:pPr>
        <w:ind w:left="108"/>
      </w:pPr>
    </w:p>
    <w:p w:rsidR="00981EFE" w:rsidRDefault="006D32F3">
      <w:pPr>
        <w:pStyle w:val="Heading2"/>
        <w:ind w:hanging="648"/>
        <w:rPr>
          <w:rFonts w:ascii="Courier" w:hAnsi="Courier"/>
        </w:rPr>
      </w:pPr>
      <w:bookmarkStart w:id="57" w:name="_TOC69471"/>
      <w:bookmarkStart w:id="58" w:name="_Toc89966177"/>
      <w:bookmarkStart w:id="59" w:name="_Toc106015138"/>
      <w:bookmarkEnd w:id="57"/>
      <w:r>
        <w:rPr>
          <w:rFonts w:ascii="Courier" w:hAnsi="Courier"/>
        </w:rPr>
        <w:t>Event</w:t>
      </w:r>
      <w:bookmarkEnd w:id="58"/>
      <w:bookmarkEnd w:id="59"/>
    </w:p>
    <w:p w:rsidR="00981EFE" w:rsidRPr="00207F0A" w:rsidRDefault="006D32F3" w:rsidP="00981EFE">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lastRenderedPageBreak/>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B3C2E">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0" w:name="_Toc89966178"/>
      <w:bookmarkStart w:id="61" w:name="_Toc106015139"/>
      <w:r>
        <w:t>Event Elements</w:t>
      </w:r>
      <w:bookmarkEnd w:id="60"/>
      <w:bookmarkEnd w:id="61"/>
    </w:p>
    <w:p w:rsidR="0003074B" w:rsidRPr="00216EB2"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6B3C2E">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tab/>
        <w:t xml:space="preserve">A door 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6B3C2E">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D2AC7">
      <w:pPr>
        <w:pStyle w:val="GlossaryEntry"/>
      </w:pPr>
      <w:proofErr w:type="spellStart"/>
      <w:r>
        <w:rPr>
          <w:rStyle w:val="ImbeddedCode"/>
          <w:b/>
        </w:rPr>
        <w:t>PathMode</w:t>
      </w:r>
      <w:proofErr w:type="spellEnd"/>
      <w:r>
        <w:rPr>
          <w:rStyle w:val="ImbeddedCode"/>
          <w:b/>
        </w:rPr>
        <w:tab/>
      </w:r>
      <w:r>
        <w:t xml:space="preserve">The path mode is provided for devices that are controlling multiple sets of axes using one program. </w:t>
      </w:r>
      <w:r w:rsidR="00A25D80">
        <w:t xml:space="preserve">When </w:t>
      </w:r>
      <w:proofErr w:type="spellStart"/>
      <w:r w:rsidR="00A25D80" w:rsidRPr="00A25D80">
        <w:rPr>
          <w:rStyle w:val="ImbeddedCode"/>
        </w:rPr>
        <w:t>PathMode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proofErr w:type="spellStart"/>
      <w:r w:rsidR="0014398E">
        <w:rPr>
          <w:rStyle w:val="ImbeddedCode"/>
        </w:rPr>
        <w:t>SlaveAxes</w:t>
      </w:r>
      <w:proofErr w:type="spellEnd"/>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981EFE" w:rsidRDefault="006D32F3">
      <w:pPr>
        <w:pStyle w:val="GlossaryEntry"/>
      </w:pPr>
      <w:proofErr w:type="spellStart"/>
      <w:r>
        <w:rPr>
          <w:rStyle w:val="ImbeddedCode"/>
          <w:b/>
        </w:rPr>
        <w:t>PowerStatus</w:t>
      </w:r>
      <w:proofErr w:type="spellEnd"/>
      <w:r>
        <w:tab/>
        <w:t xml:space="preserve">Power status </w:t>
      </w:r>
      <w:r>
        <w:rPr>
          <w:b/>
        </w:rPr>
        <w:t>MUST</w:t>
      </w:r>
      <w:r>
        <w:t xml:space="preserve"> be either </w:t>
      </w:r>
      <w:r>
        <w:rPr>
          <w:rStyle w:val="ImbeddedCode"/>
        </w:rPr>
        <w:t>ON</w:t>
      </w:r>
      <w:r>
        <w:t xml:space="preserve"> or </w:t>
      </w:r>
      <w:r>
        <w:rPr>
          <w:rStyle w:val="ImbeddedCode"/>
        </w:rPr>
        <w:t>OFF</w:t>
      </w:r>
      <w:r>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877AE3" w:rsidRDefault="00877AE3" w:rsidP="00877AE3">
      <w:pPr>
        <w:pStyle w:val="GlossaryEntry"/>
      </w:pPr>
      <w:proofErr w:type="spellStart"/>
      <w:r>
        <w:rPr>
          <w:rStyle w:val="ImbeddedCode"/>
          <w:b/>
        </w:rPr>
        <w:t>SlaveAxes</w:t>
      </w:r>
      <w:proofErr w:type="spellEnd"/>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proofErr w:type="gramStart"/>
      <w:r>
        <w:t>:</w:t>
      </w:r>
      <w:proofErr w:type="gramEnd"/>
      <w:r>
        <w:br/>
      </w:r>
      <w:r>
        <w:rPr>
          <w:rStyle w:val="ImbeddedCode"/>
        </w:rPr>
        <w:t>&lt;</w:t>
      </w:r>
      <w:proofErr w:type="spellStart"/>
      <w:r>
        <w:rPr>
          <w:rStyle w:val="ImbeddedCode"/>
        </w:rPr>
        <w:t>SlaveAxes</w:t>
      </w:r>
      <w:proofErr w:type="spellEnd"/>
      <w:r>
        <w:rPr>
          <w:rStyle w:val="ImbeddedCode"/>
        </w:rPr>
        <w:t xml:space="preserve">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w:t>
      </w:r>
      <w:proofErr w:type="spellStart"/>
      <w:r>
        <w:rPr>
          <w:rStyle w:val="ImbeddedCode"/>
        </w:rPr>
        <w:t>SlaveAxes</w:t>
      </w:r>
      <w:proofErr w:type="spellEnd"/>
      <w:r>
        <w:rPr>
          <w:rStyle w:val="ImbeddedCode"/>
        </w:rPr>
        <w:t>&gt;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proofErr w:type="spellStart"/>
      <w:r w:rsidR="00DF50A8" w:rsidRPr="001A699D">
        <w:rPr>
          <w:rStyle w:val="ImbeddedCode"/>
        </w:rPr>
        <w:t>PathMode</w:t>
      </w:r>
      <w:proofErr w:type="spellEnd"/>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axis with the same root name. If X1 Y1 are the active axis, slave axes X2 and Y2 will be slaves to X1 and Y1 respectively.</w:t>
      </w: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2" w:name="_TOC71192"/>
      <w:bookmarkStart w:id="63" w:name="_Ref89789996"/>
      <w:bookmarkStart w:id="64" w:name="_Toc89966179"/>
      <w:bookmarkStart w:id="65" w:name="_Toc106015140"/>
      <w:bookmarkEnd w:id="62"/>
      <w:r>
        <w:t>Alarms</w:t>
      </w:r>
      <w:bookmarkEnd w:id="63"/>
      <w:bookmarkEnd w:id="64"/>
      <w:bookmarkEnd w:id="65"/>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proofErr w:type="gramStart"/>
            <w:r>
              <w:t xml:space="preserve">Either </w:t>
            </w:r>
            <w:r>
              <w:rPr>
                <w:rStyle w:val="ImbeddedCode"/>
              </w:rPr>
              <w:t>INSTANT</w:t>
            </w:r>
            <w:proofErr w:type="gramEnd"/>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6B3C2E">
      <w:pPr>
        <w:ind w:left="108"/>
      </w:pPr>
    </w:p>
    <w:p w:rsidR="00981EFE" w:rsidRDefault="006B3C2E">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6B3C2E">
      <w:pPr>
        <w:ind w:left="108"/>
      </w:pPr>
    </w:p>
    <w:p w:rsidR="00981EFE" w:rsidRDefault="006B3C2E">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6B3C2E">
      <w:pPr>
        <w:pStyle w:val="BodyA"/>
      </w:pPr>
    </w:p>
    <w:p w:rsidR="00981EFE" w:rsidRDefault="006D32F3">
      <w:pPr>
        <w:pStyle w:val="Heading1"/>
      </w:pPr>
      <w:bookmarkStart w:id="66" w:name="_Toc106015141"/>
      <w:r>
        <w:lastRenderedPageBreak/>
        <w:t>Annotated XML Examples</w:t>
      </w:r>
      <w:bookmarkEnd w:id="12"/>
      <w:bookmarkEnd w:id="66"/>
    </w:p>
    <w:p w:rsidR="00981EFE" w:rsidRDefault="006D32F3">
      <w:pPr>
        <w:pStyle w:val="Heading2"/>
        <w:ind w:hanging="648"/>
      </w:pPr>
      <w:bookmarkStart w:id="67" w:name="_Toc89966183"/>
      <w:bookmarkStart w:id="68" w:name="_Toc106015142"/>
      <w:r>
        <w:t xml:space="preserve">Example of a </w:t>
      </w:r>
      <w:r>
        <w:rPr>
          <w:rFonts w:ascii="Courier" w:hAnsi="Courier"/>
        </w:rPr>
        <w:t>current</w:t>
      </w:r>
      <w:r>
        <w:t xml:space="preserve"> Request</w:t>
      </w:r>
      <w:bookmarkEnd w:id="67"/>
      <w:bookmarkEnd w:id="68"/>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981EFE" w:rsidRDefault="006D32F3" w:rsidP="00661905">
      <w:pPr>
        <w:pStyle w:val="Code"/>
        <w:numPr>
          <w:ilvl w:val="0"/>
          <w:numId w:val="15"/>
        </w:numPr>
        <w:ind w:left="648" w:hanging="648"/>
      </w:pPr>
      <w:r>
        <w:t xml:space="preserve">  &lt;Streams&gt;</w:t>
      </w:r>
    </w:p>
    <w:p w:rsidR="00981EFE" w:rsidRDefault="006B3C2E">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981EFE" w:rsidRDefault="006B3C2E">
      <w:pPr>
        <w:pStyle w:val="BodyA"/>
        <w:rPr>
          <w:sz w:val="20"/>
        </w:rPr>
      </w:pPr>
    </w:p>
    <w:p w:rsidR="00981EFE"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PowerStatus</w:t>
      </w:r>
      <w:proofErr w:type="spellEnd"/>
      <w:r>
        <w:t xml:space="preserve"> name="power" </w:t>
      </w:r>
      <w:proofErr w:type="spellStart"/>
      <w:r>
        <w:t>dataItemId</w:t>
      </w:r>
      <w:proofErr w:type="spellEnd"/>
      <w:r>
        <w:t>="9" sequence="30055111" timestamp="2008-07-10T10:27:59.591"&gt;ON&lt;/</w:t>
      </w:r>
      <w:proofErr w:type="spellStart"/>
      <w:r>
        <w:t>PowerStatus</w:t>
      </w:r>
      <w:proofErr w:type="spellEnd"/>
      <w:r>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B3C2E">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981EFE" w:rsidRDefault="006B3C2E">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D32F3" w:rsidP="00661905">
      <w:pPr>
        <w:pStyle w:val="Code"/>
        <w:numPr>
          <w:ilvl w:val="0"/>
          <w:numId w:val="15"/>
        </w:numPr>
        <w:ind w:left="648" w:hanging="648"/>
      </w:pPr>
      <w:r>
        <w:t xml:space="preserve">    &lt;/</w:t>
      </w:r>
      <w:proofErr w:type="spellStart"/>
      <w:r>
        <w:t>DeviceStream</w:t>
      </w:r>
      <w:proofErr w:type="spellEnd"/>
      <w:r>
        <w:t>&gt;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w:t>
      </w:r>
      <w:proofErr w:type="spellStart"/>
      <w:r>
        <w:t>MTConnectStreams</w:t>
      </w:r>
      <w:proofErr w:type="spellEnd"/>
      <w:r>
        <w:t>&gt;</w:t>
      </w:r>
    </w:p>
    <w:p w:rsidR="00981EFE" w:rsidRDefault="006D32F3">
      <w:pPr>
        <w:pStyle w:val="Heading1"/>
      </w:pPr>
      <w:bookmarkStart w:id="69" w:name="_TOC71559"/>
      <w:bookmarkStart w:id="70" w:name="_TOC78007"/>
      <w:bookmarkStart w:id="71" w:name="_Toc106015143"/>
      <w:bookmarkEnd w:id="69"/>
      <w:bookmarkEnd w:id="70"/>
      <w:r>
        <w:lastRenderedPageBreak/>
        <w:t>Bibliography</w:t>
      </w:r>
      <w:bookmarkEnd w:id="13"/>
      <w:bookmarkEnd w:id="14"/>
      <w:bookmarkEnd w:id="15"/>
      <w:bookmarkEnd w:id="71"/>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6"/>
      <w:footerReference w:type="even" r:id="rId27"/>
      <w:footerReference w:type="default" r:id="rId28"/>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B3C2E">
    <w:pPr>
      <w:pStyle w:val="Footer"/>
    </w:pPr>
  </w:p>
  <w:p w:rsidR="00981EFE" w:rsidRDefault="006D32F3">
    <w:pPr>
      <w:pStyle w:val="Footer"/>
      <w:rPr>
        <w:rFonts w:ascii="Times New Roman" w:eastAsia="Times New Roman" w:hAnsi="Times New Roman"/>
        <w:color w:val="auto"/>
        <w:sz w:val="20"/>
      </w:rPr>
    </w:pPr>
    <w:proofErr w:type="spellStart"/>
    <w:r>
      <w:t>MTConnect</w:t>
    </w:r>
    <w:proofErr w:type="spellEnd"/>
    <w:r>
      <w:t xml:space="preserve"> is a service mark of AMT - The Association For Manufacturing Technology. Use of </w:t>
    </w:r>
    <w:proofErr w:type="spellStart"/>
    <w:r>
      <w:t>MTConnect</w:t>
    </w:r>
    <w:proofErr w:type="spellEnd"/>
    <w:r>
      <w:t xml:space="preserve"> is limited to use as specified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 roman </w:instrText>
    </w:r>
    <w:r w:rsidR="00B17192">
      <w:fldChar w:fldCharType="separate"/>
    </w:r>
    <w:proofErr w:type="spellStart"/>
    <w:r>
      <w:t>i</w:t>
    </w:r>
    <w:proofErr w:type="spellEnd"/>
    <w:r w:rsidR="00B17192">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3774EA">
      <w:t>Part 3 - Streams - Version 1.</w:t>
    </w:r>
    <w:r w:rsidR="00F26A5F">
      <w:t>1</w:t>
    </w:r>
    <w:r w:rsidR="003774EA">
      <w:t>.0</w:t>
    </w:r>
    <w:r>
      <w:tab/>
    </w:r>
    <w:r w:rsidR="00B17192">
      <w:fldChar w:fldCharType="begin"/>
    </w:r>
    <w:r>
      <w:instrText xml:space="preserve"> PAGE \* roman </w:instrText>
    </w:r>
    <w:r w:rsidR="00B17192">
      <w:fldChar w:fldCharType="separate"/>
    </w:r>
    <w:r w:rsidR="009F5666">
      <w:rPr>
        <w:noProof/>
      </w:rPr>
      <w:t>ii</w:t>
    </w:r>
    <w:r w:rsidR="00B17192">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version 1.0.1</w:t>
    </w:r>
    <w:r>
      <w:tab/>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3 - Stre</w:t>
    </w:r>
    <w:r w:rsidR="00C9218D">
      <w:t>ams - Version 1.1.0</w:t>
    </w:r>
    <w:r>
      <w:tab/>
    </w:r>
    <w:r w:rsidR="00B17192">
      <w:fldChar w:fldCharType="begin"/>
    </w:r>
    <w:r>
      <w:instrText xml:space="preserve"> PAGE \* roman </w:instrText>
    </w:r>
    <w:r w:rsidR="00B17192">
      <w:fldChar w:fldCharType="separate"/>
    </w:r>
    <w:r w:rsidR="009F5666">
      <w:rPr>
        <w:noProof/>
      </w:rPr>
      <w:t>ii</w:t>
    </w:r>
    <w:r w:rsidR="00B17192">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B17192">
      <w:fldChar w:fldCharType="begin"/>
    </w:r>
    <w:r>
      <w:instrText xml:space="preserve"> PAGE </w:instrText>
    </w:r>
    <w:r w:rsidR="00B17192">
      <w:fldChar w:fldCharType="separate"/>
    </w:r>
    <w:r>
      <w:rPr>
        <w:noProof/>
      </w:rPr>
      <w:t>76</w:t>
    </w:r>
    <w:r w:rsidR="00B17192">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CD5B24">
      <w:t>Part 3 - Streams - Version 1.</w:t>
    </w:r>
    <w:r w:rsidR="008612D5">
      <w:t>1</w:t>
    </w:r>
    <w:r w:rsidR="00221BDD">
      <w:t>.0</w:t>
    </w:r>
    <w:r>
      <w:tab/>
    </w:r>
    <w:r w:rsidR="00B17192">
      <w:fldChar w:fldCharType="begin"/>
    </w:r>
    <w:r>
      <w:instrText xml:space="preserve"> PAGE </w:instrText>
    </w:r>
    <w:r w:rsidR="00B17192">
      <w:fldChar w:fldCharType="separate"/>
    </w:r>
    <w:r w:rsidR="006B3C2E">
      <w:rPr>
        <w:noProof/>
      </w:rPr>
      <w:t>20</w:t>
    </w:r>
    <w:r w:rsidR="00B1719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B17192"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E11F8F">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27D7E"/>
    <w:rsid w:val="0003074B"/>
    <w:rsid w:val="00062D3A"/>
    <w:rsid w:val="00067735"/>
    <w:rsid w:val="000C63B8"/>
    <w:rsid w:val="00114577"/>
    <w:rsid w:val="00114AFC"/>
    <w:rsid w:val="00130232"/>
    <w:rsid w:val="0014398E"/>
    <w:rsid w:val="00166985"/>
    <w:rsid w:val="00166B20"/>
    <w:rsid w:val="00194D58"/>
    <w:rsid w:val="001A699D"/>
    <w:rsid w:val="001A78C8"/>
    <w:rsid w:val="001E50D3"/>
    <w:rsid w:val="002017D5"/>
    <w:rsid w:val="00204A20"/>
    <w:rsid w:val="00204B1F"/>
    <w:rsid w:val="00216EB2"/>
    <w:rsid w:val="00221BDD"/>
    <w:rsid w:val="002750D2"/>
    <w:rsid w:val="00277183"/>
    <w:rsid w:val="002A76F7"/>
    <w:rsid w:val="002B7EBE"/>
    <w:rsid w:val="002F09A0"/>
    <w:rsid w:val="002F1F2A"/>
    <w:rsid w:val="003212EF"/>
    <w:rsid w:val="003774EA"/>
    <w:rsid w:val="003C54D1"/>
    <w:rsid w:val="0042560D"/>
    <w:rsid w:val="004440D5"/>
    <w:rsid w:val="00481681"/>
    <w:rsid w:val="00494AAB"/>
    <w:rsid w:val="004B2C34"/>
    <w:rsid w:val="004F0AB3"/>
    <w:rsid w:val="004F3F05"/>
    <w:rsid w:val="00554E3B"/>
    <w:rsid w:val="00597275"/>
    <w:rsid w:val="005C0035"/>
    <w:rsid w:val="00606C05"/>
    <w:rsid w:val="00640D2C"/>
    <w:rsid w:val="0065638E"/>
    <w:rsid w:val="00661905"/>
    <w:rsid w:val="006B0BFA"/>
    <w:rsid w:val="006B3C2E"/>
    <w:rsid w:val="006D32F3"/>
    <w:rsid w:val="00717779"/>
    <w:rsid w:val="00790015"/>
    <w:rsid w:val="007D14F9"/>
    <w:rsid w:val="007E49C9"/>
    <w:rsid w:val="007F3D70"/>
    <w:rsid w:val="00803AC3"/>
    <w:rsid w:val="00806896"/>
    <w:rsid w:val="008378BF"/>
    <w:rsid w:val="008612D5"/>
    <w:rsid w:val="00861F4E"/>
    <w:rsid w:val="00876E3C"/>
    <w:rsid w:val="00877AE3"/>
    <w:rsid w:val="00884061"/>
    <w:rsid w:val="008A1D60"/>
    <w:rsid w:val="008B0B40"/>
    <w:rsid w:val="008B5B2A"/>
    <w:rsid w:val="008D58A0"/>
    <w:rsid w:val="00913590"/>
    <w:rsid w:val="00922A39"/>
    <w:rsid w:val="009A7DF2"/>
    <w:rsid w:val="009C58AB"/>
    <w:rsid w:val="009C59F1"/>
    <w:rsid w:val="009F3396"/>
    <w:rsid w:val="009F5666"/>
    <w:rsid w:val="00A12653"/>
    <w:rsid w:val="00A25D80"/>
    <w:rsid w:val="00AC204E"/>
    <w:rsid w:val="00AD2AC7"/>
    <w:rsid w:val="00AD399B"/>
    <w:rsid w:val="00AE2697"/>
    <w:rsid w:val="00B06A68"/>
    <w:rsid w:val="00B11867"/>
    <w:rsid w:val="00B1579F"/>
    <w:rsid w:val="00B17192"/>
    <w:rsid w:val="00B33162"/>
    <w:rsid w:val="00B42CFF"/>
    <w:rsid w:val="00B50F0E"/>
    <w:rsid w:val="00BA6DC1"/>
    <w:rsid w:val="00BB2738"/>
    <w:rsid w:val="00BE7028"/>
    <w:rsid w:val="00C0427B"/>
    <w:rsid w:val="00C2600B"/>
    <w:rsid w:val="00C560E0"/>
    <w:rsid w:val="00C85908"/>
    <w:rsid w:val="00C9218D"/>
    <w:rsid w:val="00CD1D1F"/>
    <w:rsid w:val="00CD5B24"/>
    <w:rsid w:val="00CD7E65"/>
    <w:rsid w:val="00CF29EB"/>
    <w:rsid w:val="00DA1785"/>
    <w:rsid w:val="00DD30EA"/>
    <w:rsid w:val="00DD57A4"/>
    <w:rsid w:val="00DE1C01"/>
    <w:rsid w:val="00DE7418"/>
    <w:rsid w:val="00DF50A8"/>
    <w:rsid w:val="00E010B7"/>
    <w:rsid w:val="00E05B22"/>
    <w:rsid w:val="00E11F8F"/>
    <w:rsid w:val="00E22FD1"/>
    <w:rsid w:val="00E4533E"/>
    <w:rsid w:val="00E5444A"/>
    <w:rsid w:val="00E616A7"/>
    <w:rsid w:val="00E81D18"/>
    <w:rsid w:val="00E919BA"/>
    <w:rsid w:val="00E91EF2"/>
    <w:rsid w:val="00EE1ABE"/>
    <w:rsid w:val="00F26A5F"/>
    <w:rsid w:val="00F3129F"/>
    <w:rsid w:val="00F34D0E"/>
    <w:rsid w:val="00F43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F9"/>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w3.org/XML/" TargetMode="Externa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www.w3.org/TR/xpath" TargetMode="External"/><Relationship Id="rId27" Type="http://schemas.openxmlformats.org/officeDocument/2006/relationships/footer" Target="footer8.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C3528-FAA9-4B6B-9995-5A596AD9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24</Pages>
  <Words>5297</Words>
  <Characters>30486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35712</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108</cp:revision>
  <cp:lastPrinted>2009-10-02T10:23:00Z</cp:lastPrinted>
  <dcterms:created xsi:type="dcterms:W3CDTF">2009-10-02T10:24:00Z</dcterms:created>
  <dcterms:modified xsi:type="dcterms:W3CDTF">2010-02-07T07:03:00Z</dcterms:modified>
</cp:coreProperties>
</file>