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7"/>
          <w:headerReference w:type="default" r:id="rId8"/>
          <w:footerReference w:type="default" r:id="rId9"/>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0"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1719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B1719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981EFE" w:rsidRPr="00C83681" w:rsidRDefault="006D32F3" w:rsidP="00981EFE">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1EFE" w:rsidRPr="00C83681" w:rsidRDefault="006D32F3" w:rsidP="00981EFE">
                  <w:pPr>
                    <w:rPr>
                      <w:rFonts w:ascii="Times New Roman" w:hAnsi="Times New Roman"/>
                    </w:rPr>
                  </w:pPr>
                  <w:r w:rsidRPr="00C83681">
                    <w:rPr>
                      <w:rFonts w:ascii="Times New Roman" w:hAnsi="Times New Roman"/>
                    </w:rPr>
                    <w:t xml:space="preserve">Prepared on: </w:t>
                  </w:r>
                  <w:r w:rsidR="00B17192" w:rsidRPr="00C83681">
                    <w:fldChar w:fldCharType="begin"/>
                  </w:r>
                  <w:r w:rsidRPr="00C83681">
                    <w:rPr>
                      <w:rFonts w:ascii="Times New Roman" w:hAnsi="Times New Roman"/>
                    </w:rPr>
                    <w:instrText xml:space="preserve"> TIME \@ "MMMM d, yyyy" </w:instrText>
                  </w:r>
                  <w:r w:rsidR="00B17192" w:rsidRPr="00C83681">
                    <w:fldChar w:fldCharType="separate"/>
                  </w:r>
                  <w:r w:rsidR="00E11F8F">
                    <w:rPr>
                      <w:rFonts w:ascii="Times New Roman" w:hAnsi="Times New Roman"/>
                      <w:noProof/>
                    </w:rPr>
                    <w:t>February 4, 2010</w:t>
                  </w:r>
                  <w:r w:rsidR="00B17192" w:rsidRPr="00C83681">
                    <w:fldChar w:fldCharType="end"/>
                  </w:r>
                </w:p>
              </w:txbxContent>
            </v:textbox>
          </v:shape>
        </w:pict>
      </w:r>
    </w:p>
    <w:p w:rsidR="00981EFE" w:rsidRDefault="006D32F3" w:rsidP="00981EFE">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981EFE" w:rsidRDefault="006D32F3" w:rsidP="00981EFE">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 or to the </w:t>
      </w:r>
      <w:proofErr w:type="spellStart"/>
      <w:r>
        <w:t>MTConnect</w:t>
      </w:r>
      <w:proofErr w:type="spellEnd"/>
      <w:r>
        <w:t xml:space="preserve"> Intellectual Property Policy and Agreement (“IP Policy”).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pwarndorf@amtonline.org.</w:t>
      </w:r>
    </w:p>
    <w:p w:rsidR="00981EFE" w:rsidRDefault="006D32F3" w:rsidP="00981EFE">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981EFE" w:rsidRDefault="006D32F3" w:rsidP="00981EFE">
      <w:pPr>
        <w:pStyle w:val="BodyA"/>
      </w:pPr>
      <w:r>
        <w:t xml:space="preserve">The </w:t>
      </w:r>
      <w:proofErr w:type="spellStart"/>
      <w:r>
        <w:t>MTConnect</w:t>
      </w:r>
      <w:proofErr w:type="spellEnd"/>
      <w:r>
        <w:t xml:space="preserve"> Specification is provided “as is”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981EFE" w:rsidRDefault="006D32F3" w:rsidP="00981EFE">
      <w:pPr>
        <w:pStyle w:val="ContentsHeading"/>
        <w:sectPr w:rsidR="00981EFE" w:rsidSect="00981EFE">
          <w:headerReference w:type="even" r:id="rId11"/>
          <w:headerReference w:type="default" r:id="rId12"/>
          <w:footerReference w:type="even" r:id="rId13"/>
          <w:footerReference w:type="default" r:id="rId14"/>
          <w:pgSz w:w="12240" w:h="15840"/>
          <w:pgMar w:top="1440" w:right="1440" w:bottom="1440" w:left="1440" w:header="720" w:footer="864" w:gutter="0"/>
          <w:pgNumType w:start="1"/>
          <w:cols w:space="720"/>
        </w:sectPr>
      </w:pPr>
      <w:r>
        <w:br w:type="page"/>
      </w:r>
      <w:r>
        <w:lastRenderedPageBreak/>
        <w:t>Table of Contents</w:t>
      </w:r>
    </w:p>
    <w:p w:rsidR="00981EFE" w:rsidRDefault="00B17192">
      <w:pPr>
        <w:pStyle w:val="TOC1"/>
        <w:tabs>
          <w:tab w:val="left" w:pos="340"/>
          <w:tab w:val="right" w:leader="dot" w:pos="9350"/>
        </w:tabs>
        <w:rPr>
          <w:rFonts w:eastAsia="Times New Roman"/>
          <w:b w:val="0"/>
          <w:caps w:val="0"/>
          <w:noProof/>
          <w:color w:val="auto"/>
          <w:sz w:val="24"/>
          <w:szCs w:val="24"/>
        </w:rPr>
      </w:pPr>
      <w:r w:rsidRPr="00B17192">
        <w:lastRenderedPageBreak/>
        <w:fldChar w:fldCharType="begin"/>
      </w:r>
      <w:r w:rsidR="006D32F3">
        <w:instrText xml:space="preserve"> TOC \o "1-3" </w:instrText>
      </w:r>
      <w:r w:rsidRPr="00B17192">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B17192">
        <w:rPr>
          <w:noProof/>
        </w:rPr>
        <w:fldChar w:fldCharType="begin"/>
      </w:r>
      <w:r>
        <w:rPr>
          <w:noProof/>
        </w:rPr>
        <w:instrText xml:space="preserve"> PAGEREF _Toc106015115 \h </w:instrText>
      </w:r>
      <w:r w:rsidR="00B17192">
        <w:rPr>
          <w:noProof/>
        </w:rPr>
      </w:r>
      <w:r w:rsidR="00B17192">
        <w:rPr>
          <w:noProof/>
        </w:rPr>
        <w:fldChar w:fldCharType="separate"/>
      </w:r>
      <w:r w:rsidR="00661905">
        <w:rPr>
          <w:noProof/>
        </w:rPr>
        <w:t>1</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B17192">
        <w:rPr>
          <w:noProof/>
        </w:rPr>
        <w:fldChar w:fldCharType="begin"/>
      </w:r>
      <w:r>
        <w:rPr>
          <w:noProof/>
        </w:rPr>
        <w:instrText xml:space="preserve"> PAGEREF _Toc106015116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B17192">
        <w:rPr>
          <w:noProof/>
        </w:rPr>
        <w:fldChar w:fldCharType="begin"/>
      </w:r>
      <w:r>
        <w:rPr>
          <w:noProof/>
        </w:rPr>
        <w:instrText xml:space="preserve"> PAGEREF _Toc106015117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B17192">
        <w:rPr>
          <w:noProof/>
        </w:rPr>
        <w:fldChar w:fldCharType="begin"/>
      </w:r>
      <w:r>
        <w:rPr>
          <w:noProof/>
        </w:rPr>
        <w:instrText xml:space="preserve"> PAGEREF _Toc106015118 \h </w:instrText>
      </w:r>
      <w:r w:rsidR="00B17192">
        <w:rPr>
          <w:noProof/>
        </w:rPr>
      </w:r>
      <w:r w:rsidR="00B17192">
        <w:rPr>
          <w:noProof/>
        </w:rPr>
        <w:fldChar w:fldCharType="separate"/>
      </w:r>
      <w:r w:rsidR="00661905">
        <w:rPr>
          <w:noProof/>
        </w:rPr>
        <w:t>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B17192">
        <w:rPr>
          <w:noProof/>
        </w:rPr>
        <w:fldChar w:fldCharType="begin"/>
      </w:r>
      <w:r>
        <w:rPr>
          <w:noProof/>
        </w:rPr>
        <w:instrText xml:space="preserve"> PAGEREF _Toc106015119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B17192">
        <w:rPr>
          <w:noProof/>
        </w:rPr>
        <w:fldChar w:fldCharType="begin"/>
      </w:r>
      <w:r>
        <w:rPr>
          <w:noProof/>
        </w:rPr>
        <w:instrText xml:space="preserve"> PAGEREF _Toc106015120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B17192">
        <w:rPr>
          <w:noProof/>
        </w:rPr>
        <w:fldChar w:fldCharType="begin"/>
      </w:r>
      <w:r>
        <w:rPr>
          <w:noProof/>
        </w:rPr>
        <w:instrText xml:space="preserve"> PAGEREF _Toc106015121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B17192">
        <w:rPr>
          <w:noProof/>
        </w:rPr>
        <w:fldChar w:fldCharType="begin"/>
      </w:r>
      <w:r>
        <w:rPr>
          <w:noProof/>
        </w:rPr>
        <w:instrText xml:space="preserve"> PAGEREF _Toc106015122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B17192">
        <w:rPr>
          <w:noProof/>
        </w:rPr>
        <w:fldChar w:fldCharType="begin"/>
      </w:r>
      <w:r>
        <w:rPr>
          <w:noProof/>
        </w:rPr>
        <w:instrText xml:space="preserve"> PAGEREF _Toc106015123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B17192">
        <w:rPr>
          <w:noProof/>
        </w:rPr>
        <w:fldChar w:fldCharType="begin"/>
      </w:r>
      <w:r>
        <w:rPr>
          <w:noProof/>
        </w:rPr>
        <w:instrText xml:space="preserve"> PAGEREF _Toc106015124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B17192">
        <w:rPr>
          <w:noProof/>
        </w:rPr>
        <w:fldChar w:fldCharType="begin"/>
      </w:r>
      <w:r>
        <w:rPr>
          <w:noProof/>
        </w:rPr>
        <w:instrText xml:space="preserve"> PAGEREF _Toc106015125 \h </w:instrText>
      </w:r>
      <w:r w:rsidR="00B17192">
        <w:rPr>
          <w:noProof/>
        </w:rPr>
      </w:r>
      <w:r w:rsidR="00B17192">
        <w:rPr>
          <w:noProof/>
        </w:rPr>
        <w:fldChar w:fldCharType="separate"/>
      </w:r>
      <w:r w:rsidR="00661905">
        <w:rPr>
          <w:noProof/>
        </w:rPr>
        <w:t>9</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B17192">
        <w:rPr>
          <w:noProof/>
        </w:rPr>
        <w:fldChar w:fldCharType="begin"/>
      </w:r>
      <w:r>
        <w:rPr>
          <w:noProof/>
        </w:rPr>
        <w:instrText xml:space="preserve"> PAGEREF _Toc106015126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B17192">
        <w:rPr>
          <w:noProof/>
        </w:rPr>
        <w:fldChar w:fldCharType="begin"/>
      </w:r>
      <w:r>
        <w:rPr>
          <w:noProof/>
        </w:rPr>
        <w:instrText xml:space="preserve"> PAGEREF _Toc106015127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B17192">
        <w:rPr>
          <w:noProof/>
        </w:rPr>
        <w:fldChar w:fldCharType="begin"/>
      </w:r>
      <w:r>
        <w:rPr>
          <w:noProof/>
        </w:rPr>
        <w:instrText xml:space="preserve"> PAGEREF _Toc106015128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B17192">
        <w:rPr>
          <w:noProof/>
        </w:rPr>
        <w:fldChar w:fldCharType="begin"/>
      </w:r>
      <w:r>
        <w:rPr>
          <w:noProof/>
        </w:rPr>
        <w:instrText xml:space="preserve"> PAGEREF _Toc106015129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B17192">
        <w:rPr>
          <w:noProof/>
        </w:rPr>
        <w:fldChar w:fldCharType="begin"/>
      </w:r>
      <w:r>
        <w:rPr>
          <w:noProof/>
        </w:rPr>
        <w:instrText xml:space="preserve"> PAGEREF _Toc106015130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B17192">
        <w:rPr>
          <w:noProof/>
        </w:rPr>
        <w:fldChar w:fldCharType="begin"/>
      </w:r>
      <w:r>
        <w:rPr>
          <w:noProof/>
        </w:rPr>
        <w:instrText xml:space="preserve"> PAGEREF _Toc106015131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B17192">
        <w:rPr>
          <w:noProof/>
        </w:rPr>
        <w:fldChar w:fldCharType="begin"/>
      </w:r>
      <w:r>
        <w:rPr>
          <w:noProof/>
        </w:rPr>
        <w:instrText xml:space="preserve"> PAGEREF _Toc106015132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B17192">
        <w:rPr>
          <w:noProof/>
        </w:rPr>
        <w:fldChar w:fldCharType="begin"/>
      </w:r>
      <w:r>
        <w:rPr>
          <w:noProof/>
        </w:rPr>
        <w:instrText xml:space="preserve"> PAGEREF _Toc106015133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B17192">
        <w:rPr>
          <w:noProof/>
        </w:rPr>
        <w:fldChar w:fldCharType="begin"/>
      </w:r>
      <w:r>
        <w:rPr>
          <w:noProof/>
        </w:rPr>
        <w:instrText xml:space="preserve"> PAGEREF _Toc106015134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B17192">
        <w:rPr>
          <w:noProof/>
        </w:rPr>
        <w:fldChar w:fldCharType="begin"/>
      </w:r>
      <w:r>
        <w:rPr>
          <w:noProof/>
        </w:rPr>
        <w:instrText xml:space="preserve"> PAGEREF _Toc106015135 \h </w:instrText>
      </w:r>
      <w:r w:rsidR="00B17192">
        <w:rPr>
          <w:noProof/>
        </w:rPr>
      </w:r>
      <w:r w:rsidR="00B17192">
        <w:rPr>
          <w:noProof/>
        </w:rPr>
        <w:fldChar w:fldCharType="separate"/>
      </w:r>
      <w:r w:rsidR="00661905">
        <w:rPr>
          <w:noProof/>
        </w:rPr>
        <w:t>13</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B17192">
        <w:rPr>
          <w:noProof/>
        </w:rPr>
        <w:fldChar w:fldCharType="begin"/>
      </w:r>
      <w:r>
        <w:rPr>
          <w:noProof/>
        </w:rPr>
        <w:instrText xml:space="preserve"> PAGEREF _Toc106015136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B17192">
        <w:rPr>
          <w:noProof/>
        </w:rPr>
        <w:fldChar w:fldCharType="begin"/>
      </w:r>
      <w:r>
        <w:rPr>
          <w:noProof/>
        </w:rPr>
        <w:instrText xml:space="preserve"> PAGEREF _Toc106015137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B17192">
        <w:rPr>
          <w:noProof/>
        </w:rPr>
        <w:fldChar w:fldCharType="begin"/>
      </w:r>
      <w:r>
        <w:rPr>
          <w:noProof/>
        </w:rPr>
        <w:instrText xml:space="preserve"> PAGEREF _Toc106015138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B17192">
        <w:rPr>
          <w:noProof/>
        </w:rPr>
        <w:fldChar w:fldCharType="begin"/>
      </w:r>
      <w:r>
        <w:rPr>
          <w:noProof/>
        </w:rPr>
        <w:instrText xml:space="preserve"> PAGEREF _Toc106015139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B17192">
        <w:rPr>
          <w:noProof/>
        </w:rPr>
        <w:fldChar w:fldCharType="begin"/>
      </w:r>
      <w:r>
        <w:rPr>
          <w:noProof/>
        </w:rPr>
        <w:instrText xml:space="preserve"> PAGEREF _Toc106015140 \h </w:instrText>
      </w:r>
      <w:r w:rsidR="00B17192">
        <w:rPr>
          <w:noProof/>
        </w:rPr>
      </w:r>
      <w:r w:rsidR="00B17192">
        <w:rPr>
          <w:noProof/>
        </w:rPr>
        <w:fldChar w:fldCharType="separate"/>
      </w:r>
      <w:r w:rsidR="00661905">
        <w:rPr>
          <w:noProof/>
        </w:rPr>
        <w:t>16</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B17192">
        <w:rPr>
          <w:noProof/>
        </w:rPr>
        <w:fldChar w:fldCharType="begin"/>
      </w:r>
      <w:r>
        <w:rPr>
          <w:noProof/>
        </w:rPr>
        <w:instrText xml:space="preserve"> PAGEREF _Toc106015141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B17192">
        <w:rPr>
          <w:noProof/>
        </w:rPr>
        <w:fldChar w:fldCharType="begin"/>
      </w:r>
      <w:r>
        <w:rPr>
          <w:noProof/>
        </w:rPr>
        <w:instrText xml:space="preserve"> PAGEREF _Toc106015142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B17192">
        <w:rPr>
          <w:noProof/>
        </w:rPr>
        <w:fldChar w:fldCharType="begin"/>
      </w:r>
      <w:r>
        <w:rPr>
          <w:noProof/>
        </w:rPr>
        <w:instrText xml:space="preserve"> PAGEREF _Toc106015143 \h </w:instrText>
      </w:r>
      <w:r w:rsidR="00B17192">
        <w:rPr>
          <w:noProof/>
        </w:rPr>
      </w:r>
      <w:r w:rsidR="00B17192">
        <w:rPr>
          <w:noProof/>
        </w:rPr>
        <w:fldChar w:fldCharType="separate"/>
      </w:r>
      <w:r w:rsidR="00661905">
        <w:rPr>
          <w:noProof/>
        </w:rPr>
        <w:t>20</w:t>
      </w:r>
      <w:r w:rsidR="00B17192">
        <w:rPr>
          <w:noProof/>
        </w:rPr>
        <w:fldChar w:fldCharType="end"/>
      </w:r>
    </w:p>
    <w:p w:rsidR="00981EFE" w:rsidRDefault="00B17192">
      <w:pPr>
        <w:pStyle w:val="Contents1"/>
        <w:tabs>
          <w:tab w:val="right" w:leader="dot" w:pos="9340"/>
        </w:tabs>
      </w:pPr>
      <w:r>
        <w:fldChar w:fldCharType="end"/>
      </w:r>
    </w:p>
    <w:p w:rsidR="00981EFE" w:rsidRDefault="000C63B8">
      <w:pPr>
        <w:sectPr w:rsidR="00981EFE">
          <w:headerReference w:type="even" r:id="rId15"/>
          <w:footerReference w:type="even" r:id="rId16"/>
          <w:footerReference w:type="default" r:id="rId17"/>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B17192">
      <w:pPr>
        <w:pStyle w:val="TableofFigures"/>
        <w:tabs>
          <w:tab w:val="right" w:leader="dot" w:pos="9350"/>
        </w:tabs>
        <w:rPr>
          <w:rFonts w:ascii="Times New Roman" w:eastAsia="Times New Roman" w:hAnsi="Times New Roman"/>
          <w:smallCaps w:val="0"/>
          <w:noProof/>
          <w:color w:val="auto"/>
          <w:szCs w:val="24"/>
        </w:rPr>
      </w:pPr>
      <w:r w:rsidRPr="00B17192">
        <w:rPr>
          <w:color w:val="0079A5"/>
          <w:sz w:val="48"/>
        </w:rPr>
        <w:fldChar w:fldCharType="begin"/>
      </w:r>
      <w:r w:rsidR="006D32F3">
        <w:rPr>
          <w:color w:val="0079A5"/>
          <w:sz w:val="48"/>
        </w:rPr>
        <w:instrText xml:space="preserve"> TOC \c "Figure" </w:instrText>
      </w:r>
      <w:r w:rsidRPr="00B17192">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B17192">
        <w:rPr>
          <w:noProof/>
        </w:rPr>
        <w:fldChar w:fldCharType="begin"/>
      </w:r>
      <w:r>
        <w:rPr>
          <w:noProof/>
        </w:rPr>
        <w:instrText xml:space="preserve"> PAGEREF _Toc100766047 \h </w:instrText>
      </w:r>
      <w:r w:rsidR="00B17192">
        <w:rPr>
          <w:noProof/>
        </w:rPr>
      </w:r>
      <w:r w:rsidR="00B17192">
        <w:rPr>
          <w:noProof/>
        </w:rPr>
        <w:fldChar w:fldCharType="separate"/>
      </w:r>
      <w:r w:rsidR="00661905">
        <w:rPr>
          <w:noProof/>
        </w:rPr>
        <w:t>10</w:t>
      </w:r>
      <w:r w:rsidR="00B17192">
        <w:rPr>
          <w:noProof/>
        </w:rPr>
        <w:fldChar w:fldCharType="end"/>
      </w:r>
    </w:p>
    <w:p w:rsidR="00981EFE" w:rsidRDefault="00B17192">
      <w:pPr>
        <w:pStyle w:val="BodyA"/>
        <w:rPr>
          <w:color w:val="0079A5"/>
          <w:sz w:val="48"/>
        </w:rPr>
      </w:pPr>
      <w:r>
        <w:rPr>
          <w:color w:val="0079A5"/>
          <w:sz w:val="48"/>
        </w:rPr>
        <w:fldChar w:fldCharType="end"/>
      </w:r>
    </w:p>
    <w:p w:rsidR="00981EFE" w:rsidRDefault="000C63B8">
      <w:pPr>
        <w:ind w:left="108"/>
        <w:sectPr w:rsidR="00981EFE" w:rsidSect="00981EFE">
          <w:headerReference w:type="even" r:id="rId18"/>
          <w:footerReference w:type="even" r:id="rId19"/>
          <w:footerReference w:type="default" r:id="rId20"/>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 xml:space="preserve">The types of data that may need to be addressed in </w:t>
      </w:r>
      <w:proofErr w:type="spellStart"/>
      <w:r>
        <w:t>MTConnect</w:t>
      </w:r>
      <w:proofErr w:type="spellEnd"/>
      <w:r>
        <w:t xml:space="preserve">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981EFE" w:rsidRDefault="006D32F3">
      <w:pPr>
        <w:pStyle w:val="BodyA"/>
      </w:pPr>
      <w:r>
        <w:t xml:space="preserve">The first 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proofErr w:type="spellStart"/>
      <w:r>
        <w:t>MTConnect</w:t>
      </w:r>
      <w:proofErr w:type="spellEnd"/>
      <w:r>
        <w:t xml:space="preserve"> Document Structure</w:t>
      </w:r>
      <w:bookmarkEnd w:id="2"/>
    </w:p>
    <w:p w:rsidR="00981EFE" w:rsidRPr="00C354ED" w:rsidRDefault="006D32F3" w:rsidP="00981EFE">
      <w:pPr>
        <w:pStyle w:val="BodyA"/>
      </w:pPr>
      <w:r w:rsidRPr="00C354ED">
        <w:t xml:space="preserve">The </w:t>
      </w:r>
      <w:proofErr w:type="spellStart"/>
      <w:r w:rsidRPr="00C354ED">
        <w:t>MTConnect</w:t>
      </w:r>
      <w:proofErr w:type="spellEnd"/>
      <w:r w:rsidRPr="00C354ED">
        <w:t xml:space="preserve">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0C63B8" w:rsidP="00981EFE">
      <w:pPr>
        <w:pStyle w:val="BodyA"/>
        <w:spacing w:after="0"/>
        <w:ind w:left="1440"/>
      </w:pPr>
    </w:p>
    <w:p w:rsidR="00981EFE" w:rsidRDefault="006D32F3" w:rsidP="00981EFE">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 xml:space="preserve">define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81EFE" w:rsidRDefault="006D32F3">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1"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2"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w:t>
      </w:r>
      <w:proofErr w:type="spellStart"/>
      <w:r>
        <w:t>MTConnect</w:t>
      </w:r>
      <w:proofErr w:type="spellEnd"/>
      <w:r>
        <w:t xml:space="preserve">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PowerStatus</w:t>
      </w:r>
      <w:proofErr w:type="spellEnd"/>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w:t>
      </w:r>
      <w:proofErr w:type="spellStart"/>
      <w:r>
        <w:t>MTConnect</w:t>
      </w:r>
      <w:proofErr w:type="spellEnd"/>
      <w:r>
        <w:t xml:space="preserve">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3"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B17192" w:rsidRPr="00BE7028">
        <w:fldChar w:fldCharType="begin"/>
      </w:r>
      <w:r w:rsidRPr="00BE7028">
        <w:instrText xml:space="preserve"> SEQ Figure \* ARABIC </w:instrText>
      </w:r>
      <w:r w:rsidR="00B17192" w:rsidRPr="00BE7028">
        <w:fldChar w:fldCharType="separate"/>
      </w:r>
      <w:r w:rsidR="00661905">
        <w:rPr>
          <w:noProof/>
        </w:rPr>
        <w:t>1</w:t>
      </w:r>
      <w:r w:rsidR="00B17192" w:rsidRPr="00BE7028">
        <w:fldChar w:fldCharType="end"/>
      </w:r>
      <w:r w:rsidRPr="00BE7028">
        <w:t>: Streams Schema Diagram</w:t>
      </w:r>
      <w:bookmarkEnd w:id="19"/>
      <w:bookmarkEnd w:id="20"/>
    </w:p>
    <w:p w:rsidR="00981EFE" w:rsidRDefault="000C63B8"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C63B8">
      <w:pPr>
        <w:ind w:left="108"/>
      </w:pPr>
    </w:p>
    <w:p w:rsidR="00981EFE" w:rsidRDefault="000C63B8">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B17192" w:rsidRPr="00BE7028">
        <w:fldChar w:fldCharType="begin"/>
      </w:r>
      <w:r w:rsidR="006D32F3" w:rsidRPr="00BE7028">
        <w:instrText xml:space="preserve"> SEQ Figure \* ARABIC </w:instrText>
      </w:r>
      <w:r w:rsidR="00B17192" w:rsidRPr="00BE7028">
        <w:fldChar w:fldCharType="separate"/>
      </w:r>
      <w:r>
        <w:rPr>
          <w:noProof/>
        </w:rPr>
        <w:t>2</w:t>
      </w:r>
      <w:r w:rsidR="00B17192" w:rsidRPr="00BE7028">
        <w:fldChar w:fldCharType="end"/>
      </w:r>
      <w:r w:rsidR="006D32F3" w:rsidRPr="00BE7028">
        <w:t>: Streams Example Structure</w:t>
      </w:r>
      <w:bookmarkEnd w:id="24"/>
      <w:bookmarkEnd w:id="25"/>
    </w:p>
    <w:p w:rsidR="00981EFE" w:rsidRDefault="000C63B8">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="9" sequence="30055111" timestamp="2008-07-07T14:27:59.591"&gt;ON&lt;/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lastRenderedPageBreak/>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="10" sequence="52162" timestamp="2008-06-11T10:17:33.291"&gt;ON&lt;/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w:t>
      </w:r>
      <w:proofErr w:type="spellStart"/>
      <w:r>
        <w:t>MTConnectStreams</w:t>
      </w:r>
      <w:proofErr w:type="spellEnd"/>
      <w:r>
        <w:t>&gt;</w:t>
      </w:r>
    </w:p>
    <w:p w:rsidR="00981EFE" w:rsidRDefault="006D32F3">
      <w:pPr>
        <w:pStyle w:val="Heading2"/>
        <w:ind w:hanging="648"/>
      </w:pPr>
      <w:bookmarkStart w:id="26" w:name="_TOC64065"/>
      <w:bookmarkStart w:id="27" w:name="_Toc89966165"/>
      <w:bookmarkStart w:id="28" w:name="_Toc106015126"/>
      <w:bookmarkEnd w:id="26"/>
      <w:proofErr w:type="spellStart"/>
      <w:r>
        <w:rPr>
          <w:rFonts w:ascii="Courier" w:hAnsi="Courier"/>
        </w:rPr>
        <w:t>DeviceStream</w:t>
      </w:r>
      <w:bookmarkEnd w:id="27"/>
      <w:bookmarkEnd w:id="28"/>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proofErr w:type="spellStart"/>
      <w:r>
        <w:rPr>
          <w:rFonts w:ascii="Courier" w:hAnsi="Courier"/>
        </w:rPr>
        <w:t>DeviceStream</w:t>
      </w:r>
      <w:proofErr w:type="spellEnd"/>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C63B8">
      <w:pPr>
        <w:ind w:left="108"/>
      </w:pPr>
    </w:p>
    <w:p w:rsidR="00981EFE" w:rsidRDefault="006D32F3">
      <w:pPr>
        <w:pStyle w:val="Heading3"/>
        <w:tabs>
          <w:tab w:val="num" w:pos="648"/>
        </w:tabs>
        <w:ind w:left="648" w:hanging="648"/>
      </w:pPr>
      <w:bookmarkStart w:id="31" w:name="_Toc89966167"/>
      <w:bookmarkStart w:id="32" w:name="_Toc106015128"/>
      <w:proofErr w:type="spellStart"/>
      <w:r>
        <w:rPr>
          <w:rFonts w:ascii="Courier" w:hAnsi="Courier"/>
        </w:rPr>
        <w:t>DeviceStream</w:t>
      </w:r>
      <w:proofErr w:type="spellEnd"/>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0C63B8">
      <w:pPr>
        <w:ind w:left="108"/>
      </w:pPr>
    </w:p>
    <w:p w:rsidR="00981EFE" w:rsidRDefault="006D32F3">
      <w:pPr>
        <w:pStyle w:val="Heading2"/>
        <w:ind w:hanging="648"/>
      </w:pPr>
      <w:bookmarkStart w:id="33" w:name="_TOC64637"/>
      <w:bookmarkStart w:id="34" w:name="_Toc89966168"/>
      <w:bookmarkStart w:id="35" w:name="_Toc106015129"/>
      <w:bookmarkEnd w:id="33"/>
      <w:proofErr w:type="spellStart"/>
      <w:r>
        <w:rPr>
          <w:rFonts w:ascii="Courier" w:hAnsi="Courier"/>
        </w:rPr>
        <w:t>ComponentStream</w:t>
      </w:r>
      <w:bookmarkEnd w:id="34"/>
      <w:bookmarkEnd w:id="35"/>
      <w:proofErr w:type="spellEnd"/>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proofErr w:type="spellStart"/>
      <w:r>
        <w:rPr>
          <w:rFonts w:ascii="Courier" w:hAnsi="Courier"/>
        </w:rPr>
        <w:t>ComponentStream</w:t>
      </w:r>
      <w:proofErr w:type="spellEnd"/>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C63B8">
      <w:pPr>
        <w:pStyle w:val="BodyA"/>
      </w:pPr>
    </w:p>
    <w:p w:rsidR="00981EFE"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proofErr w:type="spellStart"/>
      <w:r>
        <w:rPr>
          <w:rFonts w:ascii="Courier" w:hAnsi="Courier"/>
        </w:rPr>
        <w:t>ComponentStream</w:t>
      </w:r>
      <w:proofErr w:type="spellEnd"/>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C63B8">
      <w:pPr>
        <w:ind w:left="108"/>
      </w:pPr>
    </w:p>
    <w:p w:rsidR="00981EFE" w:rsidRDefault="006D32F3">
      <w:pPr>
        <w:pStyle w:val="Heading2"/>
        <w:ind w:hanging="648"/>
      </w:pPr>
      <w:bookmarkStart w:id="40" w:name="_TOC65201"/>
      <w:bookmarkStart w:id="41" w:name="_Ref89789984"/>
      <w:bookmarkStart w:id="42" w:name="_Toc89966171"/>
      <w:bookmarkStart w:id="43" w:name="_Toc106015132"/>
      <w:bookmarkEnd w:id="40"/>
      <w:r>
        <w:rPr>
          <w:rFonts w:ascii="Courier" w:hAnsi="Courier"/>
        </w:rPr>
        <w:t>Samples</w:t>
      </w:r>
      <w:bookmarkEnd w:id="41"/>
      <w:bookmarkEnd w:id="42"/>
      <w:bookmarkEnd w:id="43"/>
    </w:p>
    <w:p w:rsidR="00981EFE" w:rsidRDefault="006D32F3">
      <w:pPr>
        <w:pStyle w:val="BodyA"/>
      </w:pPr>
      <w:r>
        <w:t xml:space="preserve">The </w:t>
      </w:r>
      <w:r>
        <w:rPr>
          <w:rStyle w:val="ImbeddedCode"/>
        </w:rPr>
        <w:t>Samples</w:t>
      </w:r>
      <w:r>
        <w:rPr>
          <w:rStyle w:val="DefaultParagraphFont1"/>
        </w:rPr>
        <w:t xml:space="preserve"> element must contain at least one </w:t>
      </w:r>
      <w:r>
        <w:rPr>
          <w:rStyle w:val="ImbeddedCode"/>
        </w:rPr>
        <w:t>Sample</w:t>
      </w:r>
      <w:r>
        <w:rPr>
          <w:rStyle w:val="DefaultParagraphFont1"/>
        </w:rPr>
        <w:t xml:space="preserve"> element. This element acts only as a container for all the </w:t>
      </w:r>
      <w:r>
        <w:rPr>
          <w:rStyle w:val="ImbeddedCode"/>
        </w:rPr>
        <w:t>Samples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C63B8">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C63B8">
      <w:pPr>
        <w:ind w:left="108"/>
      </w:pPr>
    </w:p>
    <w:p w:rsidR="00981EFE" w:rsidRDefault="000C63B8">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0C63B8">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981EFE" w:rsidRPr="00D90CAA" w:rsidRDefault="006D32F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981EFE" w:rsidRDefault="006D32F3">
      <w:pPr>
        <w:pStyle w:val="GlossaryEntry"/>
      </w:pPr>
      <w:proofErr w:type="spellStart"/>
      <w:r>
        <w:rPr>
          <w:rStyle w:val="ImbeddedCode"/>
          <w:b/>
        </w:rPr>
        <w:lastRenderedPageBreak/>
        <w:t>GlobalPosition</w:t>
      </w:r>
      <w:proofErr w:type="spellEnd"/>
      <w:r>
        <w:t xml:space="preserve"> The global position is the three </w:t>
      </w:r>
      <w:proofErr w:type="gramStart"/>
      <w:r>
        <w:t>space</w:t>
      </w:r>
      <w:proofErr w:type="gramEnd"/>
      <w:r>
        <w:t xml:space="preserve"> coordinate of the tool. A global position </w:t>
      </w:r>
      <w:r>
        <w:rPr>
          <w:b/>
        </w:rPr>
        <w:t>MUST</w:t>
      </w:r>
      <w:r>
        <w:t xml:space="preserve"> always be reported in </w:t>
      </w:r>
      <w:r>
        <w:rPr>
          <w:rStyle w:val="ImbeddedCode"/>
        </w:rPr>
        <w:t>MILLIMETER</w:t>
      </w:r>
      <w:r>
        <w:t xml:space="preserve"> and </w:t>
      </w:r>
      <w:r>
        <w:rPr>
          <w:b/>
        </w:rPr>
        <w:t>MUST</w:t>
      </w:r>
      <w:r>
        <w:t xml:space="preserve"> always have a numeric CDATA value as three floating point numbers (x, y, and z). Position </w:t>
      </w:r>
      <w:r>
        <w:rPr>
          <w:b/>
        </w:rPr>
        <w:t>MUST</w:t>
      </w:r>
      <w:r>
        <w:t xml:space="preserve"> always be given in absolute coordinates.</w:t>
      </w:r>
    </w:p>
    <w:p w:rsidR="00981EFE" w:rsidRDefault="006D32F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w:t>
      </w:r>
      <w:proofErr w:type="spellStart"/>
      <w:r>
        <w:t>MTConnect</w:t>
      </w:r>
      <w:proofErr w:type="spellEnd"/>
      <w:r>
        <w:t xml:space="preserve">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lastRenderedPageBreak/>
        <w:t>Events</w:t>
      </w:r>
      <w:bookmarkEnd w:id="54"/>
      <w:bookmarkEnd w:id="55"/>
      <w:bookmarkEnd w:id="56"/>
    </w:p>
    <w:p w:rsidR="00981EFE" w:rsidRDefault="006D32F3">
      <w:pPr>
        <w:pStyle w:val="BodyA"/>
      </w:pPr>
      <w:r>
        <w:t xml:space="preserve">The </w:t>
      </w:r>
      <w:r>
        <w:rPr>
          <w:rStyle w:val="ImbeddedCode"/>
        </w:rPr>
        <w:t>Events</w:t>
      </w:r>
      <w:r>
        <w:rPr>
          <w:rStyle w:val="DefaultParagraphFont1"/>
        </w:rPr>
        <w:t xml:space="preserve"> element must contain at least one </w:t>
      </w:r>
      <w:r>
        <w:rPr>
          <w:rStyle w:val="ImbeddedCode"/>
        </w:rPr>
        <w:t>Event</w:t>
      </w:r>
      <w:r>
        <w:rPr>
          <w:rStyle w:val="DefaultParagraphFont1"/>
        </w:rPr>
        <w:t xml:space="preserve"> element. This element acts only as a container for all the </w:t>
      </w:r>
      <w:r>
        <w:rPr>
          <w:rStyle w:val="ImbeddedCode"/>
        </w:rPr>
        <w:t>Events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C63B8">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C63B8">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lastRenderedPageBreak/>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0C63B8">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0C63B8">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Pr="00757AA6"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981EFE" w:rsidRDefault="006D32F3">
      <w:pPr>
        <w:pStyle w:val="GlossaryEntry"/>
      </w:pPr>
      <w:proofErr w:type="spellStart"/>
      <w:r>
        <w:rPr>
          <w:rStyle w:val="ImbeddedCode"/>
          <w:b/>
        </w:rPr>
        <w:t>PowerStatus</w:t>
      </w:r>
      <w:proofErr w:type="spellEnd"/>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lastRenderedPageBreak/>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ImbeddedCode"/>
          <w:shd w:val="clear" w:color="auto" w:fill="FFFFFF"/>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981EFE" w:rsidRDefault="006D32F3">
      <w:pPr>
        <w:pStyle w:val="Heading2"/>
        <w:ind w:hanging="648"/>
      </w:pPr>
      <w:bookmarkStart w:id="62" w:name="_TOC71192"/>
      <w:bookmarkStart w:id="63" w:name="_Ref89789996"/>
      <w:bookmarkStart w:id="64" w:name="_Toc89966179"/>
      <w:bookmarkStart w:id="65" w:name="_Toc106015140"/>
      <w:bookmarkEnd w:id="62"/>
      <w:r>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C63B8">
      <w:pPr>
        <w:ind w:left="108"/>
      </w:pPr>
    </w:p>
    <w:p w:rsidR="00981EFE" w:rsidRDefault="000C63B8">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0C63B8">
      <w:pPr>
        <w:ind w:left="108"/>
      </w:pPr>
    </w:p>
    <w:p w:rsidR="00981EFE" w:rsidRDefault="000C63B8">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0C63B8">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0C63B8">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0C63B8">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PowerStatus</w:t>
      </w:r>
      <w:proofErr w:type="spellEnd"/>
      <w:r>
        <w:t xml:space="preserve"> name="power" </w:t>
      </w:r>
      <w:proofErr w:type="spellStart"/>
      <w:r>
        <w:t>dataItemId</w:t>
      </w:r>
      <w:proofErr w:type="spellEnd"/>
      <w:r>
        <w:t>="9" sequence="30055111" timestamp="2008-07-10T10:27:59.591"&gt;ON&lt;/</w:t>
      </w:r>
      <w:proofErr w:type="spellStart"/>
      <w:r>
        <w:t>PowerStatus</w:t>
      </w:r>
      <w:proofErr w:type="spellEnd"/>
      <w:r>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0C63B8">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0C63B8">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w:t>
      </w:r>
      <w:proofErr w:type="spellStart"/>
      <w:r>
        <w:t>MTConnectStreams</w:t>
      </w:r>
      <w:proofErr w:type="spellEnd"/>
      <w:r>
        <w:t>&gt;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5"/>
      <w:footerReference w:type="even" r:id="rId26"/>
      <w:footerReference w:type="default" r:id="rId27"/>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0C63B8">
    <w:pPr>
      <w:pStyle w:val="Footer"/>
    </w:pPr>
  </w:p>
  <w:p w:rsidR="00981EFE" w:rsidRDefault="006D32F3">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proofErr w:type="spellStart"/>
    <w:r>
      <w:t>i</w:t>
    </w:r>
    <w:proofErr w:type="spellEnd"/>
    <w:r w:rsidR="00B17192">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EE1ABE">
      <w:t>Part 3 - Streams - Version 1.0.</w:t>
    </w:r>
    <w:r w:rsidR="00F26A5F">
      <w:t>1</w:t>
    </w:r>
    <w:r>
      <w:tab/>
    </w:r>
    <w:r w:rsidR="00B17192">
      <w:fldChar w:fldCharType="begin"/>
    </w:r>
    <w:r>
      <w:instrText xml:space="preserve"> PAGE \* roman </w:instrText>
    </w:r>
    <w:r w:rsidR="00B17192">
      <w:fldChar w:fldCharType="separate"/>
    </w:r>
    <w:r w:rsidR="000C63B8">
      <w:rPr>
        <w:noProof/>
      </w:rPr>
      <w:t>i</w:t>
    </w:r>
    <w:r w:rsidR="00B17192">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version 1.0.1</w:t>
    </w:r>
    <w:r>
      <w:tab/>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3 - Stre</w:t>
    </w:r>
    <w:r w:rsidR="00EE1ABE">
      <w:t>ams - Version 1.0.</w:t>
    </w:r>
    <w:r w:rsidR="00F26A5F">
      <w:t>1</w:t>
    </w:r>
    <w:r>
      <w:tab/>
    </w:r>
    <w:r w:rsidR="00B17192">
      <w:fldChar w:fldCharType="begin"/>
    </w:r>
    <w:r>
      <w:instrText xml:space="preserve"> PAGE \* roman </w:instrText>
    </w:r>
    <w:r w:rsidR="00B17192">
      <w:fldChar w:fldCharType="separate"/>
    </w:r>
    <w:r w:rsidR="000C63B8">
      <w:rPr>
        <w:noProof/>
      </w:rPr>
      <w:t>ii</w:t>
    </w:r>
    <w:r w:rsidR="00B17192">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w:instrText>
    </w:r>
    <w:r w:rsidR="00B17192">
      <w:fldChar w:fldCharType="separate"/>
    </w:r>
    <w:r>
      <w:rPr>
        <w:noProof/>
      </w:rPr>
      <w:t>76</w:t>
    </w:r>
    <w:r w:rsidR="00B17192">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B11867">
      <w:t>Part 3 - Streams - Version 1.0.</w:t>
    </w:r>
    <w:r w:rsidR="008612D5">
      <w:t>1</w:t>
    </w:r>
    <w:r>
      <w:tab/>
    </w:r>
    <w:r w:rsidR="00B17192">
      <w:fldChar w:fldCharType="begin"/>
    </w:r>
    <w:r>
      <w:instrText xml:space="preserve"> PAGE </w:instrText>
    </w:r>
    <w:r w:rsidR="00B17192">
      <w:fldChar w:fldCharType="separate"/>
    </w:r>
    <w:r w:rsidR="000C63B8">
      <w:rPr>
        <w:noProof/>
      </w:rPr>
      <w:t>1</w:t>
    </w:r>
    <w:r w:rsidR="00B1719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B17192"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E11F8F">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C63B8"/>
    <w:rsid w:val="00114AFC"/>
    <w:rsid w:val="00166985"/>
    <w:rsid w:val="00166B20"/>
    <w:rsid w:val="002017D5"/>
    <w:rsid w:val="00204B1F"/>
    <w:rsid w:val="002A76F7"/>
    <w:rsid w:val="002F1F2A"/>
    <w:rsid w:val="0042560D"/>
    <w:rsid w:val="004F0AB3"/>
    <w:rsid w:val="005C0035"/>
    <w:rsid w:val="00606C05"/>
    <w:rsid w:val="00661905"/>
    <w:rsid w:val="006B0BFA"/>
    <w:rsid w:val="006D32F3"/>
    <w:rsid w:val="007D14F9"/>
    <w:rsid w:val="00806896"/>
    <w:rsid w:val="008612D5"/>
    <w:rsid w:val="00884061"/>
    <w:rsid w:val="008B5B2A"/>
    <w:rsid w:val="008D58A0"/>
    <w:rsid w:val="00922A39"/>
    <w:rsid w:val="009A7DF2"/>
    <w:rsid w:val="00AC204E"/>
    <w:rsid w:val="00B11867"/>
    <w:rsid w:val="00B1579F"/>
    <w:rsid w:val="00B17192"/>
    <w:rsid w:val="00B50F0E"/>
    <w:rsid w:val="00BE7028"/>
    <w:rsid w:val="00C0427B"/>
    <w:rsid w:val="00C2600B"/>
    <w:rsid w:val="00C560E0"/>
    <w:rsid w:val="00CD1D1F"/>
    <w:rsid w:val="00CD7E65"/>
    <w:rsid w:val="00DD30EA"/>
    <w:rsid w:val="00DE7418"/>
    <w:rsid w:val="00E010B7"/>
    <w:rsid w:val="00E11F8F"/>
    <w:rsid w:val="00E22FD1"/>
    <w:rsid w:val="00E5444A"/>
    <w:rsid w:val="00E616A7"/>
    <w:rsid w:val="00E919BA"/>
    <w:rsid w:val="00EE1ABE"/>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www.w3.org/TR/xpath"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w3.org/XML/" TargetMode="Externa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23</Pages>
  <Words>4727</Words>
  <Characters>27751</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32414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39</cp:revision>
  <cp:lastPrinted>2009-10-02T10:23:00Z</cp:lastPrinted>
  <dcterms:created xsi:type="dcterms:W3CDTF">2009-10-02T10:24:00Z</dcterms:created>
  <dcterms:modified xsi:type="dcterms:W3CDTF">2010-02-06T00:07:00Z</dcterms:modified>
</cp:coreProperties>
</file>