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势差、飞轮与价值捕获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整合版 · 完整框架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77777"/>
          <w:sz w:val="21"/>
          <w:szCs w:val="21"/>
        </w:rPr>
        <w:t xml:space="preserve">融合 Claude + OpenAI 两版本，附案例矩阵、正负飞轮与框架边界</w:t>
      </w:r>
    </w:p>
    <w:p>
      <w:pPr>
        <w:pBdr>
          <w:top w:val="single" w:color="1B4F8A" w:sz="10"/>
          <w:bottom w:val="single" w:color="1B4F8A" w:sz="10"/>
          <w:left w:val="single" w:color="1B4F8A" w:sz="10"/>
          <w:right w:val="single" w:color="1B4F8A" w:sz="10"/>
        </w:pBdr>
        <w:shd w:fill="EBF2FA" w:val="clear"/>
        <w:spacing w:after="180" w:before="180"/>
        <w:ind w:left="360" w:right="360"/>
        <w:jc w:val="center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核心命题：</w:t>
      </w: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  财富不流向势差最大处，而流向【不可绕行且自我强化的接口层】。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伟大的公司不是设计出来的，是在正确方向上存活足够久之后，被筛选出来的。势差给了方向，使命给了燃料，迭代给了路径，时间给了结果。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B4F8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一、势差的可执行定义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势差不只是哲学概念，而是一个可判断的三维结构：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hd w:fill="EBF2FA" w:val="clear"/>
        <w:spacing w:after="160" w:before="160"/>
        <w:ind w:left="720" w:right="720"/>
        <w:jc w:val="center"/>
      </w:pPr>
      <w:r>
        <w:rPr>
          <w:rFonts w:ascii="Courier New" w:cs="Courier New" w:eastAsia="Courier New" w:hAnsi="Courier New"/>
          <w:color w:val="1B4F8A"/>
          <w:sz w:val="20"/>
          <w:szCs w:val="20"/>
        </w:rPr>
        <w:t xml:space="preserve">势差  =  张力（Gap）  ×  可达性（Feasibility）  ×  时间窗口（Timing）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1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常见误判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张力（Gap）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应然 vs 实然的差距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高估叙事，低估现实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可达性（Feasibility）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技术、成本、制度是否允许实现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忽略工程难度与监管壁垒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时间窗口（Timing）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是否已进入释放区间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过早（市场未熟）或过晚（红海竞争）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E67E22" w:sz="8" w:space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只有当三者同时成立，势差才具备投资与卡位价值。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B4F8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二、势差的四个演化阶段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势差不是静止的，它沿着固定路径演化：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7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机会性质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客观存在，主观尚未发现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认知盲区 = 最大机会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揭示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被认知并形成共识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认知套利窗口关闭中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释放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开始被执行与兑现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执行套利，飞轮卡位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流动路径被锁定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收益稳定，进入壁垒极高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C0392B" w:sz="8" w:space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真正的机会只存在于【释放初期】——共识已形成但飞轮尚未锁定的窗口。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1B4F8A" w:sz="8" w:space="12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“为学日益，为道日损。——老子”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真正的洞见不是增加判断，而是比别人早看见水往哪里流，然后在它锁定之前卡位。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B4F8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三、价值创造与价值捕获的分离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技术革命的真实结构：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hd w:fill="EBF2FA" w:val="clear"/>
        <w:spacing w:after="160" w:before="160"/>
        <w:ind w:left="720" w:right="720"/>
        <w:jc w:val="center"/>
      </w:pPr>
      <w:r>
        <w:rPr>
          <w:rFonts w:ascii="Courier New" w:cs="Courier New" w:eastAsia="Courier New" w:hAnsi="Courier New"/>
          <w:color w:val="1B4F8A"/>
          <w:sz w:val="20"/>
          <w:szCs w:val="20"/>
        </w:rPr>
        <w:t xml:space="preserve">科学突破  →  技术实现  →  基础设施  →  抽象层（接口/标准）  →  应用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价值创造分布在整条链上，但价值捕获高度集中。关键洞见：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1B4F8A" w:sz="10"/>
          <w:bottom w:val="single" w:color="1B4F8A" w:sz="10"/>
          <w:left w:val="single" w:color="1B4F8A" w:sz="10"/>
          <w:right w:val="single" w:color="1B4F8A" w:sz="10"/>
        </w:pBdr>
        <w:shd w:fill="EBF2FA" w:val="clear"/>
        <w:spacing w:after="180" w:before="180"/>
        <w:ind w:left="360" w:right="360"/>
        <w:jc w:val="center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最大价值往往不在两端，而在【中间抽象层】。谁定义接口，谁收税。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Google的案例最为典型：PageRank是入场券（技术壁垒），AdWords才是收费站（意图变现）。PageRank越好→用户信任越深→流量垄断→广告主必须在这里买意图。两者缺一不可，互相加固。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B4F8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四、飞轮的严格定义（可判别）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不是所有正反馈都是飞轮。飞轮必须同时满足三个条件：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3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5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检验问题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不可绕行\n（Non-bypassable）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价值流必须经过该节点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用户/资金能否绕过这个节点直接完成交易？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边际强化\n（Self-reinforcing）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使用越多，成本越低或体验越好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规模扩大后优势是否自动加深？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去资本依赖\n（Non-subsidy）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不依赖持续外部输血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去掉融资后，飞轮还能转吗？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C0392B" w:sz="8" w:space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很多烧钱的【增长飞轮】违反第三条——补贴驱动的规模不是飞轮，是泡沫。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B4F8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五、正飞轮与负飞轮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飞轮有方向，方向可以反转。这是大多数框架忽略的关键：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结构</w:t>
            </w:r>
          </w:p>
        </w:tc>
        <w:tc>
          <w:tcPr>
            <w:tcW w:type="dxa" w:w="29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典型案例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正飞轮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规模↑ → 优势↑ → 规模↑（自我加速）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Google、Amazon、Walmart、SpaceX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负飞轮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用户↓ → 数据↓ → 产品↓ → 用户继续↓（自我加速崩溃）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Yahoo、MySpace、传统零售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正负飞轮的分水岭通常不是技术，而是：是否在用户体验上持续再投入，还是开始从用户身上抽取利润。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E67E22" w:sz="8" w:space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判断飞轮方向是否已锁死，是比判断飞轮存在更难、也更重要的能力。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B4F8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六、成功的底层机制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整合两个版本后的完整路径：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hd w:fill="EBF2FA" w:val="clear"/>
        <w:spacing w:after="160" w:before="160"/>
        <w:ind w:left="720" w:right="720"/>
        <w:jc w:val="center"/>
      </w:pPr>
      <w:r>
        <w:rPr>
          <w:rFonts w:ascii="Courier New" w:cs="Courier New" w:eastAsia="Courier New" w:hAnsi="Courier New"/>
          <w:color w:val="1B4F8A"/>
          <w:sz w:val="20"/>
          <w:szCs w:val="20"/>
        </w:rPr>
        <w:t xml:space="preserve">势差客观存在（张力 × 可达性 × 时间窗口）\n              ↓\n   释放初期窗口出现\n              ↓\n   使命感锁定方向，屏蔽短期噪音（核心不变）\n              ↓\n   持续迭代，保留有效，淘汰无效（边缘灵活）\n              ↓\n   在不确定中活得足够久（20公里行军）\n              ↓\n   形成不可绕行路径 + 接口标准化\n              ↓\n   正飞轮启动，节点自动加固\n              ↓\n   价值持续捕获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关于使命的重要修正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使命不是成功的原因，而是提高【活得足够久】的概率的机制。真正决定结果的是结构，而不是动机。使命驱动的创始人在逆境中不算投入产出，因此不会在飞轮转起来之前放弃。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1B4F8A" w:sz="8" w:space="12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“夫唯不争，故天下莫能与之争。——老子”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B4F8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七、案例矩阵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以下案例从三个维度验证框架：势差识别、飞轮机制、老子对应。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2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案例</w:t>
            </w:r>
          </w:p>
        </w:tc>
        <w:tc>
          <w:tcPr>
            <w:tcW w:type="dxa" w:w="2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时代势差</w:t>
            </w:r>
          </w:p>
        </w:tc>
        <w:tc>
          <w:tcPr>
            <w:tcW w:type="dxa" w:w="3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飞轮机制</w:t>
            </w:r>
          </w:p>
        </w:tc>
        <w:tc>
          <w:tcPr>
            <w:tcW w:type="dxa" w:w="21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老子对应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洛克菲勒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工业化用油刚需\n（张力极大，可达性高，窗口早期）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管道越多→成本越低→竞争者无法生存\n全链路接口垄断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天下皆知美之为美\n——先于所有人看见势差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Walmart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消费品刚需\n（看似门槛低，实为供应链飞轮）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规模越大→供应链议价越强→价格越低→规模更大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为而不争\n——不做产品，做通道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Buffett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消费习惯固化\n（只投飞轮已锁定的位置）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品牌越强→定价权越高→现金流越强→护城河更深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知常曰明\n——只守看得懂的永恒飞轮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信息爆炸，意图入口迁移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用户越多→数据越多→算法越准→用户更多\nPageRank+AdWords双锁定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善行无辙迹\n——用户感知不到锁定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Tesla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能源转型\n（可达性从低到高的窗口）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数据越多→autopilot越强→用户越多→数据更多\n软件+充电网络+数据飞轮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图难于其易\n——从跑车切入重构整个链路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消费迁移线上\n（基础设施先于需求建好）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用户越多→物流越密→配送越快→用户更多\nPrime切换成本锁定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为之于未有\n——需求爆发前建好基础设施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太空商业化\n（势差极大但参与者极少）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发射越多→成本越低→订单越多→发射越多\n能力壁垒+成本重构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自胜者强\n——不靠竞争，靠降维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助听器巨头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老龄化刚需\n（制度+渠道双重锁定）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渠道越深→验配越专→切换越难→渠道更深\n保险名单+听力师培训体系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知足者富\n——不扩张，守住节点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AI时代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意图入口迁移\n（从点击费→完成费）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数据越多→模型越强→用户越多→数据更多\n接口层尚未成形，窗口开放中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为学日益\n——飞轮已启动，收费站未锁定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B4F8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八、失败模式分类器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大多数失败可以归入以下四类，对应框架的四个关键节点：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失败模式</w:t>
            </w:r>
          </w:p>
        </w:tc>
        <w:tc>
          <w:tcPr>
            <w:tcW w:type="dxa" w:w="3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本质原因</w:t>
            </w:r>
          </w:p>
        </w:tc>
        <w:tc>
          <w:tcPr>
            <w:tcW w:type="dxa" w:w="3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典型案例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势差判断错误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叙事大于现实，张力×可达性×时间窗口三者未同时成立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大量元宇宙项目、早期3D打印热潮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飞轮无法闭合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无法形成自强化结构，依赖持续补贴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大多数共享经济平台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节点被绕开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技术或架构替代，不可绕行性消失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Kodak（数码替代胶片）、Nokia（iOS/Android绕开硬件）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飞轮反转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正反馈变负反馈，通常因停止再投入触发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Yahoo、MySpace、传统零售巨头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B4F8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九、框架的边界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诚实的框架必须标明自己的盲区。以下成功案例无法被完整覆盖：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为何框架失效</w:t>
            </w:r>
          </w:p>
        </w:tc>
        <w:tc>
          <w:tcPr>
            <w:tcW w:type="dxa" w:w="31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典型案例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资源垄断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成功来自地理偶然性，不是飞轮，不是使命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沙特阿美、中东主权财富基金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政策垄断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制度保护而非商业逻辑，政策改变优势迅速消失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早期电信运营商、部分国有企业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纯粹运气窗口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在正确时间出现在正确地点，但未建立飞轮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部分ICO项目、互联网泡沫受益者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个人能力依赖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成功高度绑定创始人，无可转移飞轮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顶级咨询公司、个人IP工作室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刻意稀缺（奢侈品）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护城河来自拒绝飞轮——控制规模才是壁垒，与规模强化逻辑相反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爱马仕、LVMH顶级品牌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C0392B" w:sz="8" w:space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框架最适合解释【可扩展的结构性优势】，不适合解释资源偶然性、政策保护、个人天才和刻意稀缺。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B4F8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十、总结：从认知到价值捕获的完整路径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4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核心问题</w:t>
            </w:r>
          </w:p>
        </w:tc>
        <w:tc>
          <w:tcPr>
            <w:tcW w:type="dxa" w:w="3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识别势差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张力是否真实？可达性是否成立？时间窗口是否开放？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势差三维模型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判断阶段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处于揭示期还是释放初期？共识是否已过热？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演化四阶段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寻找接口层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中间抽象层在哪里？谁在定义标准？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价值链结构分析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验证飞轮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是否不可绕行？是否自我强化？是否去资本依赖？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飞轮三条件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判断方向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飞轮是正向还是负向？方向是否已锁死？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正负飞轮模型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评估存活力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核心是否足够执着？边缘是否足够灵活？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20公里行军原则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1B4F8A" w:sz="10"/>
          <w:bottom w:val="single" w:color="1B4F8A" w:sz="10"/>
          <w:left w:val="single" w:color="1B4F8A" w:sz="10"/>
          <w:right w:val="single" w:color="1B4F8A" w:sz="10"/>
        </w:pBdr>
        <w:shd w:fill="EBF2FA" w:val="clear"/>
        <w:spacing w:after="180" w:before="180"/>
        <w:ind w:left="360" w:right="360"/>
        <w:jc w:val="center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一句话：</w:t>
      </w:r>
      <w:r>
        <w:rPr>
          <w:rFonts w:ascii="Arial" w:cs="Arial" w:eastAsia="Arial" w:hAnsi="Arial"/>
          <w:color w:val="1B4F8A"/>
          <w:sz w:val="23"/>
          <w:szCs w:val="23"/>
        </w:rPr>
        <w:t xml:space="preserve">  识别势差何时进入释放区间，判断接口层是否形成，确认飞轮是否自我强化且不可绕行，然后在正确方向上活得足够久。这就是从认知到财富捕获的完整路径。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1B4F8A" w:sz="8" w:space="12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“以其不争，故天下莫能与之争。——老子”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4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2026-03-29T23:54:15.533Z</dcterms:created>
  <dcterms:modified xsi:type="dcterms:W3CDTF">2026-03-29T23:54:15.533Z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