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全球及中国口服尿酸酶已上市产品与在研分子深度市场与可行性研究"/>
    <w:p>
      <w:pPr>
        <w:pStyle w:val="2"/>
      </w:pPr>
      <w:r>
        <w:rPr>
          <w:rFonts w:hint="eastAsia"/>
        </w:rPr>
        <w:t xml:space="preserve">全球及中国口服尿酸酶（已上市产品与在研分子）深度市场与可行性研究</w:t>
      </w:r>
    </w:p>
    <w:bookmarkStart w:id="32" w:name="关键结论要点"/>
    <w:p>
      <w:pPr>
        <w:pStyle w:val="3"/>
      </w:pPr>
      <w:r>
        <w:rPr>
          <w:rFonts w:hint="eastAsia"/>
        </w:rPr>
        <w:t xml:space="preserve">关键结论要点</w:t>
      </w:r>
    </w:p>
    <w:p>
      <w:pPr>
        <w:numPr>
          <w:ilvl w:val="0"/>
          <w:numId w:val="1001"/>
        </w:numPr>
      </w:pPr>
      <w:r>
        <w:rPr>
          <w:rFonts w:hint="eastAsia"/>
        </w:rPr>
        <w:t xml:space="preserve">痛风与高尿酸血症全球及中国患病率持续上升，中国成人高尿酸血症患病率已由2000年的8.5%升至2019年的15.1%，痛风患者预计将由2019年的3200万增至2035年的5620万，长期控制达标率不足40%，存在显著未被满足需求，为新机制药物预留空间。[</w:t>
      </w:r>
      <w:hyperlink r:id="rId14">
        <w:r>
          <w:rPr>
            <w:rStyle w:val="38"/>
          </w:rPr>
          <w:t xml:space="preserve">1</w:t>
        </w:r>
      </w:hyperlink>
      <w:r>
        <w:t xml:space="preserve">][</w:t>
      </w:r>
      <w:hyperlink r:id="rId15">
        <w:r>
          <w:rPr>
            <w:rStyle w:val="38"/>
          </w:rPr>
          <w:t xml:space="preserve">2</w:t>
        </w:r>
      </w:hyperlink>
      <w:r>
        <w:t xml:space="preserve">][</w:t>
      </w:r>
      <w:hyperlink r:id="rId16">
        <w:r>
          <w:rPr>
            <w:rStyle w:val="38"/>
          </w:rPr>
          <w:t xml:space="preserve">3</w:t>
        </w:r>
      </w:hyperlink>
      <w:r>
        <w:t xml:space="preserve">]</w:t>
      </w:r>
    </w:p>
    <w:p>
      <w:pPr>
        <w:numPr>
          <w:ilvl w:val="0"/>
          <w:numId w:val="1001"/>
        </w:numPr>
      </w:pPr>
      <w:r>
        <w:rPr>
          <w:rFonts w:hint="eastAsia"/>
        </w:rPr>
        <w:t xml:space="preserve">现有治疗以黄嘌呤氧化酶抑制剂和促尿酸排泄药为主，存在心血管安全性、严重皮肤反应、肾结石风险及长期依从性差等问题；注射尿酸酶虽降尿酸强，但价格极高且免疫原性限制了应用场景，为口服尿酸酶提供了差异化切入点。[</w:t>
      </w:r>
      <w:hyperlink r:id="rId17">
        <w:r>
          <w:rPr>
            <w:rStyle w:val="38"/>
          </w:rPr>
          <w:t xml:space="preserve">4</w:t>
        </w:r>
      </w:hyperlink>
      <w:r>
        <w:t xml:space="preserve">][</w:t>
      </w:r>
      <w:hyperlink r:id="rId18">
        <w:r>
          <w:rPr>
            <w:rStyle w:val="38"/>
          </w:rPr>
          <w:t xml:space="preserve">5</w:t>
        </w:r>
      </w:hyperlink>
      <w:r>
        <w:t xml:space="preserve">][</w:t>
      </w:r>
      <w:hyperlink r:id="rId19">
        <w:r>
          <w:rPr>
            <w:rStyle w:val="38"/>
          </w:rPr>
          <w:t xml:space="preserve">6</w:t>
        </w:r>
      </w:hyperlink>
      <w:r>
        <w:t xml:space="preserve">]</w:t>
      </w:r>
    </w:p>
    <w:p>
      <w:pPr>
        <w:numPr>
          <w:ilvl w:val="0"/>
          <w:numId w:val="1001"/>
        </w:numPr>
      </w:pPr>
      <w:r>
        <w:rPr>
          <w:rFonts w:hint="eastAsia"/>
        </w:rPr>
        <w:t xml:space="preserve">全球口服尿酸酶研发仍处于早期，唯一有较清晰临床数据的是Allena的ALLN‑346（肠道局部起效、2a期、获得FDA快速通道资格），其目标人群为合并CKD的高尿酸患者；中国目前尚无明确进入临床的口服项目，科研端以工程菌与微囊化为主，整体处于临床前阶段。[</w:t>
      </w:r>
      <w:hyperlink r:id="rId20">
        <w:r>
          <w:rPr>
            <w:rStyle w:val="38"/>
          </w:rPr>
          <w:t xml:space="preserve">7</w:t>
        </w:r>
      </w:hyperlink>
      <w:r>
        <w:t xml:space="preserve">][</w:t>
      </w:r>
      <w:hyperlink r:id="rId21">
        <w:r>
          <w:rPr>
            <w:rStyle w:val="38"/>
          </w:rPr>
          <w:t xml:space="preserve">8</w:t>
        </w:r>
      </w:hyperlink>
      <w:r>
        <w:t xml:space="preserve">][</w:t>
      </w:r>
      <w:hyperlink r:id="rId22">
        <w:r>
          <w:rPr>
            <w:rStyle w:val="38"/>
          </w:rPr>
          <w:t xml:space="preserve">9</w:t>
        </w:r>
      </w:hyperlink>
      <w:r>
        <w:t xml:space="preserve">][</w:t>
      </w:r>
      <w:hyperlink r:id="rId23">
        <w:r>
          <w:rPr>
            <w:rStyle w:val="38"/>
          </w:rPr>
          <w:t xml:space="preserve">10</w:t>
        </w:r>
      </w:hyperlink>
      <w:r>
        <w:t xml:space="preserve">]</w:t>
      </w:r>
    </w:p>
    <w:p>
      <w:pPr>
        <w:numPr>
          <w:ilvl w:val="0"/>
          <w:numId w:val="1001"/>
        </w:numPr>
      </w:pPr>
      <w:r>
        <w:rPr>
          <w:rFonts w:hint="eastAsia"/>
        </w:rPr>
        <w:t xml:space="preserve">专利格局显示：PEG化及变体尿酸酶由Horizon等公司形成较强分子层面保护；布朗大学早期口服酶递送基础专利即将到期；针对工程菌和特定口服递送平台的覆盖仍不充分，中国CNIPA相关专利信息缺失，FTO存在一定空间但需进一步系统检索。[</w:t>
      </w:r>
      <w:hyperlink r:id="rId24">
        <w:r>
          <w:rPr>
            <w:rStyle w:val="38"/>
          </w:rPr>
          <w:t xml:space="preserve">11</w:t>
        </w:r>
      </w:hyperlink>
      <w:r>
        <w:t xml:space="preserve">][</w:t>
      </w:r>
      <w:hyperlink r:id="rId25">
        <w:r>
          <w:rPr>
            <w:rStyle w:val="38"/>
          </w:rPr>
          <w:t xml:space="preserve">12</w:t>
        </w:r>
      </w:hyperlink>
      <w:r>
        <w:t xml:space="preserve">][</w:t>
      </w:r>
      <w:hyperlink r:id="rId26">
        <w:r>
          <w:rPr>
            <w:rStyle w:val="38"/>
          </w:rPr>
          <w:t xml:space="preserve">13</w:t>
        </w:r>
      </w:hyperlink>
      <w:r>
        <w:t xml:space="preserve">]</w:t>
      </w:r>
    </w:p>
    <w:p>
      <w:pPr>
        <w:numPr>
          <w:ilvl w:val="0"/>
          <w:numId w:val="1001"/>
        </w:numPr>
      </w:pPr>
      <w:r>
        <w:rPr>
          <w:rFonts w:hint="eastAsia"/>
        </w:rPr>
        <w:t xml:space="preserve">中国高尿酸/痛风药物市场增速远高于全球：2020年已达28亿元，预计2030年达108亿元；同时中国创新药医保谈判常态化、带量采购深刻影响价格体系。口服尿酸酶如能定位于难治/高风险人群，有望以中高价+小人群策略获得商业可行性。[</w:t>
      </w:r>
      <w:hyperlink r:id="rId15">
        <w:r>
          <w:rPr>
            <w:rStyle w:val="38"/>
          </w:rPr>
          <w:t xml:space="preserve">2</w:t>
        </w:r>
      </w:hyperlink>
      <w:r>
        <w:t xml:space="preserve">][</w:t>
      </w:r>
      <w:hyperlink r:id="rId27">
        <w:r>
          <w:rPr>
            <w:rStyle w:val="38"/>
          </w:rPr>
          <w:t xml:space="preserve">14</w:t>
        </w:r>
      </w:hyperlink>
      <w:r>
        <w:t xml:space="preserve">][</w:t>
      </w:r>
      <w:hyperlink r:id="rId28">
        <w:r>
          <w:rPr>
            <w:rStyle w:val="38"/>
          </w:rPr>
          <w:t xml:space="preserve">15</w:t>
        </w:r>
      </w:hyperlink>
      <w:r>
        <w:t xml:space="preserve">]</w:t>
      </w:r>
    </w:p>
    <w:p>
      <w:pPr>
        <w:numPr>
          <w:ilvl w:val="0"/>
          <w:numId w:val="1001"/>
        </w:numPr>
      </w:pPr>
      <w:r>
        <w:rPr>
          <w:rFonts w:hint="eastAsia"/>
        </w:rPr>
        <w:t xml:space="preserve">监管层面对口服生物制剂和工程菌产品提出较高的CMC与生物安全要求（FDA</w:t>
      </w:r>
      <w:r>
        <w:t xml:space="preserve"> </w:t>
      </w:r>
      <w:r>
        <w:rPr>
          <w:rFonts w:hint="eastAsia"/>
        </w:rPr>
        <w:t xml:space="preserve">LBP指南、EMA生物技术工艺验证、中国GMP无菌附录等），工程菌/微生态类产品的监管路径和长期安全性要求仍存在不确定性，是中国企业切入口服尿酸酶必须审慎评估的关键风险。[</w:t>
      </w:r>
      <w:hyperlink r:id="rId29">
        <w:r>
          <w:rPr>
            <w:rStyle w:val="38"/>
          </w:rPr>
          <w:t xml:space="preserve">16</w:t>
        </w:r>
      </w:hyperlink>
      <w:r>
        <w:t xml:space="preserve">][</w:t>
      </w:r>
      <w:hyperlink r:id="rId30">
        <w:r>
          <w:rPr>
            <w:rStyle w:val="38"/>
          </w:rPr>
          <w:t xml:space="preserve">17</w:t>
        </w:r>
      </w:hyperlink>
      <w:r>
        <w:t xml:space="preserve">][</w:t>
      </w:r>
      <w:hyperlink r:id="rId31">
        <w:r>
          <w:rPr>
            <w:rStyle w:val="38"/>
          </w:rPr>
          <w:t xml:space="preserve">18</w:t>
        </w:r>
      </w:hyperlink>
      <w:r>
        <w:t xml:space="preserve">]</w:t>
      </w:r>
    </w:p>
    <w:p>
      <w:r>
        <w:pict>
          <v:rect style="width:0;height:1.5pt" o:hralign="center" o:hrstd="t" o:hr="t"/>
        </w:pict>
      </w:r>
    </w:p>
    <w:bookmarkEnd w:id="32"/>
    <w:bookmarkStart w:id="35" w:name="一研究背景与总体概述"/>
    <w:p>
      <w:pPr>
        <w:pStyle w:val="3"/>
      </w:pPr>
      <w:r>
        <w:rPr>
          <w:rFonts w:hint="eastAsia"/>
        </w:rPr>
        <w:t xml:space="preserve">一、研究背景与总体概述</w:t>
      </w:r>
    </w:p>
    <w:p>
      <w:pPr>
        <w:pStyle w:val="FirstParagraph"/>
      </w:pPr>
      <w:r>
        <w:rPr>
          <w:rFonts w:hint="eastAsia"/>
        </w:rPr>
        <w:t xml:space="preserve">痛风与高尿酸血症作为代谢性疾病，其全球疾病负担在近年来显著上升。全球疾病负担研究（GBD</w:t>
      </w:r>
      <w:r>
        <w:t xml:space="preserve"> </w:t>
      </w:r>
      <w:r>
        <w:rPr>
          <w:rFonts w:hint="eastAsia"/>
        </w:rPr>
        <w:t xml:space="preserve">2021）显示，痛风相关伤残负担持续增加，预计至2050年将继续上升。[</w:t>
      </w:r>
      <w:hyperlink r:id="rId33">
        <w:r>
          <w:rPr>
            <w:rStyle w:val="38"/>
          </w:rPr>
          <w:t xml:space="preserve">19</w:t>
        </w:r>
      </w:hyperlink>
      <w:r>
        <w:t xml:space="preserve">] </w:t>
      </w:r>
      <w:r>
        <w:rPr>
          <w:rFonts w:hint="eastAsia"/>
        </w:rPr>
        <w:t xml:space="preserve">中国成人高尿酸血症患病率在2000—2019年间从8.5%升至15.1%，呈快速上升趋势，且存在明显的性别与城乡差异。[</w:t>
      </w:r>
      <w:hyperlink r:id="rId14">
        <w:r>
          <w:rPr>
            <w:rStyle w:val="38"/>
          </w:rPr>
          <w:t xml:space="preserve">1</w:t>
        </w:r>
      </w:hyperlink>
      <w:r>
        <w:t xml:space="preserve">]</w:t>
      </w:r>
    </w:p>
    <w:p>
      <w:pPr>
        <w:pStyle w:val="7"/>
      </w:pPr>
      <w:r>
        <w:rPr>
          <w:rFonts w:hint="eastAsia"/>
        </w:rPr>
        <w:t xml:space="preserve">在既有治疗工具（XOI、促尿酸排泄药、注射尿酸酶）不能充分解决长期控制率低、特殊人群（合并CKD、心血管高风险、既往药物不耐受）治疗困境的背景下，口服尿酸酶作为一种新的治疗机制和给药路径，受到产业界关注。本研究基于多子任务成果，对全球及中国口服尿酸酶的技术路径、临床研发、专利格局、市场机会、监管环境及风险进行系统综合，以支持中国企业立项与管线规划。</w:t>
      </w:r>
    </w:p>
    <w:p>
      <w:pPr>
        <w:pStyle w:val="7"/>
      </w:pPr>
      <w:r>
        <w:rPr>
          <w:rFonts w:hint="eastAsia"/>
        </w:rPr>
        <w:t xml:space="preserve">数据来源包括：GBD和中国本土流行病学研究、EULAR/中国指南、临床试验与公司披露信息、专利数据库摘要、国家监管与医保政策文件、市场研究报告与行业分析等。[</w:t>
      </w:r>
      <w:hyperlink r:id="rId33">
        <w:r>
          <w:rPr>
            <w:rStyle w:val="38"/>
          </w:rPr>
          <w:t xml:space="preserve">19</w:t>
        </w:r>
      </w:hyperlink>
      <w:r>
        <w:t xml:space="preserve">][</w:t>
      </w:r>
      <w:hyperlink r:id="rId34">
        <w:r>
          <w:rPr>
            <w:rStyle w:val="38"/>
          </w:rPr>
          <w:t xml:space="preserve">20</w:t>
        </w:r>
      </w:hyperlink>
      <w:r>
        <w:t xml:space="preserve">][</w:t>
      </w:r>
      <w:hyperlink r:id="rId15">
        <w:r>
          <w:rPr>
            <w:rStyle w:val="38"/>
          </w:rPr>
          <w:t xml:space="preserve">2</w:t>
        </w:r>
      </w:hyperlink>
      <w:r>
        <w:t xml:space="preserve">][</w:t>
      </w:r>
      <w:hyperlink r:id="rId29">
        <w:r>
          <w:rPr>
            <w:rStyle w:val="38"/>
          </w:rPr>
          <w:t xml:space="preserve">16</w:t>
        </w:r>
      </w:hyperlink>
      <w:r>
        <w:t xml:space="preserve">][</w:t>
      </w:r>
      <w:hyperlink r:id="rId27">
        <w:r>
          <w:rPr>
            <w:rStyle w:val="38"/>
          </w:rPr>
          <w:t xml:space="preserve">14</w:t>
        </w:r>
      </w:hyperlink>
      <w:r>
        <w:t xml:space="preserve">]</w:t>
      </w:r>
    </w:p>
    <w:p>
      <w:r>
        <w:pict>
          <v:rect style="width:0;height:1.5pt" o:hralign="center" o:hrstd="t" o:hr="t"/>
        </w:pict>
      </w:r>
    </w:p>
    <w:bookmarkEnd w:id="35"/>
    <w:bookmarkStart w:id="39" w:name="二疾病负担与未被满足临床需求"/>
    <w:p>
      <w:pPr>
        <w:pStyle w:val="3"/>
      </w:pPr>
      <w:r>
        <w:rPr>
          <w:rFonts w:hint="eastAsia"/>
        </w:rPr>
        <w:t xml:space="preserve">二、疾病负担与未被满足临床需求</w:t>
      </w:r>
    </w:p>
    <w:bookmarkStart w:id="36" w:name="流行病学与患者分层"/>
    <w:p>
      <w:pPr>
        <w:pStyle w:val="4"/>
      </w:pPr>
      <w:r>
        <w:t xml:space="preserve">2.1 </w:t>
      </w:r>
      <w:r>
        <w:rPr>
          <w:rFonts w:hint="eastAsia"/>
        </w:rPr>
        <w:t xml:space="preserve">流行病学与患者分层</w:t>
      </w:r>
    </w:p>
    <w:tbl>
      <w:tblPr>
        <w:tblStyle w:val="Table"/>
        <w:tblW w:type="pct" w:w="5000"/>
        <w:tblLayout w:type="fixed"/>
        <w:tblLook w:firstRow="1" w:lastRow="0" w:firstColumn="0" w:lastColumn="0" w:noHBand="0" w:noVBand="0" w:val="0020"/>
      </w:tblPr>
      <w:tblGrid>
        <w:gridCol w:w="1218"/>
        <w:gridCol w:w="2233"/>
        <w:gridCol w:w="3249"/>
        <w:gridCol w:w="1218"/>
      </w:tblGrid>
      <w:tr>
        <w:trPr>
          <w:tblHeader w:val="on"/>
        </w:trPr>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指标</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全球/中国</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关键数据与特征</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来源</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高尿酸血症患病率</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中国成人</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2000年8.5%</w:t>
            </w:r>
            <w:r>
              <w:t xml:space="preserve"> → </w:t>
            </w:r>
            <w:r>
              <w:rPr>
                <w:rFonts w:hint="eastAsia"/>
              </w:rPr>
              <w:t xml:space="preserve">2019年15.1%；男性高于女性、城市高于农村，随年龄增加而升高</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14">
              <w:r>
                <w:rPr>
                  <w:rStyle w:val="38"/>
                </w:rPr>
                <w:t xml:space="preserve">1</w:t>
              </w:r>
            </w:hyperlink>
            <w:r>
              <w:t xml:space="preserve">]</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痛风患病人数</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中国</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2015年2390万</w:t>
            </w:r>
            <w:r>
              <w:t xml:space="preserve"> → </w:t>
            </w:r>
            <w:r>
              <w:rPr>
                <w:rFonts w:hint="eastAsia"/>
              </w:rPr>
              <w:t xml:space="preserve">2019年3200万；预计2024年4330万、2035年5620万</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15">
              <w:r>
                <w:rPr>
                  <w:rStyle w:val="38"/>
                </w:rPr>
                <w:t xml:space="preserve">2</w:t>
              </w:r>
            </w:hyperlink>
            <w:r>
              <w:t xml:space="preserve">]</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痛风负担趋势</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全球</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1990–2020年持续上升，预计未来几十年进一步增长</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33">
              <w:r>
                <w:rPr>
                  <w:rStyle w:val="38"/>
                </w:rPr>
                <w:t xml:space="preserve">19</w:t>
              </w:r>
            </w:hyperlink>
            <w:r>
              <w:t xml:space="preserve">]</w:t>
            </w:r>
          </w:p>
        </w:tc>
      </w:tr>
      <w:tr>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达标率（Urate</w:t>
            </w:r>
            <w:r>
              <w:t xml:space="preserve"> </w:t>
            </w:r>
            <w:r>
              <w:rPr>
                <w:rFonts w:hint="eastAsia"/>
              </w:rPr>
              <w:t xml:space="preserve">控制）</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中国真实世界</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ULT治疗4、12、24周达标率分别为18.9%、29.1%、38.1%</w:t>
            </w:r>
          </w:p>
        </w:tc>
        <w:tc>
          <w:tcPr>
            <w:shd w:fill="FFFFFF"/>
            <w:tcBorders>
              <w:top w:val="none" w:sz="0" w:space="0" w:color="000000"/>
              <w:bottom w:val="single" w:sz="12" w:space="0" w:color="000000"/>
              <w:left w:val="none" w:sz="0" w:space="0" w:color="000000"/>
              <w:right w:val="none" w:sz="0" w:space="0" w:color="000000"/>
            </w:tcBorders>
          </w:tcPr>
          <w:p>
            <w:pPr>
              <w:pStyle w:val="Compact"/>
            </w:pPr>
            <w:r>
              <w:t xml:space="preserve">[</w:t>
            </w:r>
            <w:hyperlink r:id="rId16">
              <w:r>
                <w:rPr>
                  <w:rStyle w:val="38"/>
                </w:rPr>
                <w:t xml:space="preserve">3</w:t>
              </w:r>
            </w:hyperlink>
            <w:r>
              <w:t xml:space="preserve">]</w:t>
            </w:r>
          </w:p>
        </w:tc>
      </w:tr>
    </w:tbl>
    <w:p>
      <w:pPr>
        <w:pStyle w:val="7"/>
      </w:pPr>
      <w:r>
        <w:rPr>
          <w:rFonts w:hint="eastAsia"/>
        </w:rPr>
        <w:t xml:space="preserve">上述数据提示：一方面，高尿酸与痛风在中国已具“慢病大病”量级；另一方面，治疗控制率明显不足，说明诊断—治疗—达标路径存在巨大漏斗。</w:t>
      </w:r>
    </w:p>
    <w:p>
      <w:pPr>
        <w:pStyle w:val="7"/>
      </w:pPr>
      <w:r>
        <w:rPr>
          <w:rFonts w:hint="eastAsia"/>
        </w:rPr>
        <w:t xml:space="preserve">现有资料对以下关键患者分层的精确规模尚未给出定量数据（“信息未提供”）：</w:t>
      </w:r>
    </w:p>
    <w:p>
      <w:pPr>
        <w:pStyle w:val="Compact"/>
        <w:numPr>
          <w:ilvl w:val="0"/>
          <w:numId w:val="1002"/>
        </w:numPr>
      </w:pPr>
      <w:r>
        <w:rPr>
          <w:rFonts w:hint="eastAsia"/>
        </w:rPr>
        <w:t xml:space="preserve">无症状高尿酸血症人群的基数及进展率（信息未提供）</w:t>
      </w:r>
    </w:p>
    <w:p>
      <w:pPr>
        <w:pStyle w:val="Compact"/>
        <w:numPr>
          <w:ilvl w:val="0"/>
          <w:numId w:val="1002"/>
        </w:numPr>
      </w:pPr>
      <w:r>
        <w:rPr>
          <w:rFonts w:hint="eastAsia"/>
        </w:rPr>
        <w:t xml:space="preserve">复发性痛风、慢性痛风性关节炎和痛风石人群规模（信息未提供）</w:t>
      </w:r>
    </w:p>
    <w:p>
      <w:pPr>
        <w:pStyle w:val="Compact"/>
        <w:numPr>
          <w:ilvl w:val="0"/>
          <w:numId w:val="1002"/>
        </w:numPr>
      </w:pPr>
      <w:r>
        <w:rPr>
          <w:rFonts w:hint="eastAsia"/>
        </w:rPr>
        <w:t xml:space="preserve">合并CKD（分期）、心血管高危人群的高尿酸患病率（信息未提供）</w:t>
      </w:r>
    </w:p>
    <w:p>
      <w:pPr>
        <w:pStyle w:val="Compact"/>
        <w:numPr>
          <w:ilvl w:val="0"/>
          <w:numId w:val="1002"/>
        </w:numPr>
      </w:pPr>
      <w:r>
        <w:rPr>
          <w:rFonts w:hint="eastAsia"/>
        </w:rPr>
        <w:t xml:space="preserve">既往XOI/促尿酸排泄药疗效不佳、不耐受或有禁忌人群比例（信息未提供）</w:t>
      </w:r>
    </w:p>
    <w:p>
      <w:pPr>
        <w:pStyle w:val="FirstParagraph"/>
      </w:pPr>
      <w:r>
        <w:rPr>
          <w:rFonts w:hint="eastAsia"/>
        </w:rPr>
        <w:t xml:space="preserve">但结合EULAR和中国指南可确认，上述亚组构成口服尿酸酶潜在核心目标人群。[</w:t>
      </w:r>
      <w:hyperlink r:id="rId17">
        <w:r>
          <w:rPr>
            <w:rStyle w:val="38"/>
          </w:rPr>
          <w:t xml:space="preserve">4</w:t>
        </w:r>
      </w:hyperlink>
      <w:r>
        <w:t xml:space="preserve">][</w:t>
      </w:r>
      <w:hyperlink r:id="rId34">
        <w:r>
          <w:rPr>
            <w:rStyle w:val="38"/>
          </w:rPr>
          <w:t xml:space="preserve">20</w:t>
        </w:r>
      </w:hyperlink>
      <w:r>
        <w:t xml:space="preserve">]</w:t>
      </w:r>
    </w:p>
    <w:bookmarkEnd w:id="36"/>
    <w:bookmarkStart w:id="38" w:name="现有诊疗路径与疗效局限"/>
    <w:p>
      <w:pPr>
        <w:pStyle w:val="4"/>
      </w:pPr>
      <w:r>
        <w:t xml:space="preserve">2.2 </w:t>
      </w:r>
      <w:r>
        <w:rPr>
          <w:rFonts w:hint="eastAsia"/>
        </w:rPr>
        <w:t xml:space="preserve">现有诊疗路径与疗效局限</w:t>
      </w:r>
    </w:p>
    <w:p>
      <w:pPr>
        <w:pStyle w:val="FirstParagraph"/>
      </w:pPr>
      <w:r>
        <w:t xml:space="preserve">EULAR </w:t>
      </w:r>
      <w:r>
        <w:rPr>
          <w:rFonts w:hint="eastAsia"/>
        </w:rPr>
        <w:t xml:space="preserve">2016痛风管理建议及2019年中国指南均强调“treat-to-target”策略，以血尿酸&lt;360</w:t>
      </w:r>
      <w:r>
        <w:t xml:space="preserve"> </w:t>
      </w:r>
      <w:r>
        <w:rPr>
          <w:rFonts w:hint="eastAsia"/>
        </w:rPr>
        <w:t xml:space="preserve">μmol/L作为一般目标，对严重痛风或合并多发痛风石可考虑更低目标。[</w:t>
      </w:r>
      <w:hyperlink r:id="rId17">
        <w:r>
          <w:rPr>
            <w:rStyle w:val="38"/>
          </w:rPr>
          <w:t xml:space="preserve">4</w:t>
        </w:r>
      </w:hyperlink>
      <w:r>
        <w:t xml:space="preserve">][</w:t>
      </w:r>
      <w:hyperlink r:id="rId34">
        <w:r>
          <w:rPr>
            <w:rStyle w:val="38"/>
          </w:rPr>
          <w:t xml:space="preserve">20</w:t>
        </w:r>
      </w:hyperlink>
      <w:r>
        <w:t xml:space="preserve">] </w:t>
      </w:r>
      <w:r>
        <w:rPr>
          <w:rFonts w:hint="eastAsia"/>
        </w:rPr>
        <w:t xml:space="preserve">但真实世界中达标率远低于指南目标。[</w:t>
      </w:r>
      <w:hyperlink r:id="rId16">
        <w:r>
          <w:rPr>
            <w:rStyle w:val="38"/>
          </w:rPr>
          <w:t xml:space="preserve">3</w:t>
        </w:r>
      </w:hyperlink>
      <w:r>
        <w:t xml:space="preserve">]</w:t>
      </w:r>
    </w:p>
    <w:p>
      <w:pPr>
        <w:pStyle w:val="7"/>
      </w:pPr>
      <w:r>
        <w:rPr>
          <w:rFonts w:hint="eastAsia"/>
        </w:rPr>
        <w:t xml:space="preserve">主要药物类别的典型局限如下（结合指南与市场信息综合）：</w:t>
      </w:r>
    </w:p>
    <w:tbl>
      <w:tblPr>
        <w:tblStyle w:val="Table"/>
        <w:tblW w:type="pct" w:w="5000"/>
        <w:tblLayout w:type="fixed"/>
        <w:tblLook w:firstRow="1" w:lastRow="0" w:firstColumn="0" w:lastColumn="0" w:noHBand="0" w:noVBand="0" w:val="0020"/>
      </w:tblPr>
      <w:tblGrid>
        <w:gridCol w:w="1650"/>
        <w:gridCol w:w="1650"/>
        <w:gridCol w:w="1650"/>
        <w:gridCol w:w="1980"/>
        <w:gridCol w:w="990"/>
      </w:tblGrid>
      <w:tr>
        <w:trPr>
          <w:tblHeader w:val="on"/>
        </w:trPr>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药物类别</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代表药物</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主要优势</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关键局限点</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来源</w:t>
            </w:r>
          </w:p>
        </w:tc>
      </w:tr>
      <w:tr>
        <w:tc>
          <w:tcPr>
            <w:shd w:fill="FFFFFF"/>
            <w:tcBorders>
              <w:top w:val="none" w:sz="0" w:space="0" w:color="000000"/>
              <w:bottom w:val="none" w:sz="0" w:space="0" w:color="000000"/>
              <w:left w:val="none" w:sz="0" w:space="0" w:color="000000"/>
              <w:right w:val="none" w:sz="0" w:space="0" w:color="000000"/>
            </w:tcBorders>
          </w:tcPr>
          <w:p>
            <w:pPr>
              <w:pStyle w:val="Compact"/>
            </w:pPr>
            <w:r>
              <w:t xml:space="preserve">XOI</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别嘌醇、非布司他</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口服方便，成本低，长期可用</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别嘌醇有严重皮肤不良反应风险；非布司他存在心血管安全性争议，部分国家限制；CKD中剂量调整复杂</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17">
              <w:r>
                <w:rPr>
                  <w:rStyle w:val="38"/>
                </w:rPr>
                <w:t xml:space="preserve">4</w:t>
              </w:r>
            </w:hyperlink>
            <w:r>
              <w:t xml:space="preserve">]</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促尿酸排泄药</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苯溴马隆、丙磺舒</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提高肾排泄尿酸，适合排泄低下型</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肾结石风险增加，对中重度CKD受限；部分药物在部分市场下架或限制使用</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17">
              <w:r>
                <w:rPr>
                  <w:rStyle w:val="38"/>
                </w:rPr>
                <w:t xml:space="preserve">4</w:t>
              </w:r>
            </w:hyperlink>
            <w:r>
              <w:t xml:space="preserve">]</w:t>
            </w:r>
          </w:p>
        </w:tc>
      </w:tr>
      <w:tr>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注射尿酸酶</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Pegloticase及中国同类在研品种</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直接降解尿酸，降幅大，可溶解痛风石，适用于难治性患者</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免疫原性高，输注反应、抗体产生导致疗效衰减；需静脉输注、监测；价格极高，国际产品完整疗程&gt;30万美元，中国拟上市品种目标价&lt;1万元/次但仍属高值</w:t>
            </w:r>
          </w:p>
        </w:tc>
        <w:tc>
          <w:tcPr>
            <w:shd w:fill="FFFFFF"/>
            <w:tcBorders>
              <w:top w:val="none" w:sz="0" w:space="0" w:color="000000"/>
              <w:bottom w:val="single" w:sz="12" w:space="0" w:color="000000"/>
              <w:left w:val="none" w:sz="0" w:space="0" w:color="000000"/>
              <w:right w:val="none" w:sz="0" w:space="0" w:color="000000"/>
            </w:tcBorders>
          </w:tcPr>
          <w:p>
            <w:pPr>
              <w:pStyle w:val="Compact"/>
            </w:pPr>
            <w:r>
              <w:t xml:space="preserve">[</w:t>
            </w:r>
            <w:hyperlink r:id="rId18">
              <w:r>
                <w:rPr>
                  <w:rStyle w:val="38"/>
                </w:rPr>
                <w:t xml:space="preserve">5</w:t>
              </w:r>
            </w:hyperlink>
            <w:r>
              <w:t xml:space="preserve">][</w:t>
            </w:r>
            <w:hyperlink r:id="rId19">
              <w:r>
                <w:rPr>
                  <w:rStyle w:val="38"/>
                </w:rPr>
                <w:t xml:space="preserve">6</w:t>
              </w:r>
            </w:hyperlink>
            <w:r>
              <w:t xml:space="preserve">][</w:t>
            </w:r>
            <w:hyperlink r:id="rId37">
              <w:r>
                <w:rPr>
                  <w:rStyle w:val="38"/>
                </w:rPr>
                <w:t xml:space="preserve">21</w:t>
              </w:r>
            </w:hyperlink>
            <w:r>
              <w:t xml:space="preserve">]</w:t>
            </w:r>
          </w:p>
        </w:tc>
      </w:tr>
    </w:tbl>
    <w:p>
      <w:pPr>
        <w:pStyle w:val="7"/>
      </w:pPr>
      <w:r>
        <w:rPr>
          <w:rFonts w:hint="eastAsia"/>
        </w:rPr>
        <w:t xml:space="preserve">因此，在以下临床场景中存在显著未满足需求：</w:t>
      </w:r>
    </w:p>
    <w:p>
      <w:pPr>
        <w:pStyle w:val="Compact"/>
        <w:numPr>
          <w:ilvl w:val="0"/>
          <w:numId w:val="1003"/>
        </w:numPr>
      </w:pPr>
      <w:r>
        <w:rPr>
          <w:rFonts w:hint="eastAsia"/>
        </w:rPr>
        <w:t xml:space="preserve">合并CKD（尤其Ⅲ–Ⅴ期）且对XOI不耐受或疗效不足；</w:t>
      </w:r>
    </w:p>
    <w:p>
      <w:pPr>
        <w:pStyle w:val="Compact"/>
        <w:numPr>
          <w:ilvl w:val="0"/>
          <w:numId w:val="1003"/>
        </w:numPr>
      </w:pPr>
      <w:r>
        <w:rPr>
          <w:rFonts w:hint="eastAsia"/>
        </w:rPr>
        <w:t xml:space="preserve">既往使用促排药物出现肾结石或肾损伤风险较高；</w:t>
      </w:r>
    </w:p>
    <w:p>
      <w:pPr>
        <w:pStyle w:val="Compact"/>
        <w:numPr>
          <w:ilvl w:val="0"/>
          <w:numId w:val="1003"/>
        </w:numPr>
      </w:pPr>
      <w:r>
        <w:rPr>
          <w:rFonts w:hint="eastAsia"/>
        </w:rPr>
        <w:t xml:space="preserve">多次尝试小分子口服药控制失败或存在严重不良反应；</w:t>
      </w:r>
    </w:p>
    <w:p>
      <w:pPr>
        <w:pStyle w:val="Compact"/>
        <w:numPr>
          <w:ilvl w:val="0"/>
          <w:numId w:val="1003"/>
        </w:numPr>
      </w:pPr>
      <w:r>
        <w:rPr>
          <w:rFonts w:hint="eastAsia"/>
        </w:rPr>
        <w:t xml:space="preserve">在注射尿酸酶成本与免疫原性难以接受的患者中需要更可及选择。</w:t>
      </w:r>
    </w:p>
    <w:p>
      <w:pPr>
        <w:pStyle w:val="FirstParagraph"/>
      </w:pPr>
      <w:r>
        <w:rPr>
          <w:rFonts w:hint="eastAsia"/>
        </w:rPr>
        <w:t xml:space="preserve">口服尿酸酶如果能够提供：</w:t>
      </w:r>
    </w:p>
    <w:p>
      <w:pPr>
        <w:pStyle w:val="Compact"/>
        <w:numPr>
          <w:ilvl w:val="0"/>
          <w:numId w:val="1004"/>
        </w:numPr>
      </w:pPr>
      <w:r>
        <w:rPr>
          <w:rFonts w:hint="eastAsia"/>
          <w:b/>
          <w:bCs/>
        </w:rPr>
        <w:t xml:space="preserve">局部作用（肠道）+低全身暴露</w:t>
      </w:r>
      <w:r>
        <w:rPr>
          <w:rFonts w:hint="eastAsia"/>
        </w:rPr>
        <w:t xml:space="preserve">以改善安全性；</w:t>
      </w:r>
    </w:p>
    <w:p>
      <w:pPr>
        <w:pStyle w:val="Compact"/>
        <w:numPr>
          <w:ilvl w:val="0"/>
          <w:numId w:val="1004"/>
        </w:numPr>
      </w:pPr>
      <w:r>
        <w:rPr>
          <w:rFonts w:hint="eastAsia"/>
          <w:b/>
          <w:bCs/>
        </w:rPr>
        <w:t xml:space="preserve">对传统药物不耐受/疗效不佳人群中的额外降尿酸贡献</w:t>
      </w:r>
      <w:r>
        <w:rPr>
          <w:rFonts w:hint="eastAsia"/>
        </w:rPr>
        <w:t xml:space="preserve">；</w:t>
      </w:r>
    </w:p>
    <w:p>
      <w:pPr>
        <w:pStyle w:val="Compact"/>
        <w:numPr>
          <w:ilvl w:val="0"/>
          <w:numId w:val="1004"/>
        </w:numPr>
      </w:pPr>
      <w:r>
        <w:rPr>
          <w:rFonts w:hint="eastAsia"/>
          <w:b/>
          <w:bCs/>
        </w:rPr>
        <w:t xml:space="preserve">口服便利性</w:t>
      </w:r>
      <w:r>
        <w:rPr>
          <w:rFonts w:hint="eastAsia"/>
        </w:rPr>
        <w:t xml:space="preserve">与可接受的价格，</w:t>
      </w:r>
    </w:p>
    <w:p>
      <w:pPr>
        <w:pStyle w:val="FirstParagraph"/>
      </w:pPr>
      <w:r>
        <w:rPr>
          <w:rFonts w:hint="eastAsia"/>
        </w:rPr>
        <w:t xml:space="preserve">则在上述场景中具有潜在临床价值。</w:t>
      </w:r>
    </w:p>
    <w:p>
      <w:r>
        <w:pict>
          <v:rect style="width:0;height:1.5pt" o:hralign="center" o:hrstd="t" o:hr="t"/>
        </w:pict>
      </w:r>
    </w:p>
    <w:bookmarkEnd w:id="38"/>
    <w:bookmarkEnd w:id="39"/>
    <w:bookmarkStart w:id="51" w:name="三口服尿酸酶技术路径与全球中国研发管线"/>
    <w:p>
      <w:pPr>
        <w:pStyle w:val="3"/>
      </w:pPr>
      <w:r>
        <w:rPr>
          <w:rFonts w:hint="eastAsia"/>
        </w:rPr>
        <w:t xml:space="preserve">三、口服尿酸酶技术路径与全球/中国研发管线</w:t>
      </w:r>
    </w:p>
    <w:bookmarkStart w:id="43" w:name="技术路线总览"/>
    <w:p>
      <w:pPr>
        <w:pStyle w:val="4"/>
      </w:pPr>
      <w:r>
        <w:t xml:space="preserve">3.1 </w:t>
      </w:r>
      <w:r>
        <w:rPr>
          <w:rFonts w:hint="eastAsia"/>
        </w:rPr>
        <w:t xml:space="preserve">技术路线总览</w:t>
      </w:r>
    </w:p>
    <w:p>
      <w:pPr>
        <w:pStyle w:val="FirstParagraph"/>
      </w:pPr>
      <w:r>
        <w:rPr>
          <w:rFonts w:hint="eastAsia"/>
        </w:rPr>
        <w:t xml:space="preserve">当前口服尿酸酶的技术方案可概括为三大方向：[</w:t>
      </w:r>
      <w:hyperlink r:id="rId22">
        <w:r>
          <w:rPr>
            <w:rStyle w:val="38"/>
          </w:rPr>
          <w:t xml:space="preserve">9</w:t>
        </w:r>
      </w:hyperlink>
      <w:r>
        <w:t xml:space="preserve">][</w:t>
      </w:r>
      <w:hyperlink r:id="rId23">
        <w:r>
          <w:rPr>
            <w:rStyle w:val="38"/>
          </w:rPr>
          <w:t xml:space="preserve">10</w:t>
        </w:r>
      </w:hyperlink>
      <w:r>
        <w:t xml:space="preserve">][</w:t>
      </w:r>
      <w:hyperlink r:id="rId40">
        <w:r>
          <w:rPr>
            <w:rStyle w:val="38"/>
          </w:rPr>
          <w:t xml:space="preserve">22</w:t>
        </w:r>
      </w:hyperlink>
      <w:r>
        <w:t xml:space="preserve">][</w:t>
      </w:r>
      <w:hyperlink r:id="rId41">
        <w:r>
          <w:rPr>
            <w:rStyle w:val="38"/>
          </w:rPr>
          <w:t xml:space="preserve">23</w:t>
        </w:r>
      </w:hyperlink>
      <w:r>
        <w:t xml:space="preserve">]</w:t>
      </w:r>
    </w:p>
    <w:p>
      <w:pPr>
        <w:pStyle w:val="Compact"/>
        <w:numPr>
          <w:ilvl w:val="0"/>
          <w:numId w:val="1005"/>
        </w:numPr>
      </w:pPr>
      <w:r>
        <w:rPr>
          <w:rFonts w:hint="eastAsia"/>
          <w:b/>
          <w:bCs/>
        </w:rPr>
        <w:t xml:space="preserve">直接口服酶制剂（重组酶+口服递送）</w:t>
      </w:r>
    </w:p>
    <w:p>
      <w:pPr>
        <w:pStyle w:val="Compact"/>
        <w:numPr>
          <w:ilvl w:val="1"/>
          <w:numId w:val="1006"/>
        </w:numPr>
      </w:pPr>
      <w:r>
        <w:rPr>
          <w:rFonts w:hint="eastAsia"/>
        </w:rPr>
        <w:t xml:space="preserve">采用重组尿酸酶，通过包封、肠溶包衣或纳米颗粒等方式防止胃肠道降解。</w:t>
      </w:r>
    </w:p>
    <w:p>
      <w:pPr>
        <w:pStyle w:val="Compact"/>
        <w:numPr>
          <w:ilvl w:val="1"/>
          <w:numId w:val="1006"/>
        </w:numPr>
      </w:pPr>
      <w:r>
        <w:rPr>
          <w:rFonts w:hint="eastAsia"/>
        </w:rPr>
        <w:t xml:space="preserve">代表性技术：PLGA纳米颗粒包载尿酸酶和非甾体抗炎药的复合系统。[</w:t>
      </w:r>
      <w:hyperlink r:id="rId40">
        <w:r>
          <w:rPr>
            <w:rStyle w:val="38"/>
          </w:rPr>
          <w:t xml:space="preserve">22</w:t>
        </w:r>
      </w:hyperlink>
      <w:r>
        <w:t xml:space="preserve">]</w:t>
      </w:r>
    </w:p>
    <w:p>
      <w:pPr>
        <w:pStyle w:val="Compact"/>
        <w:numPr>
          <w:ilvl w:val="0"/>
          <w:numId w:val="1005"/>
        </w:numPr>
      </w:pPr>
      <w:r>
        <w:rPr>
          <w:rFonts w:hint="eastAsia"/>
          <w:b/>
          <w:bCs/>
        </w:rPr>
        <w:t xml:space="preserve">工程菌/益生菌表达尿酸酶</w:t>
      </w:r>
    </w:p>
    <w:p>
      <w:pPr>
        <w:pStyle w:val="Compact"/>
        <w:numPr>
          <w:ilvl w:val="1"/>
          <w:numId w:val="1007"/>
        </w:numPr>
      </w:pPr>
      <w:r>
        <w:rPr>
          <w:rFonts w:hint="eastAsia"/>
        </w:rPr>
        <w:t xml:space="preserve">将尿酸酶基因导入乳酸菌等可口服菌株，使其在肠道表达酶。</w:t>
      </w:r>
    </w:p>
    <w:p>
      <w:pPr>
        <w:pStyle w:val="Compact"/>
        <w:numPr>
          <w:ilvl w:val="1"/>
          <w:numId w:val="1007"/>
        </w:numPr>
      </w:pPr>
      <w:r>
        <w:rPr>
          <w:rFonts w:hint="eastAsia"/>
        </w:rPr>
        <w:t xml:space="preserve">中国研究构建了保加利亚乳杆菌表达尿酸氧化酶的工程菌，并实现不可繁殖微囊化工程菌制剂。[</w:t>
      </w:r>
      <w:hyperlink r:id="rId23">
        <w:r>
          <w:rPr>
            <w:rStyle w:val="38"/>
          </w:rPr>
          <w:t xml:space="preserve">10</w:t>
        </w:r>
      </w:hyperlink>
      <w:r>
        <w:t xml:space="preserve">][</w:t>
      </w:r>
      <w:hyperlink r:id="rId22">
        <w:r>
          <w:rPr>
            <w:rStyle w:val="38"/>
          </w:rPr>
          <w:t xml:space="preserve">9</w:t>
        </w:r>
      </w:hyperlink>
      <w:r>
        <w:t xml:space="preserve">]</w:t>
      </w:r>
    </w:p>
    <w:p>
      <w:pPr>
        <w:pStyle w:val="Compact"/>
        <w:numPr>
          <w:ilvl w:val="0"/>
          <w:numId w:val="1005"/>
        </w:numPr>
      </w:pPr>
      <w:r>
        <w:rPr>
          <w:rFonts w:hint="eastAsia"/>
          <w:b/>
          <w:bCs/>
        </w:rPr>
        <w:t xml:space="preserve">口服生物递送平台（如零型分泌工程菌）</w:t>
      </w:r>
    </w:p>
    <w:p>
      <w:pPr>
        <w:pStyle w:val="Compact"/>
        <w:numPr>
          <w:ilvl w:val="1"/>
          <w:numId w:val="1008"/>
        </w:numPr>
      </w:pPr>
      <w:r>
        <w:rPr>
          <w:rFonts w:hint="eastAsia"/>
        </w:rPr>
        <w:t xml:space="preserve">借助特定工程益生菌“Zero-type</w:t>
      </w:r>
      <w:r>
        <w:t xml:space="preserve"> secretion </w:t>
      </w:r>
      <w:r>
        <w:rPr>
          <w:rFonts w:hint="eastAsia"/>
        </w:rPr>
        <w:t xml:space="preserve">system”等，实现治疗蛋白在肠道内分泌，可部分跨越肠屏障，进入循环。[</w:t>
      </w:r>
      <w:hyperlink r:id="rId41">
        <w:r>
          <w:rPr>
            <w:rStyle w:val="38"/>
          </w:rPr>
          <w:t xml:space="preserve">23</w:t>
        </w:r>
      </w:hyperlink>
      <w:r>
        <w:t xml:space="preserve">][</w:t>
      </w:r>
      <w:hyperlink r:id="rId42">
        <w:r>
          <w:rPr>
            <w:rStyle w:val="38"/>
          </w:rPr>
          <w:t xml:space="preserve">24</w:t>
        </w:r>
      </w:hyperlink>
      <w:r>
        <w:t xml:space="preserve">]</w:t>
      </w:r>
    </w:p>
    <w:tbl>
      <w:tblPr>
        <w:tblStyle w:val="Table"/>
        <w:tblW w:type="pct" w:w="5000"/>
        <w:tblLayout w:type="fixed"/>
        <w:tblLook w:firstRow="1" w:lastRow="0" w:firstColumn="0" w:lastColumn="0" w:noHBand="0" w:noVBand="0" w:val="0020"/>
      </w:tblPr>
      <w:tblGrid>
        <w:gridCol w:w="1147"/>
        <w:gridCol w:w="1721"/>
        <w:gridCol w:w="1606"/>
        <w:gridCol w:w="2754"/>
        <w:gridCol w:w="688"/>
      </w:tblGrid>
      <w:tr>
        <w:trPr>
          <w:tblHeader w:val="on"/>
        </w:trPr>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技术路线</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关键载体/形式</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主要技术难点</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典型解决思路/实验结果</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来源</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重组酶+口服递送</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PLGA纳米颗粒、肠溶剂型</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胃酸/蛋白酶降解、肠道吸收</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PLGA纳米粒粒径约229</w:t>
            </w:r>
            <w:r>
              <w:t xml:space="preserve"> </w:t>
            </w:r>
            <w:r>
              <w:rPr>
                <w:rFonts w:hint="eastAsia"/>
              </w:rPr>
              <w:t xml:space="preserve">nm，包封率&gt;80%，可在体外降解尿酸晶体，具肠道靶向潜力</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40">
              <w:r>
                <w:rPr>
                  <w:rStyle w:val="38"/>
                </w:rPr>
                <w:t xml:space="preserve">22</w:t>
              </w:r>
            </w:hyperlink>
            <w:r>
              <w:t xml:space="preserve">]</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工程菌</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乳酸杆菌等食用菌</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基因稳定性、定植、安全性（转基因泄漏）</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构建pMG36e-U质粒导入乳酸杆菌，工程菌裂解液有尿酸氧化酶活性；甲醛灭活制成“不可繁殖”工程菌微囊，包封率&gt;99%，体外降尿酸能力虽降约85%但仍有效</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23">
              <w:r>
                <w:rPr>
                  <w:rStyle w:val="38"/>
                </w:rPr>
                <w:t xml:space="preserve">10</w:t>
              </w:r>
            </w:hyperlink>
            <w:r>
              <w:t xml:space="preserve">][</w:t>
            </w:r>
            <w:hyperlink r:id="rId22">
              <w:r>
                <w:rPr>
                  <w:rStyle w:val="38"/>
                </w:rPr>
                <w:t xml:space="preserve">9</w:t>
              </w:r>
            </w:hyperlink>
            <w:r>
              <w:t xml:space="preserve">]</w:t>
            </w:r>
          </w:p>
        </w:tc>
      </w:tr>
      <w:tr>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工程菌分泌平台</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合成生物学工程益生菌</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蛋白分泌效率、穿透肠屏障能力</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工程菌“零型分泌系统”可在肠道稳定释放蛋白，并经肠上皮转运进入血液，在动物模型中展现治疗效应</w:t>
            </w:r>
          </w:p>
        </w:tc>
        <w:tc>
          <w:tcPr>
            <w:shd w:fill="FFFFFF"/>
            <w:tcBorders>
              <w:top w:val="none" w:sz="0" w:space="0" w:color="000000"/>
              <w:bottom w:val="single" w:sz="12" w:space="0" w:color="000000"/>
              <w:left w:val="none" w:sz="0" w:space="0" w:color="000000"/>
              <w:right w:val="none" w:sz="0" w:space="0" w:color="000000"/>
            </w:tcBorders>
          </w:tcPr>
          <w:p>
            <w:pPr>
              <w:pStyle w:val="Compact"/>
            </w:pPr>
            <w:r>
              <w:t xml:space="preserve">[</w:t>
            </w:r>
            <w:hyperlink r:id="rId41">
              <w:r>
                <w:rPr>
                  <w:rStyle w:val="38"/>
                </w:rPr>
                <w:t xml:space="preserve">23</w:t>
              </w:r>
            </w:hyperlink>
            <w:r>
              <w:t xml:space="preserve">][</w:t>
            </w:r>
            <w:hyperlink r:id="rId42">
              <w:r>
                <w:rPr>
                  <w:rStyle w:val="38"/>
                </w:rPr>
                <w:t xml:space="preserve">24</w:t>
              </w:r>
            </w:hyperlink>
            <w:r>
              <w:t xml:space="preserve">]</w:t>
            </w:r>
          </w:p>
        </w:tc>
      </w:tr>
    </w:tbl>
    <w:p>
      <w:pPr>
        <w:pStyle w:val="7"/>
      </w:pPr>
      <w:r>
        <w:rPr>
          <w:rFonts w:hint="eastAsia"/>
        </w:rPr>
        <w:t xml:space="preserve">总体来看，中国在工程菌和微囊化方向已有较多实验室研究积累，但尚未有进入临床的口服尿酸酶品种；国际上，Allena的ALLN‑346采用的是“口服酶+肠道局部起效”的路线。</w:t>
      </w:r>
    </w:p>
    <w:bookmarkEnd w:id="43"/>
    <w:bookmarkStart w:id="47" w:name="全球临床在研项目alln346为唯一明确进展的代表"/>
    <w:p>
      <w:pPr>
        <w:pStyle w:val="4"/>
      </w:pPr>
      <w:r>
        <w:t xml:space="preserve">3.2 </w:t>
      </w:r>
      <w:r>
        <w:rPr>
          <w:rFonts w:hint="eastAsia"/>
        </w:rPr>
        <w:t xml:space="preserve">全球临床在研项目：ALLN‑346为唯一明确进展的代表</w:t>
      </w:r>
    </w:p>
    <w:p>
      <w:pPr>
        <w:pStyle w:val="FirstParagraph"/>
      </w:pPr>
      <w:r>
        <w:t xml:space="preserve">Allena </w:t>
      </w:r>
      <w:r>
        <w:rPr>
          <w:rFonts w:hint="eastAsia"/>
        </w:rPr>
        <w:t xml:space="preserve">Pharmaceuticals的ALLN‑346是目前唯一公开的进入2期临床的口服尿酸酶候选药物。[</w:t>
      </w:r>
      <w:hyperlink r:id="rId20">
        <w:r>
          <w:rPr>
            <w:rStyle w:val="38"/>
          </w:rPr>
          <w:t xml:space="preserve">7</w:t>
        </w:r>
      </w:hyperlink>
      <w:r>
        <w:t xml:space="preserve">][</w:t>
      </w:r>
      <w:hyperlink r:id="rId21">
        <w:r>
          <w:rPr>
            <w:rStyle w:val="38"/>
          </w:rPr>
          <w:t xml:space="preserve">8</w:t>
        </w:r>
      </w:hyperlink>
      <w:r>
        <w:t xml:space="preserve">]</w:t>
      </w:r>
    </w:p>
    <w:bookmarkStart w:id="44" w:name="作用机制与定位"/>
    <w:p>
      <w:pPr>
        <w:pStyle w:val="5"/>
      </w:pPr>
      <w:r>
        <w:t xml:space="preserve">3.2.1 </w:t>
      </w:r>
      <w:r>
        <w:rPr>
          <w:rFonts w:hint="eastAsia"/>
        </w:rPr>
        <w:t xml:space="preserve">作用机制与定位</w:t>
      </w:r>
    </w:p>
    <w:p>
      <w:pPr>
        <w:pStyle w:val="Compact"/>
        <w:numPr>
          <w:ilvl w:val="0"/>
          <w:numId w:val="1009"/>
        </w:numPr>
      </w:pPr>
      <w:r>
        <w:rPr>
          <w:rFonts w:hint="eastAsia"/>
        </w:rPr>
        <w:t xml:space="preserve">设计为</w:t>
      </w:r>
      <w:r>
        <w:rPr>
          <w:rFonts w:hint="eastAsia"/>
          <w:b/>
          <w:bCs/>
        </w:rPr>
        <w:t xml:space="preserve">口服、非系统吸收</w:t>
      </w:r>
      <w:r>
        <w:rPr>
          <w:rFonts w:hint="eastAsia"/>
        </w:rPr>
        <w:t xml:space="preserve">的尿酸酶，作用于肠腔内尿酸，从而减少系统尿酸负荷。</w:t>
      </w:r>
    </w:p>
    <w:p>
      <w:pPr>
        <w:pStyle w:val="Compact"/>
        <w:numPr>
          <w:ilvl w:val="0"/>
          <w:numId w:val="1009"/>
        </w:numPr>
      </w:pPr>
      <w:r>
        <w:rPr>
          <w:rFonts w:hint="eastAsia"/>
        </w:rPr>
        <w:t xml:space="preserve">专门针对</w:t>
      </w:r>
      <w:r>
        <w:rPr>
          <w:rFonts w:hint="eastAsia"/>
          <w:b/>
          <w:bCs/>
        </w:rPr>
        <w:t xml:space="preserve">痛风合并CKD患者</w:t>
      </w:r>
      <w:r>
        <w:rPr>
          <w:rFonts w:hint="eastAsia"/>
        </w:rPr>
        <w:t xml:space="preserve">，利用CKD患者肠道成为主要尿酸排泄途径的生理改变。[</w:t>
      </w:r>
      <w:hyperlink r:id="rId21">
        <w:r>
          <w:rPr>
            <w:rStyle w:val="38"/>
          </w:rPr>
          <w:t xml:space="preserve">8</w:t>
        </w:r>
      </w:hyperlink>
      <w:r>
        <w:t xml:space="preserve">]</w:t>
      </w:r>
    </w:p>
    <w:bookmarkEnd w:id="44"/>
    <w:bookmarkStart w:id="46" w:name="临床试验设计与初步结果"/>
    <w:p>
      <w:pPr>
        <w:pStyle w:val="5"/>
      </w:pPr>
      <w:r>
        <w:t xml:space="preserve">3.2.2 </w:t>
      </w:r>
      <w:r>
        <w:rPr>
          <w:rFonts w:hint="eastAsia"/>
        </w:rPr>
        <w:t xml:space="preserve">临床试验设计与初步结果</w:t>
      </w:r>
    </w:p>
    <w:tbl>
      <w:tblPr>
        <w:tblStyle w:val="Table"/>
        <w:tblW w:type="pct" w:w="5000"/>
        <w:tblLayout w:type="fixed"/>
        <w:tblLook w:firstRow="1" w:lastRow="0" w:firstColumn="0" w:lastColumn="0" w:noHBand="0" w:noVBand="0" w:val="0020"/>
      </w:tblPr>
      <w:tblGrid>
        <w:gridCol w:w="1182"/>
        <w:gridCol w:w="709"/>
        <w:gridCol w:w="1182"/>
        <w:gridCol w:w="1182"/>
        <w:gridCol w:w="2955"/>
        <w:gridCol w:w="709"/>
      </w:tblGrid>
      <w:tr>
        <w:trPr>
          <w:tblHeader w:val="on"/>
        </w:trPr>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试验编号</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阶段</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设计要点</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患者人群</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主要观察指标与初步结果</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来源</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1b研究</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1b</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健康志愿者，单多次给药，评估安全与吸收</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健康受试者</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无系统性吸收证据；安全性良好，无严重不良事件</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21">
              <w:r>
                <w:rPr>
                  <w:rStyle w:val="38"/>
                </w:rPr>
                <w:t xml:space="preserve">8</w:t>
              </w:r>
            </w:hyperlink>
            <w:r>
              <w:t xml:space="preserve">]</w:t>
            </w:r>
          </w:p>
        </w:tc>
      </w:tr>
      <w:tr>
        <w:tc>
          <w:tcPr>
            <w:shd w:fill="FFFFFF"/>
            <w:tcBorders>
              <w:top w:val="none" w:sz="0" w:space="0" w:color="000000"/>
              <w:bottom w:val="none" w:sz="0" w:space="0" w:color="000000"/>
              <w:left w:val="none" w:sz="0" w:space="0" w:color="000000"/>
              <w:right w:val="none" w:sz="0" w:space="0" w:color="000000"/>
            </w:tcBorders>
          </w:tcPr>
          <w:p>
            <w:pPr>
              <w:pStyle w:val="Compact"/>
            </w:pPr>
            <w:r>
              <w:t xml:space="preserve">201 </w:t>
            </w:r>
            <w:r>
              <w:rPr>
                <w:rFonts w:hint="eastAsia"/>
              </w:rPr>
              <w:t xml:space="preserve">研究</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2a（住院）</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每队列12例高尿酸血症患者，2:1随机至ALLN‑346（5粒</w:t>
            </w:r>
            <w:r>
              <w:t xml:space="preserve"> </w:t>
            </w:r>
            <w:r>
              <w:rPr>
                <w:rFonts w:hint="eastAsia"/>
              </w:rPr>
              <w:t xml:space="preserve">TID）或安慰剂，住院7天</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高尿酸血症（具体范围未披露）</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第一个队列：ALLN‑346组较安慰剂组血清尿酸显著下降（p&lt;0.05）；降幅与肾功能（eGFR）显著相关（r=0.95,</w:t>
            </w:r>
            <w:r>
              <w:t xml:space="preserve"> </w:t>
            </w:r>
            <w:r>
              <w:rPr>
                <w:rFonts w:hint="eastAsia"/>
              </w:rPr>
              <w:t xml:space="preserve">p=0.003）</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20">
              <w:r>
                <w:rPr>
                  <w:rStyle w:val="38"/>
                </w:rPr>
                <w:t xml:space="preserve">7</w:t>
              </w:r>
            </w:hyperlink>
            <w:r>
              <w:t xml:space="preserve">]</w:t>
            </w:r>
          </w:p>
        </w:tc>
      </w:tr>
      <w:tr>
        <w:tc>
          <w:tcPr>
            <w:shd w:fill="FFFFFF"/>
            <w:tcBorders>
              <w:top w:val="none" w:sz="0" w:space="0" w:color="000000"/>
              <w:bottom w:val="single" w:sz="12" w:space="0" w:color="000000"/>
              <w:left w:val="none" w:sz="0" w:space="0" w:color="000000"/>
              <w:right w:val="none" w:sz="0" w:space="0" w:color="000000"/>
            </w:tcBorders>
          </w:tcPr>
          <w:p>
            <w:pPr>
              <w:pStyle w:val="Compact"/>
            </w:pPr>
            <w:r>
              <w:t xml:space="preserve">202 </w:t>
            </w:r>
            <w:r>
              <w:rPr>
                <w:rFonts w:hint="eastAsia"/>
              </w:rPr>
              <w:t xml:space="preserve">研究</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2a（门诊）</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计划4个队列，每队列12例痛风+CKD</w:t>
            </w:r>
            <w:r>
              <w:t xml:space="preserve"> </w:t>
            </w:r>
            <w:r>
              <w:rPr>
                <w:rFonts w:hint="eastAsia"/>
              </w:rPr>
              <w:t xml:space="preserve">2–3期患者，随机2:1试验药/安慰剂，疗程两周</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痛风+轻中度CKD</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A、B队列（CKD</w:t>
            </w:r>
            <w:r>
              <w:t xml:space="preserve"> </w:t>
            </w:r>
            <w:r>
              <w:rPr>
                <w:rFonts w:hint="eastAsia"/>
              </w:rPr>
              <w:t xml:space="preserve">2期和3期）入组完成；顶线数据预计于2022年一季度公布（后续结果信息未提供）</w:t>
            </w:r>
          </w:p>
        </w:tc>
        <w:tc>
          <w:tcPr>
            <w:shd w:fill="FFFFFF"/>
            <w:tcBorders>
              <w:top w:val="none" w:sz="0" w:space="0" w:color="000000"/>
              <w:bottom w:val="single" w:sz="12" w:space="0" w:color="000000"/>
              <w:left w:val="none" w:sz="0" w:space="0" w:color="000000"/>
              <w:right w:val="none" w:sz="0" w:space="0" w:color="000000"/>
            </w:tcBorders>
          </w:tcPr>
          <w:p>
            <w:pPr>
              <w:pStyle w:val="Compact"/>
            </w:pPr>
            <w:r>
              <w:t xml:space="preserve">[</w:t>
            </w:r>
            <w:hyperlink r:id="rId20">
              <w:r>
                <w:rPr>
                  <w:rStyle w:val="38"/>
                </w:rPr>
                <w:t xml:space="preserve">7</w:t>
              </w:r>
            </w:hyperlink>
            <w:r>
              <w:t xml:space="preserve">][</w:t>
            </w:r>
            <w:hyperlink r:id="rId45">
              <w:r>
                <w:rPr>
                  <w:rStyle w:val="38"/>
                </w:rPr>
                <w:t xml:space="preserve">25</w:t>
              </w:r>
            </w:hyperlink>
            <w:r>
              <w:t xml:space="preserve">]</w:t>
            </w:r>
          </w:p>
        </w:tc>
      </w:tr>
    </w:tbl>
    <w:p>
      <w:pPr>
        <w:pStyle w:val="7"/>
      </w:pPr>
      <w:r>
        <w:rPr>
          <w:rFonts w:hint="eastAsia"/>
        </w:rPr>
        <w:t xml:space="preserve">安全性方面，迄今披露研究未见严重不良事件，耐受性良好。[</w:t>
      </w:r>
      <w:hyperlink r:id="rId21">
        <w:r>
          <w:rPr>
            <w:rStyle w:val="38"/>
          </w:rPr>
          <w:t xml:space="preserve">8</w:t>
        </w:r>
      </w:hyperlink>
      <w:r>
        <w:t xml:space="preserve">][</w:t>
      </w:r>
      <w:hyperlink r:id="rId20">
        <w:r>
          <w:rPr>
            <w:rStyle w:val="38"/>
          </w:rPr>
          <w:t xml:space="preserve">7</w:t>
        </w:r>
      </w:hyperlink>
      <w:r>
        <w:t xml:space="preserve">] </w:t>
      </w:r>
      <w:r>
        <w:rPr>
          <w:rFonts w:hint="eastAsia"/>
        </w:rPr>
        <w:t xml:space="preserve">FDA已授予ALLN‑346用于痛风合并晚期CKD高尿酸血症的快速通道资格，反映其在该人群中的潜在未满足需求与创新性。[</w:t>
      </w:r>
      <w:hyperlink r:id="rId21">
        <w:r>
          <w:rPr>
            <w:rStyle w:val="38"/>
          </w:rPr>
          <w:t xml:space="preserve">8</w:t>
        </w:r>
      </w:hyperlink>
      <w:r>
        <w:t xml:space="preserve">]</w:t>
      </w:r>
    </w:p>
    <w:bookmarkEnd w:id="46"/>
    <w:bookmarkEnd w:id="47"/>
    <w:bookmarkStart w:id="50" w:name="中国研发与科研布局"/>
    <w:p>
      <w:pPr>
        <w:pStyle w:val="4"/>
      </w:pPr>
      <w:r>
        <w:t xml:space="preserve">3.3 </w:t>
      </w:r>
      <w:r>
        <w:rPr>
          <w:rFonts w:hint="eastAsia"/>
        </w:rPr>
        <w:t xml:space="preserve">中国研发与科研布局</w:t>
      </w:r>
    </w:p>
    <w:p>
      <w:pPr>
        <w:pStyle w:val="FirstParagraph"/>
      </w:pPr>
      <w:r>
        <w:rPr>
          <w:rFonts w:hint="eastAsia"/>
        </w:rPr>
        <w:t xml:space="preserve">目前公开信息显示，中国尚无进入临床阶段的口服尿酸酶项目；现有企业（君实生物、中国生物等）均聚焦于</w:t>
      </w:r>
      <w:r>
        <w:rPr>
          <w:rFonts w:hint="eastAsia"/>
          <w:b/>
          <w:bCs/>
        </w:rPr>
        <w:t xml:space="preserve">注射用PEG化尿酸酶</w:t>
      </w:r>
      <w:r>
        <w:t xml:space="preserve">。[</w:t>
      </w:r>
      <w:hyperlink r:id="rId48">
        <w:r>
          <w:rPr>
            <w:rStyle w:val="38"/>
          </w:rPr>
          <w:t xml:space="preserve">26</w:t>
        </w:r>
      </w:hyperlink>
      <w:r>
        <w:t xml:space="preserve">][</w:t>
      </w:r>
      <w:hyperlink r:id="rId49">
        <w:r>
          <w:rPr>
            <w:rStyle w:val="38"/>
          </w:rPr>
          <w:t xml:space="preserve">27</w:t>
        </w:r>
      </w:hyperlink>
      <w:r>
        <w:t xml:space="preserve">] </w:t>
      </w:r>
      <w:r>
        <w:rPr>
          <w:rFonts w:hint="eastAsia"/>
        </w:rPr>
        <w:t xml:space="preserve">口服方向主要体现在高校和研究机构层面：</w:t>
      </w:r>
    </w:p>
    <w:tbl>
      <w:tblPr>
        <w:tblStyle w:val="Table"/>
        <w:tblW w:type="pct" w:w="5000"/>
        <w:tblLayout w:type="fixed"/>
        <w:tblLook w:firstRow="1" w:lastRow="0" w:firstColumn="0" w:lastColumn="0" w:noHBand="0" w:noVBand="0" w:val="0020"/>
      </w:tblPr>
      <w:tblGrid>
        <w:gridCol w:w="1485"/>
        <w:gridCol w:w="2475"/>
        <w:gridCol w:w="2475"/>
        <w:gridCol w:w="1485"/>
      </w:tblGrid>
      <w:tr>
        <w:trPr>
          <w:tblHeader w:val="on"/>
        </w:trPr>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单位</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技术方向</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进展状态</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来源</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中南大学湘雅二医院</w:t>
            </w:r>
            <w:r>
              <w:t xml:space="preserve"> &amp; </w:t>
            </w:r>
            <w:r>
              <w:rPr>
                <w:rFonts w:hint="eastAsia"/>
              </w:rPr>
              <w:t xml:space="preserve">重庆工商大学</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保加利亚乳酸杆菌表达尿酸氧化酶工程菌；甲醛灭活+壳聚糖/海藻酸钠微囊化</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体外实验，证明工程菌与微囊化形态可降解尿酸</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23">
              <w:r>
                <w:rPr>
                  <w:rStyle w:val="38"/>
                </w:rPr>
                <w:t xml:space="preserve">10</w:t>
              </w:r>
            </w:hyperlink>
            <w:r>
              <w:t xml:space="preserve">][</w:t>
            </w:r>
            <w:hyperlink r:id="rId22">
              <w:r>
                <w:rPr>
                  <w:rStyle w:val="38"/>
                </w:rPr>
                <w:t xml:space="preserve">9</w:t>
              </w:r>
            </w:hyperlink>
            <w:r>
              <w:t xml:space="preserve">]</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北航</w:t>
            </w:r>
            <w:r>
              <w:t xml:space="preserve"> &amp; </w:t>
            </w:r>
            <w:r>
              <w:rPr>
                <w:rFonts w:hint="eastAsia"/>
              </w:rPr>
              <w:t xml:space="preserve">国家纳米科学中心等</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工程益生菌“零型分泌系统”口服蛋白递送平台</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在动物模型中实现口服蛋白跨肠道屏障，具平台潜力</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41">
              <w:r>
                <w:rPr>
                  <w:rStyle w:val="38"/>
                </w:rPr>
                <w:t xml:space="preserve">23</w:t>
              </w:r>
            </w:hyperlink>
            <w:r>
              <w:t xml:space="preserve">]</w:t>
            </w:r>
          </w:p>
        </w:tc>
      </w:tr>
      <w:tr>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农科院团队</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口服酶跨越肠道屏障理念，工程改造提高转运效率</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概念与实验层面，未特指尿酸酶</w:t>
            </w:r>
          </w:p>
        </w:tc>
        <w:tc>
          <w:tcPr>
            <w:shd w:fill="FFFFFF"/>
            <w:tcBorders>
              <w:top w:val="none" w:sz="0" w:space="0" w:color="000000"/>
              <w:bottom w:val="single" w:sz="12" w:space="0" w:color="000000"/>
              <w:left w:val="none" w:sz="0" w:space="0" w:color="000000"/>
              <w:right w:val="none" w:sz="0" w:space="0" w:color="000000"/>
            </w:tcBorders>
          </w:tcPr>
          <w:p>
            <w:pPr>
              <w:pStyle w:val="Compact"/>
            </w:pPr>
            <w:r>
              <w:t xml:space="preserve">[</w:t>
            </w:r>
            <w:hyperlink r:id="rId42">
              <w:r>
                <w:rPr>
                  <w:rStyle w:val="38"/>
                </w:rPr>
                <w:t xml:space="preserve">24</w:t>
              </w:r>
            </w:hyperlink>
            <w:r>
              <w:t xml:space="preserve">]</w:t>
            </w:r>
          </w:p>
        </w:tc>
      </w:tr>
    </w:tbl>
    <w:p>
      <w:pPr>
        <w:pStyle w:val="7"/>
      </w:pPr>
      <w:r>
        <w:rPr>
          <w:rFonts w:hint="eastAsia"/>
        </w:rPr>
        <w:t xml:space="preserve">这表明中国具有一定的合成生物学和口服蛋白递送基础，但尚未完成向尿酸酶具体产品的系统转化。</w:t>
      </w:r>
    </w:p>
    <w:p>
      <w:r>
        <w:pict>
          <v:rect style="width:0;height:1.5pt" o:hralign="center" o:hrstd="t" o:hr="t"/>
        </w:pict>
      </w:r>
    </w:p>
    <w:bookmarkEnd w:id="50"/>
    <w:bookmarkEnd w:id="51"/>
    <w:bookmarkStart w:id="54" w:name="四专利与知识产权格局及fto初步分析"/>
    <w:p>
      <w:pPr>
        <w:pStyle w:val="3"/>
      </w:pPr>
      <w:r>
        <w:rPr>
          <w:rFonts w:hint="eastAsia"/>
        </w:rPr>
        <w:t xml:space="preserve">四、专利与知识产权格局及FTO初步分析</w:t>
      </w:r>
    </w:p>
    <w:bookmarkStart w:id="52" w:name="关键专利族与技术要点"/>
    <w:p>
      <w:pPr>
        <w:pStyle w:val="4"/>
      </w:pPr>
      <w:r>
        <w:t xml:space="preserve">4.1 </w:t>
      </w:r>
      <w:r>
        <w:rPr>
          <w:rFonts w:hint="eastAsia"/>
        </w:rPr>
        <w:t xml:space="preserve">关键专利族与技术要点</w:t>
      </w:r>
    </w:p>
    <w:tbl>
      <w:tblPr>
        <w:tblStyle w:val="Table"/>
        <w:tblW w:type="pct" w:w="5000"/>
        <w:tblLayout w:type="fixed"/>
        <w:tblLook w:firstRow="1" w:lastRow="0" w:firstColumn="0" w:lastColumn="0" w:noHBand="0" w:noVBand="0" w:val="0020"/>
      </w:tblPr>
      <w:tblGrid>
        <w:gridCol w:w="1863"/>
        <w:gridCol w:w="1164"/>
        <w:gridCol w:w="1164"/>
        <w:gridCol w:w="2562"/>
        <w:gridCol w:w="1164"/>
      </w:tblGrid>
      <w:tr>
        <w:trPr>
          <w:tblHeader w:val="on"/>
        </w:trPr>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专利族/权利人</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技术类别</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核心内容</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申请时间与到期预测</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可能影响</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布朗大学：US20050123529A1</w:t>
            </w:r>
            <w:r>
              <w:t xml:space="preserve"> </w:t>
            </w:r>
            <w:r>
              <w:rPr>
                <w:rFonts w:hint="eastAsia"/>
              </w:rPr>
              <w:t xml:space="preserve">等</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口服酶递送平台</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口服递送尿毒症毒素治疗酶（包括尿酸酶）的组合物，使酶基本不被消化到达肠道</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优先权约2003–2004年，预计2024–2025年到期</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作为基础性口服酶平台，可能对广义“口服尿酸酶组合物”构成早期阻碍；到期后形成“技术空窗”</w:t>
            </w:r>
          </w:p>
        </w:tc>
      </w:tr>
      <w:tr>
        <w:tc>
          <w:tcPr>
            <w:shd w:fill="FFFFFF"/>
            <w:tcBorders>
              <w:top w:val="none" w:sz="0" w:space="0" w:color="000000"/>
              <w:bottom w:val="none" w:sz="0" w:space="0" w:color="000000"/>
              <w:left w:val="none" w:sz="0" w:space="0" w:color="000000"/>
              <w:right w:val="none" w:sz="0" w:space="0" w:color="000000"/>
            </w:tcBorders>
          </w:tcPr>
          <w:p>
            <w:pPr>
              <w:pStyle w:val="Compact"/>
            </w:pPr>
            <w:r>
              <w:t xml:space="preserve">Horizon </w:t>
            </w:r>
            <w:r>
              <w:rPr>
                <w:rFonts w:hint="eastAsia"/>
              </w:rPr>
              <w:t xml:space="preserve">Therapeutics：US9017980B2</w:t>
            </w:r>
            <w:r>
              <w:t xml:space="preserve"> </w:t>
            </w:r>
            <w:r>
              <w:rPr>
                <w:rFonts w:hint="eastAsia"/>
              </w:rPr>
              <w:t xml:space="preserve">等</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尿酸酶变体</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截短及PEG化尿酸氧化酶变体，提高稳定性与半衰期</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优先权2006年左右，预计2026年前后到期</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主要限制类似分子构型的注射或系统暴露尿酸酶，对局部肠道非吸收型酶的约束需具体比对</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PROABTECH：US20230211002A1</w:t>
            </w:r>
            <w:r>
              <w:t xml:space="preserve"> </w:t>
            </w:r>
            <w:r>
              <w:rPr>
                <w:rFonts w:hint="eastAsia"/>
              </w:rPr>
              <w:t xml:space="preserve">等</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尿酸酶‑白蛋白偶联</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≥3个白蛋白通过接头与尿酸酶变体偶联，延长半衰期、降低免疫原性</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2021年申请，约2041年到期</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强化长效系统暴露型尿酸酶</w:t>
            </w:r>
            <w:r>
              <w:t xml:space="preserve"> FTO </w:t>
            </w:r>
            <w:r>
              <w:rPr>
                <w:rFonts w:hint="eastAsia"/>
              </w:rPr>
              <w:t xml:space="preserve">门槛，主要影响注射或系统吸收产品</w:t>
            </w:r>
          </w:p>
        </w:tc>
      </w:tr>
      <w:tr>
        <w:tc>
          <w:tcPr>
            <w:shd w:fill="FFFFFF"/>
            <w:tcBorders>
              <w:top w:val="none" w:sz="0" w:space="0" w:color="000000"/>
              <w:bottom w:val="single" w:sz="12" w:space="0" w:color="000000"/>
              <w:left w:val="none" w:sz="0" w:space="0" w:color="000000"/>
              <w:right w:val="none" w:sz="0" w:space="0" w:color="000000"/>
            </w:tcBorders>
          </w:tcPr>
          <w:p>
            <w:pPr>
              <w:pStyle w:val="Compact"/>
            </w:pPr>
            <w:r>
              <w:t xml:space="preserve">Allena Pharmaceuticals</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胰腺稳定性改良尿酸酶</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通过突变提升在胰液环境中稳定性</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2018年申请，约2038年到期</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可能覆盖ALLN‑346所用酶分子，影响同类口服酶构型绕开空间</w:t>
            </w:r>
          </w:p>
        </w:tc>
      </w:tr>
    </w:tbl>
    <w:p>
      <w:pPr>
        <w:pStyle w:val="7"/>
      </w:pPr>
      <w:r>
        <w:rPr>
          <w:rFonts w:hint="eastAsia"/>
        </w:rPr>
        <w:t xml:space="preserve">现有资料未系统披露各专利在中国CNIPA的授权状态，属于“信息未提供”。</w:t>
      </w:r>
    </w:p>
    <w:bookmarkEnd w:id="52"/>
    <w:bookmarkStart w:id="53" w:name="中国视角下的fto机会与风险"/>
    <w:p>
      <w:pPr>
        <w:pStyle w:val="4"/>
      </w:pPr>
      <w:r>
        <w:t xml:space="preserve">4.2 </w:t>
      </w:r>
      <w:r>
        <w:rPr>
          <w:rFonts w:hint="eastAsia"/>
        </w:rPr>
        <w:t xml:space="preserve">中国视角下的FTO机会与风险</w:t>
      </w:r>
    </w:p>
    <w:p>
      <w:pPr>
        <w:pStyle w:val="FirstParagraph"/>
      </w:pPr>
      <w:r>
        <w:rPr>
          <w:rFonts w:hint="eastAsia"/>
        </w:rPr>
        <w:t xml:space="preserve">基于现有有限信息，可得出以下初步判断（需后续系统专利检索验证）：</w:t>
      </w:r>
    </w:p>
    <w:p>
      <w:pPr>
        <w:pStyle w:val="Compact"/>
        <w:numPr>
          <w:ilvl w:val="0"/>
          <w:numId w:val="1010"/>
        </w:numPr>
      </w:pPr>
      <w:r>
        <w:rPr>
          <w:rFonts w:hint="eastAsia"/>
          <w:b/>
          <w:bCs/>
        </w:rPr>
        <w:t xml:space="preserve">基础平台专利到期带来的窗口</w:t>
      </w:r>
      <w:r>
        <w:rPr>
          <w:rFonts w:hint="eastAsia"/>
        </w:rPr>
        <w:t xml:space="preserve">：布朗大学口服酶组合物专利即将到期，为“酶+保护性载体”的一般概念留出空间。[</w:t>
      </w:r>
      <w:hyperlink r:id="rId25">
        <w:r>
          <w:rPr>
            <w:rStyle w:val="38"/>
          </w:rPr>
          <w:t xml:space="preserve">12</w:t>
        </w:r>
      </w:hyperlink>
      <w:r>
        <w:t xml:space="preserve">]</w:t>
      </w:r>
    </w:p>
    <w:p>
      <w:pPr>
        <w:pStyle w:val="Compact"/>
        <w:numPr>
          <w:ilvl w:val="0"/>
          <w:numId w:val="1010"/>
        </w:numPr>
      </w:pPr>
      <w:r>
        <w:rPr>
          <w:rFonts w:hint="eastAsia"/>
          <w:b/>
          <w:bCs/>
        </w:rPr>
        <w:t xml:space="preserve">分子专利的限制</w:t>
      </w:r>
      <w:r>
        <w:rPr>
          <w:rFonts w:hint="eastAsia"/>
        </w:rPr>
        <w:t xml:space="preserve">：Horizon、Allena、PROABTECH</w:t>
      </w:r>
      <w:r>
        <w:t xml:space="preserve"> </w:t>
      </w:r>
      <w:r>
        <w:rPr>
          <w:rFonts w:hint="eastAsia"/>
        </w:rPr>
        <w:t xml:space="preserve">等的变体、偶联或稳定性突变专利，可能限制相同或高度相似序列与偶联方式的使用。[</w:t>
      </w:r>
      <w:hyperlink r:id="rId24">
        <w:r>
          <w:rPr>
            <w:rStyle w:val="38"/>
          </w:rPr>
          <w:t xml:space="preserve">11</w:t>
        </w:r>
      </w:hyperlink>
      <w:r>
        <w:t xml:space="preserve">][</w:t>
      </w:r>
      <w:hyperlink r:id="rId26">
        <w:r>
          <w:rPr>
            <w:rStyle w:val="38"/>
          </w:rPr>
          <w:t xml:space="preserve">13</w:t>
        </w:r>
      </w:hyperlink>
      <w:r>
        <w:t xml:space="preserve">]</w:t>
      </w:r>
    </w:p>
    <w:p>
      <w:pPr>
        <w:pStyle w:val="Compact"/>
        <w:numPr>
          <w:ilvl w:val="0"/>
          <w:numId w:val="1010"/>
        </w:numPr>
      </w:pPr>
      <w:r>
        <w:rPr>
          <w:rFonts w:hint="eastAsia"/>
          <w:b/>
          <w:bCs/>
        </w:rPr>
        <w:t xml:space="preserve">工程菌与微囊化技术的空白</w:t>
      </w:r>
      <w:r>
        <w:rPr>
          <w:rFonts w:hint="eastAsia"/>
        </w:rPr>
        <w:t xml:space="preserve">：现有文献中未见强势覆盖“口服工程菌表达尿酸酶+微囊化”方案的全球专利族记载；中国本土在工程菌构建与微囊材料方面已有一定专利与论文积累。[</w:t>
      </w:r>
      <w:hyperlink r:id="rId23">
        <w:r>
          <w:rPr>
            <w:rStyle w:val="38"/>
          </w:rPr>
          <w:t xml:space="preserve">10</w:t>
        </w:r>
      </w:hyperlink>
      <w:r>
        <w:t xml:space="preserve">][</w:t>
      </w:r>
      <w:hyperlink r:id="rId22">
        <w:r>
          <w:rPr>
            <w:rStyle w:val="38"/>
          </w:rPr>
          <w:t xml:space="preserve">9</w:t>
        </w:r>
      </w:hyperlink>
      <w:r>
        <w:t xml:space="preserve">] </w:t>
      </w:r>
      <w:r>
        <w:rPr>
          <w:rFonts w:hint="eastAsia"/>
        </w:rPr>
        <w:t xml:space="preserve">这可能为中国企业围绕工程菌+特殊包封技术布局自主专利提供机会。</w:t>
      </w:r>
    </w:p>
    <w:p>
      <w:pPr>
        <w:pStyle w:val="FirstParagraph"/>
      </w:pPr>
      <w:r>
        <w:rPr>
          <w:rFonts w:hint="eastAsia"/>
        </w:rPr>
        <w:t xml:space="preserve">总体而言，针对面向肠腔局部作用、非系统吸收的口服尿酸酶，以及工程菌/微囊化等技术路线，中国企业存在通过差异化分子设计与递送方案实现FTO的可能，但必须基于完整CN/US/EU/JP</w:t>
      </w:r>
      <w:r>
        <w:t xml:space="preserve"> </w:t>
      </w:r>
      <w:r>
        <w:rPr>
          <w:rFonts w:hint="eastAsia"/>
        </w:rPr>
        <w:t xml:space="preserve">专利族及法律状态开展更系统的评估。</w:t>
      </w:r>
    </w:p>
    <w:p>
      <w:r>
        <w:pict>
          <v:rect style="width:0;height:1.5pt" o:hralign="center" o:hrstd="t" o:hr="t"/>
        </w:pict>
      </w:r>
    </w:p>
    <w:bookmarkEnd w:id="53"/>
    <w:bookmarkEnd w:id="54"/>
    <w:bookmarkStart w:id="72" w:name="五市场规模竞争格局与商业化环境"/>
    <w:p>
      <w:pPr>
        <w:pStyle w:val="3"/>
      </w:pPr>
      <w:r>
        <w:rPr>
          <w:rFonts w:hint="eastAsia"/>
        </w:rPr>
        <w:t xml:space="preserve">五、市场规模、竞争格局与商业化环境</w:t>
      </w:r>
    </w:p>
    <w:bookmarkStart w:id="56" w:name="全球与中国市场规模与增长"/>
    <w:p>
      <w:pPr>
        <w:pStyle w:val="4"/>
      </w:pPr>
      <w:r>
        <w:t xml:space="preserve">5.1 </w:t>
      </w:r>
      <w:r>
        <w:rPr>
          <w:rFonts w:hint="eastAsia"/>
        </w:rPr>
        <w:t xml:space="preserve">全球与中国市场规模与增长</w:t>
      </w:r>
    </w:p>
    <w:tbl>
      <w:tblPr>
        <w:tblStyle w:val="Table"/>
        <w:tblW w:type="pct" w:w="5000"/>
        <w:tblLayout w:type="fixed"/>
        <w:tblLook w:firstRow="1" w:lastRow="0" w:firstColumn="0" w:lastColumn="0" w:noHBand="0" w:noVBand="0" w:val="0020"/>
      </w:tblPr>
      <w:tblGrid>
        <w:gridCol w:w="913"/>
        <w:gridCol w:w="3503"/>
        <w:gridCol w:w="1675"/>
        <w:gridCol w:w="913"/>
        <w:gridCol w:w="913"/>
      </w:tblGrid>
      <w:tr>
        <w:trPr>
          <w:tblHeader w:val="on"/>
        </w:trPr>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市场</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b/>
                <w:sz w:val="22"/>
              </w:rPr>
              <w:t xml:space="preserve">2016–2020 </w:t>
            </w:r>
            <w:r>
              <w:rPr>
                <w:rFonts w:hint="eastAsia"/>
                <w:b/>
                <w:sz w:val="22"/>
              </w:rPr>
              <w:t xml:space="preserve">规模与趋势</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b/>
                <w:sz w:val="22"/>
              </w:rPr>
              <w:t xml:space="preserve">2030E </w:t>
            </w:r>
            <w:r>
              <w:rPr>
                <w:rFonts w:hint="eastAsia"/>
                <w:b/>
                <w:sz w:val="22"/>
              </w:rPr>
              <w:t xml:space="preserve">预测</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备注</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来源</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全球高尿酸/痛风药物</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2016–2020年由28亿美元降至26亿美元，CAGR</w:t>
            </w:r>
            <w:r>
              <w:t xml:space="preserve"> </w:t>
            </w:r>
            <w:r>
              <w:rPr>
                <w:rFonts w:hint="eastAsia"/>
              </w:rPr>
              <w:t xml:space="preserve">-1.8%；后续预计进入快速增长期</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77亿美元</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2018年七大市场规模约22.8亿美元，年增18.2%</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15">
              <w:r>
                <w:rPr>
                  <w:rStyle w:val="38"/>
                </w:rPr>
                <w:t xml:space="preserve">2</w:t>
              </w:r>
            </w:hyperlink>
            <w:r>
              <w:t xml:space="preserve">][</w:t>
            </w:r>
            <w:hyperlink r:id="rId55">
              <w:r>
                <w:rPr>
                  <w:rStyle w:val="38"/>
                </w:rPr>
                <w:t xml:space="preserve">29</w:t>
              </w:r>
            </w:hyperlink>
            <w:r>
              <w:t xml:space="preserve">]</w:t>
            </w:r>
          </w:p>
        </w:tc>
      </w:tr>
      <w:tr>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中国高尿酸/痛风药物</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2016年9亿元→2020年28亿元，增速显著高于全球</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108亿元</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近五年平均增速可达近50%（部分数据未披露具体值）</w:t>
            </w:r>
          </w:p>
        </w:tc>
        <w:tc>
          <w:tcPr>
            <w:shd w:fill="FFFFFF"/>
            <w:tcBorders>
              <w:top w:val="none" w:sz="0" w:space="0" w:color="000000"/>
              <w:bottom w:val="single" w:sz="12" w:space="0" w:color="000000"/>
              <w:left w:val="none" w:sz="0" w:space="0" w:color="000000"/>
              <w:right w:val="none" w:sz="0" w:space="0" w:color="000000"/>
            </w:tcBorders>
          </w:tcPr>
          <w:p>
            <w:pPr>
              <w:pStyle w:val="Compact"/>
            </w:pPr>
            <w:r>
              <w:t xml:space="preserve">[</w:t>
            </w:r>
            <w:hyperlink r:id="rId15">
              <w:r>
                <w:rPr>
                  <w:rStyle w:val="38"/>
                </w:rPr>
                <w:t xml:space="preserve">2</w:t>
              </w:r>
            </w:hyperlink>
            <w:r>
              <w:t xml:space="preserve">][</w:t>
            </w:r>
            <w:hyperlink r:id="rId55">
              <w:r>
                <w:rPr>
                  <w:rStyle w:val="38"/>
                </w:rPr>
                <w:t xml:space="preserve">29</w:t>
              </w:r>
            </w:hyperlink>
            <w:r>
              <w:t xml:space="preserve">]</w:t>
            </w:r>
          </w:p>
        </w:tc>
      </w:tr>
    </w:tbl>
    <w:p>
      <w:pPr>
        <w:pStyle w:val="7"/>
      </w:pPr>
      <w:r>
        <w:rPr>
          <w:rFonts w:hint="eastAsia"/>
        </w:rPr>
        <w:t xml:space="preserve">市场增长与患者基数扩张及诊疗率提升方向一致，同时也反映出高尿酸/痛风领域仍处于治疗不足阶段。</w:t>
      </w:r>
    </w:p>
    <w:bookmarkEnd w:id="56"/>
    <w:bookmarkStart w:id="62" w:name="现有药物销售与价格结构尤其为口服尿酸酶定价提供锚点"/>
    <w:p>
      <w:pPr>
        <w:pStyle w:val="4"/>
      </w:pPr>
      <w:r>
        <w:t xml:space="preserve">5.2 </w:t>
      </w:r>
      <w:r>
        <w:rPr>
          <w:rFonts w:hint="eastAsia"/>
        </w:rPr>
        <w:t xml:space="preserve">现有药物销售与价格结构（尤其为口服尿酸酶定价提供锚点）</w:t>
      </w:r>
    </w:p>
    <w:bookmarkStart w:id="60" w:name="小分子主导市场与集采降价"/>
    <w:p>
      <w:pPr>
        <w:pStyle w:val="5"/>
      </w:pPr>
      <w:r>
        <w:t xml:space="preserve">5.2.1 </w:t>
      </w:r>
      <w:r>
        <w:rPr>
          <w:rFonts w:hint="eastAsia"/>
        </w:rPr>
        <w:t xml:space="preserve">小分子主导市场与集采降价</w:t>
      </w:r>
    </w:p>
    <w:p>
      <w:pPr>
        <w:pStyle w:val="Compact"/>
        <w:numPr>
          <w:ilvl w:val="0"/>
          <w:numId w:val="1011"/>
        </w:numPr>
      </w:pPr>
      <w:r>
        <w:rPr>
          <w:rFonts w:hint="eastAsia"/>
        </w:rPr>
        <w:t xml:space="preserve">非布司他：为全球与中国使用最广泛的XOI之一，已在中国纳入国家医保目录乙类，报销比例约50–70%。[</w:t>
      </w:r>
      <w:hyperlink r:id="rId57">
        <w:r>
          <w:rPr>
            <w:rStyle w:val="38"/>
          </w:rPr>
          <w:t xml:space="preserve">30</w:t>
        </w:r>
      </w:hyperlink>
      <w:r>
        <w:t xml:space="preserve">]</w:t>
      </w:r>
    </w:p>
    <w:p>
      <w:pPr>
        <w:pStyle w:val="Compact"/>
        <w:numPr>
          <w:ilvl w:val="0"/>
          <w:numId w:val="1011"/>
        </w:numPr>
      </w:pPr>
      <w:r>
        <w:rPr>
          <w:rFonts w:hint="eastAsia"/>
        </w:rPr>
        <w:t xml:space="preserve">苯溴马隆：全球市场稳定增长，25</w:t>
      </w:r>
      <w:r>
        <w:t xml:space="preserve"> mg </w:t>
      </w:r>
      <w:r>
        <w:rPr>
          <w:rFonts w:hint="eastAsia"/>
        </w:rPr>
        <w:t xml:space="preserve">与</w:t>
      </w:r>
      <w:r>
        <w:t xml:space="preserve"> 50 mg </w:t>
      </w:r>
      <w:r>
        <w:rPr>
          <w:rFonts w:hint="eastAsia"/>
        </w:rPr>
        <w:t xml:space="preserve">两种规格广泛应用。[</w:t>
      </w:r>
      <w:hyperlink r:id="rId58">
        <w:r>
          <w:rPr>
            <w:rStyle w:val="38"/>
          </w:rPr>
          <w:t xml:space="preserve">31</w:t>
        </w:r>
      </w:hyperlink>
      <w:r>
        <w:t xml:space="preserve">]</w:t>
      </w:r>
    </w:p>
    <w:p>
      <w:pPr>
        <w:pStyle w:val="Compact"/>
        <w:numPr>
          <w:ilvl w:val="0"/>
          <w:numId w:val="1011"/>
        </w:numPr>
      </w:pPr>
      <w:r>
        <w:rPr>
          <w:rFonts w:hint="eastAsia"/>
        </w:rPr>
        <w:t xml:space="preserve">集采效应：国家组织药品带量采购在“4+7”等试点中实现平均降价52%，最高降幅&gt;90%，对传统小分子药品价格体系影响巨大。[</w:t>
      </w:r>
      <w:hyperlink r:id="rId59">
        <w:r>
          <w:rPr>
            <w:rStyle w:val="38"/>
          </w:rPr>
          <w:t xml:space="preserve">32</w:t>
        </w:r>
      </w:hyperlink>
      <w:r>
        <w:t xml:space="preserve">] </w:t>
      </w:r>
      <w:r>
        <w:rPr>
          <w:rFonts w:hint="eastAsia"/>
        </w:rPr>
        <w:t xml:space="preserve">集采中选药品价格限制非中选药品的定价空间，非集采药品价格也出现平均23%的降幅。[</w:t>
      </w:r>
      <w:hyperlink r:id="rId28">
        <w:r>
          <w:rPr>
            <w:rStyle w:val="38"/>
          </w:rPr>
          <w:t xml:space="preserve">15</w:t>
        </w:r>
      </w:hyperlink>
      <w:r>
        <w:t xml:space="preserve">]</w:t>
      </w:r>
    </w:p>
    <w:p>
      <w:pPr>
        <w:pStyle w:val="FirstParagraph"/>
      </w:pPr>
      <w:r>
        <w:rPr>
          <w:rFonts w:hint="eastAsia"/>
        </w:rPr>
        <w:t xml:space="preserve">这意味着未来任何新进入口服降尿酸小分子很难获得高价，而生物制剂/创新机制则可在合理证据支持下争取更高单价但目标人群将受限。</w:t>
      </w:r>
    </w:p>
    <w:bookmarkEnd w:id="60"/>
    <w:bookmarkStart w:id="61" w:name="注射尿酸酶的高价与定位"/>
    <w:p>
      <w:pPr>
        <w:pStyle w:val="5"/>
      </w:pPr>
      <w:r>
        <w:t xml:space="preserve">5.2.2 </w:t>
      </w:r>
      <w:r>
        <w:rPr>
          <w:rFonts w:hint="eastAsia"/>
        </w:rPr>
        <w:t xml:space="preserve">注射尿酸酶的高价与定位</w:t>
      </w:r>
    </w:p>
    <w:p>
      <w:pPr>
        <w:pStyle w:val="Compact"/>
        <w:numPr>
          <w:ilvl w:val="0"/>
          <w:numId w:val="1012"/>
        </w:numPr>
      </w:pPr>
      <w:r>
        <w:rPr>
          <w:rFonts w:hint="eastAsia"/>
        </w:rPr>
        <w:t xml:space="preserve">国际Pegloticase：单次价格约3450元/50</w:t>
      </w:r>
      <w:r>
        <w:t xml:space="preserve"> </w:t>
      </w:r>
      <w:r>
        <w:rPr>
          <w:rFonts w:hint="eastAsia"/>
        </w:rPr>
        <w:t xml:space="preserve">μg，多次治疗总费用超过30万美元。[</w:t>
      </w:r>
      <w:hyperlink r:id="rId37">
        <w:r>
          <w:rPr>
            <w:rStyle w:val="38"/>
          </w:rPr>
          <w:t xml:space="preserve">21</w:t>
        </w:r>
      </w:hyperlink>
      <w:r>
        <w:t xml:space="preserve">][</w:t>
      </w:r>
      <w:hyperlink r:id="rId18">
        <w:r>
          <w:rPr>
            <w:rStyle w:val="38"/>
          </w:rPr>
          <w:t xml:space="preserve">5</w:t>
        </w:r>
      </w:hyperlink>
      <w:r>
        <w:t xml:space="preserve">]</w:t>
      </w:r>
    </w:p>
    <w:p>
      <w:pPr>
        <w:pStyle w:val="Compact"/>
        <w:numPr>
          <w:ilvl w:val="0"/>
          <w:numId w:val="1012"/>
        </w:numPr>
      </w:pPr>
      <w:r>
        <w:rPr>
          <w:rFonts w:hint="eastAsia"/>
        </w:rPr>
        <w:t xml:space="preserve">中国拟上市PEG化尿酸酶注射液：目标定价&lt;1万元/次，比国际产品便宜约90%，但仍明显高于口服小分子。[</w:t>
      </w:r>
      <w:hyperlink r:id="rId18">
        <w:r>
          <w:rPr>
            <w:rStyle w:val="38"/>
          </w:rPr>
          <w:t xml:space="preserve">5</w:t>
        </w:r>
      </w:hyperlink>
      <w:r>
        <w:t xml:space="preserve">]</w:t>
      </w:r>
    </w:p>
    <w:p>
      <w:pPr>
        <w:pStyle w:val="FirstParagraph"/>
      </w:pPr>
      <w:r>
        <w:rPr>
          <w:rFonts w:hint="eastAsia"/>
        </w:rPr>
        <w:t xml:space="preserve">注射酶主要用于极少数难治性痛风患者，峰值销售天花板由极小人群和支付方预算共同决定；口服尿酸酶如定位于更广泛的“难治+高风险”人群，但相信价格需大幅低于注射剂，可能处于“传统小分子之上、生物注射剂之下”的中高价位层。</w:t>
      </w:r>
    </w:p>
    <w:bookmarkEnd w:id="61"/>
    <w:bookmarkEnd w:id="62"/>
    <w:bookmarkStart w:id="71" w:name="中国支付与准入环境对口服尿酸酶的启示"/>
    <w:p>
      <w:pPr>
        <w:pStyle w:val="4"/>
      </w:pPr>
      <w:r>
        <w:t xml:space="preserve">5.3 </w:t>
      </w:r>
      <w:r>
        <w:rPr>
          <w:rFonts w:hint="eastAsia"/>
        </w:rPr>
        <w:t xml:space="preserve">中国支付与准入环境：对口服尿酸酶的启示</w:t>
      </w:r>
    </w:p>
    <w:bookmarkStart w:id="65" w:name="医保与医保谈判"/>
    <w:p>
      <w:pPr>
        <w:pStyle w:val="5"/>
      </w:pPr>
      <w:r>
        <w:t xml:space="preserve">5.3.1 </w:t>
      </w:r>
      <w:r>
        <w:rPr>
          <w:rFonts w:hint="eastAsia"/>
        </w:rPr>
        <w:t xml:space="preserve">医保与医保谈判</w:t>
      </w:r>
    </w:p>
    <w:p>
      <w:pPr>
        <w:pStyle w:val="Compact"/>
        <w:numPr>
          <w:ilvl w:val="0"/>
          <w:numId w:val="1013"/>
        </w:numPr>
      </w:pPr>
      <w:r>
        <w:rPr>
          <w:rFonts w:hint="eastAsia"/>
        </w:rPr>
        <w:t xml:space="preserve">创新药纳入医保的时效显著缩短，2019年43%的新药在上市2年内进入医保，2021–2024年这一比例接近90%。[</w:t>
      </w:r>
      <w:hyperlink r:id="rId27">
        <w:r>
          <w:rPr>
            <w:rStyle w:val="38"/>
          </w:rPr>
          <w:t xml:space="preserve">14</w:t>
        </w:r>
      </w:hyperlink>
      <w:r>
        <w:t xml:space="preserve">]</w:t>
      </w:r>
    </w:p>
    <w:p>
      <w:pPr>
        <w:pStyle w:val="Compact"/>
        <w:numPr>
          <w:ilvl w:val="0"/>
          <w:numId w:val="1013"/>
        </w:numPr>
      </w:pPr>
      <w:r>
        <w:rPr>
          <w:rFonts w:hint="eastAsia"/>
        </w:rPr>
        <w:t xml:space="preserve">医保目录每年一调，谈判以“临床价值+成本效果”为核心，创新药普遍需“以价换量”。[</w:t>
      </w:r>
      <w:hyperlink r:id="rId27">
        <w:r>
          <w:rPr>
            <w:rStyle w:val="38"/>
          </w:rPr>
          <w:t xml:space="preserve">14</w:t>
        </w:r>
      </w:hyperlink>
      <w:r>
        <w:t xml:space="preserve">][</w:t>
      </w:r>
      <w:hyperlink r:id="rId63">
        <w:r>
          <w:rPr>
            <w:rStyle w:val="38"/>
          </w:rPr>
          <w:t xml:space="preserve">33</w:t>
        </w:r>
      </w:hyperlink>
      <w:r>
        <w:t xml:space="preserve">]</w:t>
      </w:r>
    </w:p>
    <w:p>
      <w:pPr>
        <w:pStyle w:val="Compact"/>
        <w:numPr>
          <w:ilvl w:val="0"/>
          <w:numId w:val="1013"/>
        </w:numPr>
      </w:pPr>
      <w:r>
        <w:rPr>
          <w:rFonts w:hint="eastAsia"/>
        </w:rPr>
        <w:t xml:space="preserve">医保基金支出2023年突破5万亿元，住院报销比例约85%，基金压力促使医保侧重高价值/高成本效益产品。[</w:t>
      </w:r>
      <w:hyperlink r:id="rId64">
        <w:r>
          <w:rPr>
            <w:rStyle w:val="38"/>
          </w:rPr>
          <w:t xml:space="preserve">34</w:t>
        </w:r>
      </w:hyperlink>
      <w:r>
        <w:t xml:space="preserve">]</w:t>
      </w:r>
    </w:p>
    <w:p>
      <w:pPr>
        <w:pStyle w:val="FirstParagraph"/>
      </w:pPr>
      <w:r>
        <w:rPr>
          <w:rFonts w:hint="eastAsia"/>
        </w:rPr>
        <w:t xml:space="preserve">对口服尿酸酶而言：</w:t>
      </w:r>
    </w:p>
    <w:p>
      <w:pPr>
        <w:pStyle w:val="Compact"/>
        <w:numPr>
          <w:ilvl w:val="0"/>
          <w:numId w:val="1014"/>
        </w:numPr>
      </w:pPr>
      <w:r>
        <w:rPr>
          <w:rFonts w:hint="eastAsia"/>
        </w:rPr>
        <w:t xml:space="preserve">若定位为“难治性/CKD合并痛风”小人群，在临床价值明确的前提下，有望争取以适中价格纳入医保；</w:t>
      </w:r>
    </w:p>
    <w:p>
      <w:pPr>
        <w:pStyle w:val="Compact"/>
        <w:numPr>
          <w:ilvl w:val="0"/>
          <w:numId w:val="1014"/>
        </w:numPr>
      </w:pPr>
      <w:r>
        <w:rPr>
          <w:rFonts w:hint="eastAsia"/>
        </w:rPr>
        <w:t xml:space="preserve">若尝试广泛适应症，则需更大的降价以匹配基金可承受能力。</w:t>
      </w:r>
    </w:p>
    <w:bookmarkEnd w:id="65"/>
    <w:bookmarkStart w:id="67" w:name="带量采购与价格博弈"/>
    <w:p>
      <w:pPr>
        <w:pStyle w:val="5"/>
      </w:pPr>
      <w:r>
        <w:t xml:space="preserve">5.3.2 </w:t>
      </w:r>
      <w:r>
        <w:rPr>
          <w:rFonts w:hint="eastAsia"/>
        </w:rPr>
        <w:t xml:space="preserve">带量采购与价格博弈</w:t>
      </w:r>
    </w:p>
    <w:p>
      <w:pPr>
        <w:pStyle w:val="Compact"/>
        <w:numPr>
          <w:ilvl w:val="0"/>
          <w:numId w:val="1015"/>
        </w:numPr>
      </w:pPr>
      <w:r>
        <w:rPr>
          <w:rFonts w:hint="eastAsia"/>
        </w:rPr>
        <w:t xml:space="preserve">带量采购已成为仿制药及部分原研药的重要价格形成机制，平均价格降幅超过50%。[</w:t>
      </w:r>
      <w:hyperlink r:id="rId59">
        <w:r>
          <w:rPr>
            <w:rStyle w:val="38"/>
          </w:rPr>
          <w:t xml:space="preserve">32</w:t>
        </w:r>
      </w:hyperlink>
      <w:r>
        <w:t xml:space="preserve">]</w:t>
      </w:r>
    </w:p>
    <w:p>
      <w:pPr>
        <w:pStyle w:val="Compact"/>
        <w:numPr>
          <w:ilvl w:val="0"/>
          <w:numId w:val="1015"/>
        </w:numPr>
      </w:pPr>
      <w:r>
        <w:rPr>
          <w:rFonts w:hint="eastAsia"/>
        </w:rPr>
        <w:t xml:space="preserve">博弈模型研究表明，企业成本结构与竞标企业数量是决定中标后的收益与报价策略的关键，成本越低、竞争者越少，收益空间越大。[</w:t>
      </w:r>
      <w:hyperlink r:id="rId66">
        <w:r>
          <w:rPr>
            <w:rStyle w:val="38"/>
          </w:rPr>
          <w:t xml:space="preserve">35</w:t>
        </w:r>
      </w:hyperlink>
      <w:r>
        <w:t xml:space="preserve">]</w:t>
      </w:r>
    </w:p>
    <w:p>
      <w:pPr>
        <w:pStyle w:val="FirstParagraph"/>
      </w:pPr>
      <w:r>
        <w:rPr>
          <w:rFonts w:hint="eastAsia"/>
        </w:rPr>
        <w:t xml:space="preserve">口服尿酸酶若未来进入类似集采体系，需具备较强的成本优势。因此在立项时应预估：中长期若失去专利保护或出现多家竞争者，价格将快速向成本线靠拢。</w:t>
      </w:r>
    </w:p>
    <w:bookmarkEnd w:id="67"/>
    <w:bookmarkStart w:id="70" w:name="医院准入与渠道结构"/>
    <w:p>
      <w:pPr>
        <w:pStyle w:val="5"/>
      </w:pPr>
      <w:r>
        <w:t xml:space="preserve">5.3.3 </w:t>
      </w:r>
      <w:r>
        <w:rPr>
          <w:rFonts w:hint="eastAsia"/>
        </w:rPr>
        <w:t xml:space="preserve">医院准入与渠道结构</w:t>
      </w:r>
    </w:p>
    <w:p>
      <w:pPr>
        <w:pStyle w:val="Compact"/>
        <w:numPr>
          <w:ilvl w:val="0"/>
          <w:numId w:val="1016"/>
        </w:numPr>
      </w:pPr>
      <w:r>
        <w:rPr>
          <w:rFonts w:hint="eastAsia"/>
        </w:rPr>
        <w:t xml:space="preserve">药品进院需经历临床科室提出需求、药剂科评估、药事会评审等多个环节，三级医院开户成本约3000–5000元。[</w:t>
      </w:r>
      <w:hyperlink r:id="rId68">
        <w:r>
          <w:rPr>
            <w:rStyle w:val="38"/>
          </w:rPr>
          <w:t xml:space="preserve">36</w:t>
        </w:r>
      </w:hyperlink>
      <w:r>
        <w:t xml:space="preserve">]</w:t>
      </w:r>
    </w:p>
    <w:p>
      <w:pPr>
        <w:pStyle w:val="Compact"/>
        <w:numPr>
          <w:ilvl w:val="0"/>
          <w:numId w:val="1016"/>
        </w:numPr>
      </w:pPr>
      <w:r>
        <w:rPr>
          <w:rFonts w:hint="eastAsia"/>
        </w:rPr>
        <w:t xml:space="preserve">以核心大医院为主的传统渠道占全国药品销售的约50%，而分级诊疗政策推动基层市场份额逐步提升。[</w:t>
      </w:r>
      <w:hyperlink r:id="rId69">
        <w:r>
          <w:rPr>
            <w:rStyle w:val="38"/>
          </w:rPr>
          <w:t xml:space="preserve">37</w:t>
        </w:r>
      </w:hyperlink>
      <w:r>
        <w:t xml:space="preserve">][</w:t>
      </w:r>
      <w:hyperlink r:id="rId27">
        <w:r>
          <w:rPr>
            <w:rStyle w:val="38"/>
          </w:rPr>
          <w:t xml:space="preserve">14</w:t>
        </w:r>
      </w:hyperlink>
      <w:r>
        <w:t xml:space="preserve">]</w:t>
      </w:r>
    </w:p>
    <w:p>
      <w:pPr>
        <w:pStyle w:val="FirstParagraph"/>
      </w:pPr>
      <w:r>
        <w:rPr>
          <w:rFonts w:hint="eastAsia"/>
        </w:rPr>
        <w:t xml:space="preserve">口服尿酸酶的初期推广很可能集中于三级医院风湿/肾内科，随后才可能向基层慢病管理拓展。</w:t>
      </w:r>
    </w:p>
    <w:p>
      <w:r>
        <w:pict>
          <v:rect style="width:0;height:1.5pt" o:hralign="center" o:hrstd="t" o:hr="t"/>
        </w:pict>
      </w:r>
    </w:p>
    <w:bookmarkEnd w:id="70"/>
    <w:bookmarkEnd w:id="71"/>
    <w:bookmarkEnd w:id="72"/>
    <w:bookmarkStart w:id="85" w:name="六监管环境技术临床风险与进入壁垒"/>
    <w:p>
      <w:pPr>
        <w:pStyle w:val="3"/>
      </w:pPr>
      <w:r>
        <w:rPr>
          <w:rFonts w:hint="eastAsia"/>
        </w:rPr>
        <w:t xml:space="preserve">六、监管环境、技术/临床风险与进入壁垒</w:t>
      </w:r>
    </w:p>
    <w:bookmarkStart w:id="77" w:name="监管框架口服酶制剂与工程菌"/>
    <w:p>
      <w:pPr>
        <w:pStyle w:val="4"/>
      </w:pPr>
      <w:r>
        <w:t xml:space="preserve">6.1 </w:t>
      </w:r>
      <w:r>
        <w:rPr>
          <w:rFonts w:hint="eastAsia"/>
        </w:rPr>
        <w:t xml:space="preserve">监管框架：口服酶制剂与工程菌</w:t>
      </w:r>
    </w:p>
    <w:bookmarkStart w:id="75" w:name="fdaema-对活体生物与口服制剂的要求"/>
    <w:p>
      <w:pPr>
        <w:pStyle w:val="5"/>
      </w:pPr>
      <w:r>
        <w:t xml:space="preserve">6.1.1 FDA/EMA </w:t>
      </w:r>
      <w:r>
        <w:rPr>
          <w:rFonts w:hint="eastAsia"/>
        </w:rPr>
        <w:t xml:space="preserve">对活体生物与口服制剂的要求</w:t>
      </w:r>
    </w:p>
    <w:p>
      <w:pPr>
        <w:pStyle w:val="Compact"/>
        <w:numPr>
          <w:ilvl w:val="0"/>
          <w:numId w:val="1017"/>
        </w:numPr>
      </w:pPr>
      <w:r>
        <w:t xml:space="preserve">FDA </w:t>
      </w:r>
      <w:r>
        <w:rPr>
          <w:rFonts w:hint="eastAsia"/>
        </w:rPr>
        <w:t xml:space="preserve">针对活体生物治疗产品（LBP）发布早期临床试验CMC指南，要求详细阐述减毒方法及其稳定性、菌株遗传稳定性和安全性表征。[</w:t>
      </w:r>
      <w:hyperlink r:id="rId29">
        <w:r>
          <w:rPr>
            <w:rStyle w:val="38"/>
          </w:rPr>
          <w:t xml:space="preserve">16</w:t>
        </w:r>
      </w:hyperlink>
      <w:r>
        <w:t xml:space="preserve">][</w:t>
      </w:r>
      <w:hyperlink r:id="rId73">
        <w:r>
          <w:rPr>
            <w:rStyle w:val="38"/>
          </w:rPr>
          <w:t xml:space="preserve">38</w:t>
        </w:r>
      </w:hyperlink>
      <w:r>
        <w:t xml:space="preserve">]</w:t>
      </w:r>
    </w:p>
    <w:p>
      <w:pPr>
        <w:pStyle w:val="Compact"/>
        <w:numPr>
          <w:ilvl w:val="0"/>
          <w:numId w:val="1017"/>
        </w:numPr>
      </w:pPr>
      <w:r>
        <w:t xml:space="preserve">EMA </w:t>
      </w:r>
      <w:r>
        <w:rPr>
          <w:rFonts w:hint="eastAsia"/>
        </w:rPr>
        <w:t xml:space="preserve">生物技术衍生活性物质过程验证指南强调从上游发酵到下游纯化的生命周期质量控制，对工程菌生产一致性提出高标准。[</w:t>
      </w:r>
      <w:hyperlink r:id="rId30">
        <w:r>
          <w:rPr>
            <w:rStyle w:val="38"/>
          </w:rPr>
          <w:t xml:space="preserve">17</w:t>
        </w:r>
      </w:hyperlink>
      <w:r>
        <w:t xml:space="preserve">]</w:t>
      </w:r>
    </w:p>
    <w:p>
      <w:pPr>
        <w:pStyle w:val="Compact"/>
        <w:numPr>
          <w:ilvl w:val="0"/>
          <w:numId w:val="1017"/>
        </w:numPr>
      </w:pPr>
      <w:r>
        <w:t xml:space="preserve">FDA </w:t>
      </w:r>
      <w:r>
        <w:rPr>
          <w:rFonts w:hint="eastAsia"/>
        </w:rPr>
        <w:t xml:space="preserve">口服制剂生物利用度和生物等效性指南强调通过系统暴露评价BA/BE，但对非系统吸收类（如ALLN‑346）则需通过替代指标或局部药效学评价设计适当试验。[</w:t>
      </w:r>
      <w:hyperlink r:id="rId74">
        <w:r>
          <w:rPr>
            <w:rStyle w:val="38"/>
          </w:rPr>
          <w:t xml:space="preserve">39</w:t>
        </w:r>
      </w:hyperlink>
      <w:r>
        <w:t xml:space="preserve">]</w:t>
      </w:r>
    </w:p>
    <w:bookmarkEnd w:id="75"/>
    <w:bookmarkStart w:id="76" w:name="中国nmpa与药典更新"/>
    <w:p>
      <w:pPr>
        <w:pStyle w:val="5"/>
      </w:pPr>
      <w:r>
        <w:t xml:space="preserve">6.1.2 </w:t>
      </w:r>
      <w:r>
        <w:rPr>
          <w:rFonts w:hint="eastAsia"/>
        </w:rPr>
        <w:t xml:space="preserve">中国NMPA与药典更新</w:t>
      </w:r>
    </w:p>
    <w:p>
      <w:pPr>
        <w:pStyle w:val="Compact"/>
        <w:numPr>
          <w:ilvl w:val="0"/>
          <w:numId w:val="1018"/>
        </w:numPr>
      </w:pPr>
      <w:r>
        <w:rPr>
          <w:rFonts w:hint="eastAsia"/>
        </w:rPr>
        <w:t xml:space="preserve">2025年版药典与新版GMP无菌药品附录（征求意见稿）对污染控制策略与无菌/微生物制剂生产提出更严格要求。[</w:t>
      </w:r>
      <w:hyperlink r:id="rId31">
        <w:r>
          <w:rPr>
            <w:rStyle w:val="38"/>
          </w:rPr>
          <w:t xml:space="preserve">18</w:t>
        </w:r>
      </w:hyperlink>
      <w:r>
        <w:t xml:space="preserve">]</w:t>
      </w:r>
    </w:p>
    <w:p>
      <w:pPr>
        <w:pStyle w:val="Compact"/>
        <w:numPr>
          <w:ilvl w:val="0"/>
          <w:numId w:val="1018"/>
        </w:numPr>
      </w:pPr>
      <w:r>
        <w:rPr>
          <w:rFonts w:hint="eastAsia"/>
        </w:rPr>
        <w:t xml:space="preserve">2024年CDE审评报告显示生物制品注册申请量达2447件，创新药与罕见病药物审批加速。[</w:t>
      </w:r>
      <w:hyperlink r:id="rId31">
        <w:r>
          <w:rPr>
            <w:rStyle w:val="38"/>
          </w:rPr>
          <w:t xml:space="preserve">18</w:t>
        </w:r>
      </w:hyperlink>
      <w:r>
        <w:t xml:space="preserve">]</w:t>
      </w:r>
    </w:p>
    <w:p>
      <w:pPr>
        <w:pStyle w:val="FirstParagraph"/>
      </w:pPr>
      <w:r>
        <w:rPr>
          <w:rFonts w:hint="eastAsia"/>
        </w:rPr>
        <w:t xml:space="preserve">对口服尿酸酶（尤其工程菌）意味着：</w:t>
      </w:r>
    </w:p>
    <w:p>
      <w:pPr>
        <w:pStyle w:val="Compact"/>
        <w:numPr>
          <w:ilvl w:val="0"/>
          <w:numId w:val="1019"/>
        </w:numPr>
      </w:pPr>
      <w:r>
        <w:rPr>
          <w:rFonts w:hint="eastAsia"/>
        </w:rPr>
        <w:t xml:space="preserve">需要在药学资料中详尽证明菌株减毒稳定性、环境释放与水平基因转移风险的可控性；</w:t>
      </w:r>
    </w:p>
    <w:p>
      <w:pPr>
        <w:pStyle w:val="Compact"/>
        <w:numPr>
          <w:ilvl w:val="0"/>
          <w:numId w:val="1019"/>
        </w:numPr>
      </w:pPr>
      <w:r>
        <w:rPr>
          <w:rFonts w:hint="eastAsia"/>
        </w:rPr>
        <w:t xml:space="preserve">稳健的生产工艺验证是获得批准的前提。</w:t>
      </w:r>
    </w:p>
    <w:bookmarkEnd w:id="76"/>
    <w:bookmarkEnd w:id="77"/>
    <w:bookmarkStart w:id="81" w:name="技术与临床开发风险矩阵"/>
    <w:p>
      <w:pPr>
        <w:pStyle w:val="4"/>
      </w:pPr>
      <w:r>
        <w:t xml:space="preserve">6.2 </w:t>
      </w:r>
      <w:r>
        <w:rPr>
          <w:rFonts w:hint="eastAsia"/>
        </w:rPr>
        <w:t xml:space="preserve">技术与临床开发风险矩阵</w:t>
      </w:r>
    </w:p>
    <w:tbl>
      <w:tblPr>
        <w:tblStyle w:val="Table"/>
        <w:tblW w:type="pct" w:w="5000"/>
        <w:tblLayout w:type="fixed"/>
        <w:tblLook w:firstRow="1" w:lastRow="0" w:firstColumn="0" w:lastColumn="0" w:noHBand="0" w:noVBand="0" w:val="0020"/>
      </w:tblPr>
      <w:tblGrid>
        <w:gridCol w:w="1650"/>
        <w:gridCol w:w="1650"/>
        <w:gridCol w:w="3630"/>
        <w:gridCol w:w="990"/>
      </w:tblGrid>
      <w:tr>
        <w:trPr>
          <w:tblHeader w:val="on"/>
        </w:trPr>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风险维度</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具体风险</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现有观察与应对方向</w:t>
            </w:r>
          </w:p>
        </w:tc>
        <w:tc>
          <w:tcPr>
            <w:shd w:fill="F8F8F8"/>
            <w:tcBorders>
              <w:top w:val="single" w:sz="12" w:space="0" w:color="000000"/>
              <w:bottom w:val="single" w:sz="6" w:space="0" w:color="000000"/>
              <w:left w:val="none" w:sz="0" w:space="0" w:color="000000"/>
              <w:right w:val="none" w:sz="0" w:space="0" w:color="000000"/>
            </w:tcBorders>
          </w:tcPr>
          <w:p>
            <w:pPr>
              <w:pStyle w:val="Compact"/>
              <w:jc w:val="center"/>
            </w:pPr>
            <w:r>
              <w:rPr>
                <w:rFonts w:hint="eastAsia"/>
                <w:b/>
                <w:sz w:val="22"/>
              </w:rPr>
              <w:t xml:space="preserve">来源</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酶稳定性</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胃酸/蛋白酶降解导致活性丧失</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使用壳聚糖+海藻酸钠微囊、PLGA纳米颗粒等保护；工程菌分泌系统局部高浓度表达</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22">
              <w:r>
                <w:rPr>
                  <w:rStyle w:val="38"/>
                </w:rPr>
                <w:t xml:space="preserve">9</w:t>
              </w:r>
            </w:hyperlink>
            <w:r>
              <w:t xml:space="preserve">][</w:t>
            </w:r>
            <w:hyperlink r:id="rId40">
              <w:r>
                <w:rPr>
                  <w:rStyle w:val="38"/>
                </w:rPr>
                <w:t xml:space="preserve">22</w:t>
              </w:r>
            </w:hyperlink>
            <w:r>
              <w:t xml:space="preserve">][</w:t>
            </w:r>
            <w:hyperlink r:id="rId41">
              <w:r>
                <w:rPr>
                  <w:rStyle w:val="38"/>
                </w:rPr>
                <w:t xml:space="preserve">23</w:t>
              </w:r>
            </w:hyperlink>
            <w:r>
              <w:t xml:space="preserve">]</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生产成本与一致性</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重组酶大规模发酵与纯化成本高；工程菌活菌数与酶活一致性控制难</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需要提前布局产业化工艺平台与质量控制方法；可以参考口服胰岛素等产业线经验</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78">
              <w:r>
                <w:rPr>
                  <w:rStyle w:val="38"/>
                </w:rPr>
                <w:t xml:space="preserve">40</w:t>
              </w:r>
            </w:hyperlink>
            <w:r>
              <w:t xml:space="preserve">][</w:t>
            </w:r>
            <w:hyperlink r:id="rId30">
              <w:r>
                <w:rPr>
                  <w:rStyle w:val="38"/>
                </w:rPr>
                <w:t xml:space="preserve">17</w:t>
              </w:r>
            </w:hyperlink>
            <w:r>
              <w:t xml:space="preserve">]</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工程菌安全性</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定植失控、菌群失衡、环境释放和基因转移风险</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使用不可繁殖工程菌（甲醛灭活）、无抗性标记载体等策略；但长期安全性人体数据缺乏</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22">
              <w:r>
                <w:rPr>
                  <w:rStyle w:val="38"/>
                </w:rPr>
                <w:t xml:space="preserve">9</w:t>
              </w:r>
            </w:hyperlink>
            <w:r>
              <w:t xml:space="preserve">][</w:t>
            </w:r>
            <w:hyperlink r:id="rId29">
              <w:r>
                <w:rPr>
                  <w:rStyle w:val="38"/>
                </w:rPr>
                <w:t xml:space="preserve">16</w:t>
              </w:r>
            </w:hyperlink>
            <w:r>
              <w:t xml:space="preserve">]</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免疫原性</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酶蛋白长期口服能否诱导免疫反应尚不明确</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注射PEG化尿酸酶免疫原性高的经验提醒需密切监测；ALLN‑346非系统吸收可部分缓解该风险</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19">
              <w:r>
                <w:rPr>
                  <w:rStyle w:val="38"/>
                </w:rPr>
                <w:t xml:space="preserve">6</w:t>
              </w:r>
            </w:hyperlink>
            <w:r>
              <w:t xml:space="preserve">][</w:t>
            </w:r>
            <w:hyperlink r:id="rId21">
              <w:r>
                <w:rPr>
                  <w:rStyle w:val="38"/>
                </w:rPr>
                <w:t xml:space="preserve">8</w:t>
              </w:r>
            </w:hyperlink>
            <w:r>
              <w:t xml:space="preserve">]</w:t>
            </w:r>
          </w:p>
        </w:tc>
      </w:tr>
      <w:tr>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临床终点选择</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单纯血尿酸水平</w:t>
            </w:r>
            <w:r>
              <w:t xml:space="preserve"> vs </w:t>
            </w:r>
            <w:r>
              <w:rPr>
                <w:rFonts w:hint="eastAsia"/>
              </w:rPr>
              <w:t xml:space="preserve">临床结局（痛风发作频率、肾功能恶化）</w:t>
            </w:r>
          </w:p>
        </w:tc>
        <w:tc>
          <w:tcPr>
            <w:shd w:fill="FFFFFF"/>
            <w:tcBorders>
              <w:top w:val="none" w:sz="0" w:space="0" w:color="000000"/>
              <w:bottom w:val="none" w:sz="0" w:space="0" w:color="000000"/>
              <w:left w:val="none" w:sz="0" w:space="0" w:color="000000"/>
              <w:right w:val="none" w:sz="0" w:space="0" w:color="000000"/>
            </w:tcBorders>
          </w:tcPr>
          <w:p>
            <w:pPr>
              <w:pStyle w:val="Compact"/>
            </w:pPr>
            <w:r>
              <w:rPr>
                <w:rFonts w:hint="eastAsia"/>
              </w:rPr>
              <w:t xml:space="preserve">EULAR将血尿酸视为公认替代终点，但监管可能要求症状或结构结局补充验证</w:t>
            </w:r>
          </w:p>
        </w:tc>
        <w:tc>
          <w:tcPr>
            <w:shd w:fill="FFFFFF"/>
            <w:tcBorders>
              <w:top w:val="none" w:sz="0" w:space="0" w:color="000000"/>
              <w:bottom w:val="none" w:sz="0" w:space="0" w:color="000000"/>
              <w:left w:val="none" w:sz="0" w:space="0" w:color="000000"/>
              <w:right w:val="none" w:sz="0" w:space="0" w:color="000000"/>
            </w:tcBorders>
          </w:tcPr>
          <w:p>
            <w:pPr>
              <w:pStyle w:val="Compact"/>
            </w:pPr>
            <w:r>
              <w:t xml:space="preserve">[</w:t>
            </w:r>
            <w:hyperlink r:id="rId17">
              <w:r>
                <w:rPr>
                  <w:rStyle w:val="38"/>
                </w:rPr>
                <w:t xml:space="preserve">4</w:t>
              </w:r>
            </w:hyperlink>
            <w:r>
              <w:t xml:space="preserve">][</w:t>
            </w:r>
            <w:hyperlink r:id="rId79">
              <w:r>
                <w:rPr>
                  <w:rStyle w:val="38"/>
                </w:rPr>
                <w:t xml:space="preserve">41</w:t>
              </w:r>
            </w:hyperlink>
            <w:r>
              <w:t xml:space="preserve">]</w:t>
            </w:r>
          </w:p>
        </w:tc>
      </w:tr>
      <w:tr>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特殊人群试验</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CKD、心血管高危人群入排标准与安全随访要求高</w:t>
            </w:r>
          </w:p>
        </w:tc>
        <w:tc>
          <w:tcPr>
            <w:shd w:fill="FFFFFF"/>
            <w:tcBorders>
              <w:top w:val="none" w:sz="0" w:space="0" w:color="000000"/>
              <w:bottom w:val="single" w:sz="12" w:space="0" w:color="000000"/>
              <w:left w:val="none" w:sz="0" w:space="0" w:color="000000"/>
              <w:right w:val="none" w:sz="0" w:space="0" w:color="000000"/>
            </w:tcBorders>
          </w:tcPr>
          <w:p>
            <w:pPr>
              <w:pStyle w:val="Compact"/>
            </w:pPr>
            <w:r>
              <w:rPr>
                <w:rFonts w:hint="eastAsia"/>
              </w:rPr>
              <w:t xml:space="preserve">ALLN‑346定位CKD人群，使临床设计集中于肾功能分层；中国企业在该人群试验经验尚少</w:t>
            </w:r>
          </w:p>
        </w:tc>
        <w:tc>
          <w:tcPr>
            <w:shd w:fill="FFFFFF"/>
            <w:tcBorders>
              <w:top w:val="none" w:sz="0" w:space="0" w:color="000000"/>
              <w:bottom w:val="single" w:sz="12" w:space="0" w:color="000000"/>
              <w:left w:val="none" w:sz="0" w:space="0" w:color="000000"/>
              <w:right w:val="none" w:sz="0" w:space="0" w:color="000000"/>
            </w:tcBorders>
          </w:tcPr>
          <w:p>
            <w:pPr>
              <w:pStyle w:val="Compact"/>
            </w:pPr>
            <w:r>
              <w:t xml:space="preserve">[</w:t>
            </w:r>
            <w:hyperlink r:id="rId20">
              <w:r>
                <w:rPr>
                  <w:rStyle w:val="38"/>
                </w:rPr>
                <w:t xml:space="preserve">7</w:t>
              </w:r>
            </w:hyperlink>
            <w:r>
              <w:t xml:space="preserve">][</w:t>
            </w:r>
            <w:hyperlink r:id="rId80">
              <w:r>
                <w:rPr>
                  <w:rStyle w:val="38"/>
                </w:rPr>
                <w:t xml:space="preserve">42</w:t>
              </w:r>
            </w:hyperlink>
            <w:r>
              <w:t xml:space="preserve">]</w:t>
            </w:r>
          </w:p>
        </w:tc>
      </w:tr>
    </w:tbl>
    <w:bookmarkEnd w:id="81"/>
    <w:bookmarkStart w:id="84" w:name="行业进入壁垒"/>
    <w:p>
      <w:pPr>
        <w:pStyle w:val="4"/>
      </w:pPr>
      <w:r>
        <w:t xml:space="preserve">6.3 </w:t>
      </w:r>
      <w:r>
        <w:rPr>
          <w:rFonts w:hint="eastAsia"/>
        </w:rPr>
        <w:t xml:space="preserve">行业进入壁垒</w:t>
      </w:r>
    </w:p>
    <w:p>
      <w:pPr>
        <w:pStyle w:val="FirstParagraph"/>
      </w:pPr>
      <w:r>
        <w:rPr>
          <w:rFonts w:hint="eastAsia"/>
        </w:rPr>
        <w:t xml:space="preserve">综合前述信息，口服尿酸酶赛道的核心进入壁垒可概括为：</w:t>
      </w:r>
    </w:p>
    <w:p>
      <w:pPr>
        <w:pStyle w:val="Compact"/>
        <w:numPr>
          <w:ilvl w:val="0"/>
          <w:numId w:val="1020"/>
        </w:numPr>
      </w:pPr>
      <w:r>
        <w:rPr>
          <w:rFonts w:hint="eastAsia"/>
          <w:b/>
          <w:bCs/>
        </w:rPr>
        <w:t xml:space="preserve">技术复合性</w:t>
      </w:r>
      <w:r>
        <w:rPr>
          <w:rFonts w:hint="eastAsia"/>
        </w:rPr>
        <w:t xml:space="preserve">：需要酶工程、递送/制剂、合成生物学与工程菌、GMP生产等多学科整合能力。[</w:t>
      </w:r>
      <w:hyperlink r:id="rId82">
        <w:r>
          <w:rPr>
            <w:rStyle w:val="38"/>
          </w:rPr>
          <w:t xml:space="preserve">43</w:t>
        </w:r>
      </w:hyperlink>
      <w:r>
        <w:t xml:space="preserve">]</w:t>
      </w:r>
    </w:p>
    <w:p>
      <w:pPr>
        <w:pStyle w:val="Compact"/>
        <w:numPr>
          <w:ilvl w:val="0"/>
          <w:numId w:val="1020"/>
        </w:numPr>
      </w:pPr>
      <w:r>
        <w:rPr>
          <w:rFonts w:hint="eastAsia"/>
          <w:b/>
          <w:bCs/>
        </w:rPr>
        <w:t xml:space="preserve">临床与注册复杂性</w:t>
      </w:r>
      <w:r>
        <w:rPr>
          <w:rFonts w:hint="eastAsia"/>
        </w:rPr>
        <w:t xml:space="preserve">：目标人群常为合并多种慢病的复杂患者，需要高水平KOL中心、多学科协作与长期随访，审评中对安全性与环境影响的考量更为严格。[</w:t>
      </w:r>
      <w:hyperlink r:id="rId29">
        <w:r>
          <w:rPr>
            <w:rStyle w:val="38"/>
          </w:rPr>
          <w:t xml:space="preserve">16</w:t>
        </w:r>
      </w:hyperlink>
      <w:r>
        <w:t xml:space="preserve">][</w:t>
      </w:r>
      <w:hyperlink r:id="rId31">
        <w:r>
          <w:rPr>
            <w:rStyle w:val="38"/>
          </w:rPr>
          <w:t xml:space="preserve">18</w:t>
        </w:r>
      </w:hyperlink>
      <w:r>
        <w:t xml:space="preserve">]</w:t>
      </w:r>
    </w:p>
    <w:p>
      <w:pPr>
        <w:pStyle w:val="Compact"/>
        <w:numPr>
          <w:ilvl w:val="0"/>
          <w:numId w:val="1020"/>
        </w:numPr>
      </w:pPr>
      <w:r>
        <w:rPr>
          <w:rFonts w:hint="eastAsia"/>
          <w:b/>
          <w:bCs/>
        </w:rPr>
        <w:t xml:space="preserve">专利与FTO风控</w:t>
      </w:r>
      <w:r>
        <w:rPr>
          <w:rFonts w:hint="eastAsia"/>
        </w:rPr>
        <w:t xml:space="preserve">：Horizon、Allena等的分子和平台专利，加之布朗大学基础口服平台专利，要求新进入者在分子序列与递送策略上精细绕开。[</w:t>
      </w:r>
      <w:hyperlink r:id="rId24">
        <w:r>
          <w:rPr>
            <w:rStyle w:val="38"/>
          </w:rPr>
          <w:t xml:space="preserve">11</w:t>
        </w:r>
      </w:hyperlink>
      <w:r>
        <w:t xml:space="preserve">][</w:t>
      </w:r>
      <w:hyperlink r:id="rId25">
        <w:r>
          <w:rPr>
            <w:rStyle w:val="38"/>
          </w:rPr>
          <w:t xml:space="preserve">12</w:t>
        </w:r>
      </w:hyperlink>
      <w:r>
        <w:t xml:space="preserve">]</w:t>
      </w:r>
    </w:p>
    <w:p>
      <w:pPr>
        <w:pStyle w:val="Compact"/>
        <w:numPr>
          <w:ilvl w:val="0"/>
          <w:numId w:val="1020"/>
        </w:numPr>
      </w:pPr>
      <w:r>
        <w:rPr>
          <w:rFonts w:hint="eastAsia"/>
          <w:b/>
          <w:bCs/>
        </w:rPr>
        <w:t xml:space="preserve">商业化与支付门槛</w:t>
      </w:r>
      <w:r>
        <w:rPr>
          <w:rFonts w:hint="eastAsia"/>
        </w:rPr>
        <w:t xml:space="preserve">：需应对医保谈判、可能的带量采购、医院准入与医生教育；且创新机制药须有明确的临床价值证据才能获得可持续价格。[</w:t>
      </w:r>
      <w:hyperlink r:id="rId27">
        <w:r>
          <w:rPr>
            <w:rStyle w:val="38"/>
          </w:rPr>
          <w:t xml:space="preserve">14</w:t>
        </w:r>
      </w:hyperlink>
      <w:r>
        <w:t xml:space="preserve">][</w:t>
      </w:r>
      <w:hyperlink r:id="rId28">
        <w:r>
          <w:rPr>
            <w:rStyle w:val="38"/>
          </w:rPr>
          <w:t xml:space="preserve">15</w:t>
        </w:r>
      </w:hyperlink>
      <w:r>
        <w:t xml:space="preserve">][</w:t>
      </w:r>
      <w:hyperlink r:id="rId83">
        <w:r>
          <w:rPr>
            <w:rStyle w:val="38"/>
          </w:rPr>
          <w:t xml:space="preserve">44</w:t>
        </w:r>
      </w:hyperlink>
      <w:r>
        <w:t xml:space="preserve">]</w:t>
      </w:r>
    </w:p>
    <w:p>
      <w:r>
        <w:pict>
          <v:rect style="width:0;height:1.5pt" o:hralign="center" o:hrstd="t" o:hr="t"/>
        </w:pict>
      </w:r>
    </w:p>
    <w:bookmarkEnd w:id="84"/>
    <w:bookmarkEnd w:id="85"/>
    <w:bookmarkStart w:id="89" w:name="七综合讨论与对中国企业的策略启示"/>
    <w:p>
      <w:pPr>
        <w:pStyle w:val="3"/>
      </w:pPr>
      <w:r>
        <w:rPr>
          <w:rFonts w:hint="eastAsia"/>
        </w:rPr>
        <w:t xml:space="preserve">七、综合讨论与对中国企业的策略启示</w:t>
      </w:r>
    </w:p>
    <w:bookmarkStart w:id="86" w:name="综合模式反演allena-vs-中国现状"/>
    <w:p>
      <w:pPr>
        <w:pStyle w:val="4"/>
      </w:pPr>
      <w:r>
        <w:t xml:space="preserve">7.1 </w:t>
      </w:r>
      <w:r>
        <w:rPr>
          <w:rFonts w:hint="eastAsia"/>
        </w:rPr>
        <w:t xml:space="preserve">综合模式反演：Allena</w:t>
      </w:r>
      <w:r>
        <w:t xml:space="preserve"> vs </w:t>
      </w:r>
      <w:r>
        <w:rPr>
          <w:rFonts w:hint="eastAsia"/>
        </w:rPr>
        <w:t xml:space="preserve">中国现状</w:t>
      </w:r>
    </w:p>
    <w:p>
      <w:pPr>
        <w:pStyle w:val="Compact"/>
        <w:numPr>
          <w:ilvl w:val="0"/>
          <w:numId w:val="1021"/>
        </w:numPr>
      </w:pPr>
      <w:r>
        <w:rPr>
          <w:rFonts w:hint="eastAsia"/>
        </w:rPr>
        <w:t xml:space="preserve">Allena通过选择“非系统吸收、肠腔起效”的口服酶路径，在CKD合并痛风这一高未满足需求人群中获得FDA快速通道资格，初步临床数据显示降尿酸活性与安全性良好。[</w:t>
      </w:r>
      <w:hyperlink r:id="rId21">
        <w:r>
          <w:rPr>
            <w:rStyle w:val="38"/>
          </w:rPr>
          <w:t xml:space="preserve">8</w:t>
        </w:r>
      </w:hyperlink>
      <w:r>
        <w:t xml:space="preserve">][</w:t>
      </w:r>
      <w:hyperlink r:id="rId20">
        <w:r>
          <w:rPr>
            <w:rStyle w:val="38"/>
          </w:rPr>
          <w:t xml:space="preserve">7</w:t>
        </w:r>
      </w:hyperlink>
      <w:r>
        <w:t xml:space="preserve">]</w:t>
      </w:r>
    </w:p>
    <w:p>
      <w:pPr>
        <w:pStyle w:val="Compact"/>
        <w:numPr>
          <w:ilvl w:val="0"/>
          <w:numId w:val="1021"/>
        </w:numPr>
      </w:pPr>
      <w:r>
        <w:rPr>
          <w:rFonts w:hint="eastAsia"/>
        </w:rPr>
        <w:t xml:space="preserve">中国企业目前在尿酸酶领域以PEG化注射剂（君实JS103、中国生物培尿酸酶）为主，强化半衰期和免疫原性，但在口服方向尚处空白。[</w:t>
      </w:r>
      <w:hyperlink r:id="rId48">
        <w:r>
          <w:rPr>
            <w:rStyle w:val="38"/>
          </w:rPr>
          <w:t xml:space="preserve">26</w:t>
        </w:r>
      </w:hyperlink>
      <w:r>
        <w:t xml:space="preserve">][</w:t>
      </w:r>
      <w:hyperlink r:id="rId49">
        <w:r>
          <w:rPr>
            <w:rStyle w:val="38"/>
          </w:rPr>
          <w:t xml:space="preserve">27</w:t>
        </w:r>
      </w:hyperlink>
      <w:r>
        <w:t xml:space="preserve">]</w:t>
      </w:r>
    </w:p>
    <w:p>
      <w:pPr>
        <w:pStyle w:val="FirstParagraph"/>
      </w:pPr>
      <w:r>
        <w:rPr>
          <w:rFonts w:hint="eastAsia"/>
        </w:rPr>
        <w:t xml:space="preserve">结合流行病学与支付环境，中国的高尿酸/痛风人群基数远超发达国家，传统药物价格已被集采拉低；若沿袭注射酶高价路径，仅能覆盖极小难治人群，而口服尿酸酶则有可能在中等价位覆盖更大的“治疗失败/高风险”亚群。</w:t>
      </w:r>
    </w:p>
    <w:bookmarkEnd w:id="86"/>
    <w:bookmarkStart w:id="87" w:name="口服尿酸酶在中国的潜在市场定位定性"/>
    <w:p>
      <w:pPr>
        <w:pStyle w:val="4"/>
      </w:pPr>
      <w:r>
        <w:t xml:space="preserve">7.2 </w:t>
      </w:r>
      <w:r>
        <w:rPr>
          <w:rFonts w:hint="eastAsia"/>
        </w:rPr>
        <w:t xml:space="preserve">口服尿酸酶在中国的潜在市场定位（定性）</w:t>
      </w:r>
    </w:p>
    <w:p>
      <w:pPr>
        <w:pStyle w:val="FirstParagraph"/>
      </w:pPr>
      <w:r>
        <w:rPr>
          <w:rFonts w:hint="eastAsia"/>
        </w:rPr>
        <w:t xml:space="preserve">在缺乏精确分层流行病学与治疗失败率数据的前提下（“信息未提供”），可根据已有达标率与临床经验进行定性定位：</w:t>
      </w:r>
    </w:p>
    <w:p>
      <w:pPr>
        <w:numPr>
          <w:ilvl w:val="0"/>
          <w:numId w:val="1022"/>
        </w:numPr>
      </w:pPr>
      <w:r>
        <w:rPr>
          <w:rFonts w:hint="eastAsia"/>
          <w:b/>
          <w:bCs/>
        </w:rPr>
        <w:t xml:space="preserve">目标适应症</w:t>
      </w:r>
      <w:r>
        <w:rPr>
          <w:rFonts w:hint="eastAsia"/>
        </w:rPr>
        <w:t xml:space="preserve">：</w:t>
      </w:r>
    </w:p>
    <w:p>
      <w:pPr>
        <w:pStyle w:val="Compact"/>
        <w:numPr>
          <w:ilvl w:val="1"/>
          <w:numId w:val="1023"/>
        </w:numPr>
      </w:pPr>
      <w:r>
        <w:rPr>
          <w:rFonts w:hint="eastAsia"/>
        </w:rPr>
        <w:t xml:space="preserve">痛风合并CKD（≥3期）且XOI受限或疗效不佳；</w:t>
      </w:r>
    </w:p>
    <w:p>
      <w:pPr>
        <w:pStyle w:val="Compact"/>
        <w:numPr>
          <w:ilvl w:val="1"/>
          <w:numId w:val="1023"/>
        </w:numPr>
      </w:pPr>
      <w:r>
        <w:rPr>
          <w:rFonts w:hint="eastAsia"/>
        </w:rPr>
        <w:t xml:space="preserve">传统药物不耐受（严重皮肤反应、肝毒性等）人群；</w:t>
      </w:r>
    </w:p>
    <w:p>
      <w:pPr>
        <w:pStyle w:val="Compact"/>
        <w:numPr>
          <w:ilvl w:val="1"/>
          <w:numId w:val="1023"/>
        </w:numPr>
      </w:pPr>
      <w:r>
        <w:rPr>
          <w:rFonts w:hint="eastAsia"/>
        </w:rPr>
        <w:t xml:space="preserve">某些高尿酸相关肾病或心血管高危人群中需要强化降尿酸的患者（具体适应证尚需循证支持）。[</w:t>
      </w:r>
      <w:hyperlink r:id="rId17">
        <w:r>
          <w:rPr>
            <w:rStyle w:val="38"/>
          </w:rPr>
          <w:t xml:space="preserve">4</w:t>
        </w:r>
      </w:hyperlink>
      <w:r>
        <w:t xml:space="preserve">][</w:t>
      </w:r>
      <w:hyperlink r:id="rId34">
        <w:r>
          <w:rPr>
            <w:rStyle w:val="38"/>
          </w:rPr>
          <w:t xml:space="preserve">20</w:t>
        </w:r>
      </w:hyperlink>
      <w:r>
        <w:t xml:space="preserve">]</w:t>
      </w:r>
    </w:p>
    <w:p>
      <w:pPr>
        <w:numPr>
          <w:ilvl w:val="0"/>
          <w:numId w:val="1022"/>
        </w:numPr>
      </w:pPr>
      <w:r>
        <w:rPr>
          <w:rFonts w:hint="eastAsia"/>
          <w:b/>
          <w:bCs/>
        </w:rPr>
        <w:t xml:space="preserve">治疗线次</w:t>
      </w:r>
      <w:r>
        <w:rPr>
          <w:rFonts w:hint="eastAsia"/>
        </w:rPr>
        <w:t xml:space="preserve">：更合理的定位是二线/三线，或在特殊人群中一线联合用药（如与低剂量XOI合用）。</w:t>
      </w:r>
    </w:p>
    <w:p>
      <w:pPr>
        <w:numPr>
          <w:ilvl w:val="0"/>
          <w:numId w:val="1022"/>
        </w:numPr>
      </w:pPr>
      <w:r>
        <w:rPr>
          <w:rFonts w:hint="eastAsia"/>
          <w:b/>
          <w:bCs/>
        </w:rPr>
        <w:t xml:space="preserve">渗透路径</w:t>
      </w:r>
      <w:r>
        <w:rPr>
          <w:rFonts w:hint="eastAsia"/>
        </w:rPr>
        <w:t xml:space="preserve">：</w:t>
      </w:r>
    </w:p>
    <w:p>
      <w:pPr>
        <w:pStyle w:val="Compact"/>
        <w:numPr>
          <w:ilvl w:val="1"/>
          <w:numId w:val="1024"/>
        </w:numPr>
      </w:pPr>
      <w:r>
        <w:rPr>
          <w:rFonts w:hint="eastAsia"/>
        </w:rPr>
        <w:t xml:space="preserve">起始在三甲医院风湿免疫、肾内、内分泌科；</w:t>
      </w:r>
    </w:p>
    <w:p>
      <w:pPr>
        <w:pStyle w:val="Compact"/>
        <w:numPr>
          <w:ilvl w:val="1"/>
          <w:numId w:val="1024"/>
        </w:numPr>
      </w:pPr>
      <w:r>
        <w:rPr>
          <w:rFonts w:hint="eastAsia"/>
        </w:rPr>
        <w:t xml:space="preserve">随着真实世界证据积累，向二级医院甚至基层慢病管理拓展，尤其是CKD和多病共存人群。</w:t>
      </w:r>
    </w:p>
    <w:bookmarkEnd w:id="87"/>
    <w:bookmarkStart w:id="88" w:name="中国企业立项可行性与策略方向定性分析"/>
    <w:p>
      <w:pPr>
        <w:pStyle w:val="4"/>
      </w:pPr>
      <w:r>
        <w:t xml:space="preserve">7.3 </w:t>
      </w:r>
      <w:r>
        <w:rPr>
          <w:rFonts w:hint="eastAsia"/>
        </w:rPr>
        <w:t xml:space="preserve">中国企业立项可行性与策略方向（定性分析）</w:t>
      </w:r>
    </w:p>
    <w:p>
      <w:pPr>
        <w:pStyle w:val="FirstParagraph"/>
      </w:pPr>
      <w:r>
        <w:rPr>
          <w:rFonts w:hint="eastAsia"/>
        </w:rPr>
        <w:t xml:space="preserve">结合前述分析，可对中国企业切入口服尿酸酶赛道形成以下初步判断：</w:t>
      </w:r>
    </w:p>
    <w:p>
      <w:pPr>
        <w:pStyle w:val="Compact"/>
        <w:numPr>
          <w:ilvl w:val="0"/>
          <w:numId w:val="1025"/>
        </w:numPr>
      </w:pPr>
      <w:r>
        <w:rPr>
          <w:rFonts w:hint="eastAsia"/>
          <w:b/>
          <w:bCs/>
        </w:rPr>
        <w:t xml:space="preserve">立项可行性：谨慎积极（建议“有条件立项”）</w:t>
      </w:r>
    </w:p>
    <w:p>
      <w:pPr>
        <w:pStyle w:val="Compact"/>
        <w:numPr>
          <w:ilvl w:val="1"/>
          <w:numId w:val="1026"/>
        </w:numPr>
      </w:pPr>
      <w:r>
        <w:rPr>
          <w:rFonts w:hint="eastAsia"/>
        </w:rPr>
        <w:t xml:space="preserve">疾病负担巨大、现有疗法控制率低，未满足需求客观存在。[</w:t>
      </w:r>
      <w:hyperlink r:id="rId14">
        <w:r>
          <w:rPr>
            <w:rStyle w:val="38"/>
          </w:rPr>
          <w:t xml:space="preserve">1</w:t>
        </w:r>
      </w:hyperlink>
      <w:r>
        <w:t xml:space="preserve">][</w:t>
      </w:r>
      <w:hyperlink r:id="rId16">
        <w:r>
          <w:rPr>
            <w:rStyle w:val="38"/>
          </w:rPr>
          <w:t xml:space="preserve">3</w:t>
        </w:r>
      </w:hyperlink>
      <w:r>
        <w:t xml:space="preserve">]</w:t>
      </w:r>
    </w:p>
    <w:p>
      <w:pPr>
        <w:pStyle w:val="Compact"/>
        <w:numPr>
          <w:ilvl w:val="1"/>
          <w:numId w:val="1026"/>
        </w:numPr>
      </w:pPr>
      <w:r>
        <w:rPr>
          <w:rFonts w:hint="eastAsia"/>
        </w:rPr>
        <w:t xml:space="preserve">全球临床竞争有限，Allena为主要先行者，尚无上市产品；中国本土企业尚未进入口服领域，具“跟随中创新”窗口。</w:t>
      </w:r>
    </w:p>
    <w:p>
      <w:pPr>
        <w:pStyle w:val="Compact"/>
        <w:numPr>
          <w:ilvl w:val="1"/>
          <w:numId w:val="1026"/>
        </w:numPr>
      </w:pPr>
      <w:r>
        <w:rPr>
          <w:rFonts w:hint="eastAsia"/>
        </w:rPr>
        <w:t xml:space="preserve">但技术与监管风险高，开发周期长、投入大，适合作为中长期战略型项目，而非短期回报品种。</w:t>
      </w:r>
    </w:p>
    <w:p>
      <w:pPr>
        <w:pStyle w:val="Compact"/>
        <w:numPr>
          <w:ilvl w:val="0"/>
          <w:numId w:val="1025"/>
        </w:numPr>
      </w:pPr>
      <w:r>
        <w:rPr>
          <w:rFonts w:hint="eastAsia"/>
          <w:b/>
          <w:bCs/>
        </w:rPr>
        <w:t xml:space="preserve">技术路径优先级（在口服赛道内）</w:t>
      </w:r>
    </w:p>
    <w:p>
      <w:pPr>
        <w:pStyle w:val="Compact"/>
        <w:numPr>
          <w:ilvl w:val="1"/>
          <w:numId w:val="1027"/>
        </w:numPr>
      </w:pPr>
      <w:r>
        <w:rPr>
          <w:rFonts w:hint="eastAsia"/>
        </w:rPr>
        <w:t xml:space="preserve">短中期优先：</w:t>
      </w:r>
      <w:r>
        <w:rPr>
          <w:rFonts w:hint="eastAsia"/>
          <w:b/>
          <w:bCs/>
        </w:rPr>
        <w:t xml:space="preserve">重组酶+肠道局部起效口服制剂</w:t>
      </w:r>
      <w:r>
        <w:rPr>
          <w:rFonts w:hint="eastAsia"/>
        </w:rPr>
        <w:t xml:space="preserve">（借鉴ALLN‑346），原因是临床机制清晰、免疫风险可控、监管路径已有先例。[</w:t>
      </w:r>
      <w:hyperlink r:id="rId20">
        <w:r>
          <w:rPr>
            <w:rStyle w:val="38"/>
          </w:rPr>
          <w:t xml:space="preserve">7</w:t>
        </w:r>
      </w:hyperlink>
      <w:r>
        <w:t xml:space="preserve">][</w:t>
      </w:r>
      <w:hyperlink r:id="rId21">
        <w:r>
          <w:rPr>
            <w:rStyle w:val="38"/>
          </w:rPr>
          <w:t xml:space="preserve">8</w:t>
        </w:r>
      </w:hyperlink>
      <w:r>
        <w:t xml:space="preserve">]</w:t>
      </w:r>
    </w:p>
    <w:p>
      <w:pPr>
        <w:pStyle w:val="Compact"/>
        <w:numPr>
          <w:ilvl w:val="1"/>
          <w:numId w:val="1027"/>
        </w:numPr>
      </w:pPr>
      <w:r>
        <w:rPr>
          <w:rFonts w:hint="eastAsia"/>
        </w:rPr>
        <w:t xml:space="preserve">中长期布局：</w:t>
      </w:r>
      <w:r>
        <w:rPr>
          <w:rFonts w:hint="eastAsia"/>
          <w:b/>
          <w:bCs/>
        </w:rPr>
        <w:t xml:space="preserve">工程菌/微囊化工程菌</w:t>
      </w:r>
      <w:r>
        <w:rPr>
          <w:rFonts w:hint="eastAsia"/>
        </w:rPr>
        <w:t xml:space="preserve">，作为平台型项目，需在工程菌安全性与监管路径上进行更深入探索。[</w:t>
      </w:r>
      <w:hyperlink r:id="rId22">
        <w:r>
          <w:rPr>
            <w:rStyle w:val="38"/>
          </w:rPr>
          <w:t xml:space="preserve">9</w:t>
        </w:r>
      </w:hyperlink>
      <w:r>
        <w:t xml:space="preserve">][</w:t>
      </w:r>
      <w:hyperlink r:id="rId23">
        <w:r>
          <w:rPr>
            <w:rStyle w:val="38"/>
          </w:rPr>
          <w:t xml:space="preserve">10</w:t>
        </w:r>
      </w:hyperlink>
      <w:r>
        <w:t xml:space="preserve">][</w:t>
      </w:r>
      <w:hyperlink r:id="rId29">
        <w:r>
          <w:rPr>
            <w:rStyle w:val="38"/>
          </w:rPr>
          <w:t xml:space="preserve">16</w:t>
        </w:r>
      </w:hyperlink>
      <w:r>
        <w:t xml:space="preserve">]</w:t>
      </w:r>
    </w:p>
    <w:p>
      <w:pPr>
        <w:pStyle w:val="Compact"/>
        <w:numPr>
          <w:ilvl w:val="1"/>
          <w:numId w:val="1027"/>
        </w:numPr>
      </w:pPr>
      <w:r>
        <w:rPr>
          <w:rFonts w:hint="eastAsia"/>
        </w:rPr>
        <w:t xml:space="preserve">不建议在早期即大力投入高系统暴露长效分子（如白蛋白多偶联形态），一方面临专利和免疫风险，另一方面与现有注射PEG化品种差异有限。[</w:t>
      </w:r>
      <w:hyperlink r:id="rId26">
        <w:r>
          <w:rPr>
            <w:rStyle w:val="38"/>
          </w:rPr>
          <w:t xml:space="preserve">13</w:t>
        </w:r>
      </w:hyperlink>
      <w:r>
        <w:t xml:space="preserve">][</w:t>
      </w:r>
      <w:hyperlink r:id="rId19">
        <w:r>
          <w:rPr>
            <w:rStyle w:val="38"/>
          </w:rPr>
          <w:t xml:space="preserve">6</w:t>
        </w:r>
      </w:hyperlink>
      <w:r>
        <w:t xml:space="preserve">]</w:t>
      </w:r>
    </w:p>
    <w:p>
      <w:pPr>
        <w:pStyle w:val="Compact"/>
        <w:numPr>
          <w:ilvl w:val="0"/>
          <w:numId w:val="1025"/>
        </w:numPr>
      </w:pPr>
      <w:r>
        <w:rPr>
          <w:rFonts w:hint="eastAsia"/>
          <w:b/>
          <w:bCs/>
        </w:rPr>
        <w:t xml:space="preserve">联合与平台合作策略</w:t>
      </w:r>
    </w:p>
    <w:p>
      <w:pPr>
        <w:pStyle w:val="Compact"/>
        <w:numPr>
          <w:ilvl w:val="1"/>
          <w:numId w:val="1028"/>
        </w:numPr>
      </w:pPr>
      <w:r>
        <w:rPr>
          <w:rFonts w:hint="eastAsia"/>
        </w:rPr>
        <w:t xml:space="preserve">与拥有工程菌与口服蛋白递送平台的学术机构（如北航、国家纳米中心）及中南大学等建立“产学研联盟”，快速转化现有工程菌降尿酸成果。[</w:t>
      </w:r>
      <w:hyperlink r:id="rId41">
        <w:r>
          <w:rPr>
            <w:rStyle w:val="38"/>
          </w:rPr>
          <w:t xml:space="preserve">23</w:t>
        </w:r>
      </w:hyperlink>
      <w:r>
        <w:t xml:space="preserve">][</w:t>
      </w:r>
      <w:hyperlink r:id="rId22">
        <w:r>
          <w:rPr>
            <w:rStyle w:val="38"/>
          </w:rPr>
          <w:t xml:space="preserve">9</w:t>
        </w:r>
      </w:hyperlink>
      <w:r>
        <w:t xml:space="preserve">]</w:t>
      </w:r>
    </w:p>
    <w:p>
      <w:pPr>
        <w:pStyle w:val="Compact"/>
        <w:numPr>
          <w:ilvl w:val="1"/>
          <w:numId w:val="1028"/>
        </w:numPr>
      </w:pPr>
      <w:r>
        <w:rPr>
          <w:rFonts w:hint="eastAsia"/>
        </w:rPr>
        <w:t xml:space="preserve">利用国内已有口服蛋白/多肽生产线经验（如口服胰岛素项目）建设或外包口服蛋白制剂产业化平台。[</w:t>
      </w:r>
      <w:hyperlink r:id="rId78">
        <w:r>
          <w:rPr>
            <w:rStyle w:val="38"/>
          </w:rPr>
          <w:t xml:space="preserve">40</w:t>
        </w:r>
      </w:hyperlink>
      <w:r>
        <w:t xml:space="preserve">]</w:t>
      </w:r>
    </w:p>
    <w:p>
      <w:pPr>
        <w:pStyle w:val="Compact"/>
        <w:numPr>
          <w:ilvl w:val="0"/>
          <w:numId w:val="1025"/>
        </w:numPr>
      </w:pPr>
      <w:r>
        <w:rPr>
          <w:rFonts w:hint="eastAsia"/>
          <w:b/>
          <w:bCs/>
        </w:rPr>
        <w:t xml:space="preserve">临床与支付策略要点</w:t>
      </w:r>
    </w:p>
    <w:p>
      <w:pPr>
        <w:pStyle w:val="Compact"/>
        <w:numPr>
          <w:ilvl w:val="1"/>
          <w:numId w:val="1029"/>
        </w:numPr>
      </w:pPr>
      <w:r>
        <w:rPr>
          <w:rFonts w:hint="eastAsia"/>
        </w:rPr>
        <w:t xml:space="preserve">早期临床试验设计应聚焦于明确高未满足需求的CKD合并痛风人群，与ALLN‑346形成差异化或me‑too竞争格局。[</w:t>
      </w:r>
      <w:hyperlink r:id="rId20">
        <w:r>
          <w:rPr>
            <w:rStyle w:val="38"/>
          </w:rPr>
          <w:t xml:space="preserve">7</w:t>
        </w:r>
      </w:hyperlink>
      <w:r>
        <w:t xml:space="preserve">][</w:t>
      </w:r>
      <w:hyperlink r:id="rId80">
        <w:r>
          <w:rPr>
            <w:rStyle w:val="38"/>
          </w:rPr>
          <w:t xml:space="preserve">42</w:t>
        </w:r>
      </w:hyperlink>
      <w:r>
        <w:t xml:space="preserve">]</w:t>
      </w:r>
    </w:p>
    <w:p>
      <w:pPr>
        <w:pStyle w:val="Compact"/>
        <w:numPr>
          <w:ilvl w:val="1"/>
          <w:numId w:val="1029"/>
        </w:numPr>
      </w:pPr>
      <w:r>
        <w:rPr>
          <w:rFonts w:hint="eastAsia"/>
        </w:rPr>
        <w:t xml:space="preserve">在中国开发时应提前规划医保准入与真实世界研究，积累“改善达标率”“减少痛风发作”“缓解CKD进展”的证据，为医保谈判提供支撑。[</w:t>
      </w:r>
      <w:hyperlink r:id="rId16">
        <w:r>
          <w:rPr>
            <w:rStyle w:val="38"/>
          </w:rPr>
          <w:t xml:space="preserve">3</w:t>
        </w:r>
      </w:hyperlink>
      <w:r>
        <w:t xml:space="preserve">][</w:t>
      </w:r>
      <w:hyperlink r:id="rId27">
        <w:r>
          <w:rPr>
            <w:rStyle w:val="38"/>
          </w:rPr>
          <w:t xml:space="preserve">14</w:t>
        </w:r>
      </w:hyperlink>
      <w:r>
        <w:t xml:space="preserve">]</w:t>
      </w:r>
    </w:p>
    <w:p>
      <w:pPr>
        <w:pStyle w:val="Compact"/>
        <w:numPr>
          <w:ilvl w:val="1"/>
          <w:numId w:val="1029"/>
        </w:numPr>
      </w:pPr>
      <w:r>
        <w:rPr>
          <w:rFonts w:hint="eastAsia"/>
        </w:rPr>
        <w:t xml:space="preserve">价格策略上可参考：传统仿制小分子为低价基线，注射酶为高价上限，口服尿酸酶需要在成本允许范围内定位于中高价，确保有足够临床价值支撑成本效果。</w:t>
      </w:r>
    </w:p>
    <w:p>
      <w:r>
        <w:pict>
          <v:rect style="width:0;height:1.5pt" o:hralign="center" o:hrstd="t" o:hr="t"/>
        </w:pict>
      </w:r>
    </w:p>
    <w:bookmarkEnd w:id="88"/>
    <w:bookmarkEnd w:id="89"/>
    <w:bookmarkStart w:id="90" w:name="八结语"/>
    <w:p>
      <w:pPr>
        <w:pStyle w:val="3"/>
      </w:pPr>
      <w:r>
        <w:rPr>
          <w:rFonts w:hint="eastAsia"/>
        </w:rPr>
        <w:t xml:space="preserve">八、结语</w:t>
      </w:r>
    </w:p>
    <w:p>
      <w:pPr>
        <w:pStyle w:val="FirstParagraph"/>
      </w:pPr>
      <w:r>
        <w:rPr>
          <w:rFonts w:hint="eastAsia"/>
        </w:rPr>
        <w:t xml:space="preserve">现阶段，口服尿酸酶尚处于全球早期创新阶段，但其所瞄准的痛风/高尿酸合并CKD等特殊人群具有明确且越来越受重视的未满足需求。Allena</w:t>
      </w:r>
      <w:r>
        <w:t xml:space="preserve"> </w:t>
      </w:r>
      <w:r>
        <w:rPr>
          <w:rFonts w:hint="eastAsia"/>
        </w:rPr>
        <w:t xml:space="preserve">的ALLN‑346为口服尿酸酶提供了初步的可行性信号，而中国在工程菌与口服蛋白递送领域已有一定技术基础和大型慢病市场环境，为本土企业在该赛道上开展中长期布局提供了条件。</w:t>
      </w:r>
    </w:p>
    <w:p>
      <w:pPr>
        <w:pStyle w:val="7"/>
      </w:pPr>
      <w:r>
        <w:rPr>
          <w:rFonts w:hint="eastAsia"/>
        </w:rPr>
        <w:t xml:space="preserve">综合技术难度、监管风险与市场潜力，口服尿酸酶对于有生物制剂与工程菌平台基础、具备中长期创新战略的中国企业而言，具有“谨慎立项、重点聚焦CKD等高价值人群、循序渐进推进”的现实意义。后续决策需在补充系统专利与FTO分析、更新ALLN‑346最新临床数据、获取更精确的中国分层患病与治疗失败率数据基础上，进一步量化市场模型与财务回报。当前研究则提供了立项前战略评估的基础框架与证据支撑。</w:t>
      </w:r>
    </w:p>
    <w:bookmarkEnd w:id="90"/>
    <w:bookmarkStart w:id="124" w:name="references"/>
    <w:p>
      <w:pPr>
        <w:pStyle w:val="3"/>
      </w:pPr>
      <w:r>
        <w:t xml:space="preserve">References</w:t>
      </w:r>
    </w:p>
    <w:p>
      <w:pPr>
        <w:pStyle w:val="Compact"/>
        <w:numPr>
          <w:ilvl w:val="0"/>
          <w:numId w:val="1030"/>
        </w:numPr>
      </w:pPr>
      <w:hyperlink r:id="rId14">
        <w:r>
          <w:rPr>
            <w:rStyle w:val="38"/>
          </w:rPr>
          <w:t xml:space="preserve">Demographic, regional and temporal trends of hyperuricemia epidemics in mainland China from 2000 to 2019: a systematic review and meta-analysis.</w:t>
        </w:r>
      </w:hyperlink>
    </w:p>
    <w:p>
      <w:pPr>
        <w:pStyle w:val="Compact"/>
        <w:numPr>
          <w:ilvl w:val="0"/>
          <w:numId w:val="1030"/>
        </w:numPr>
      </w:pPr>
      <w:hyperlink r:id="rId15">
        <w:r>
          <w:rPr>
            <w:rStyle w:val="38"/>
            <w:rFonts w:hint="eastAsia"/>
          </w:rPr>
          <w:t xml:space="preserve">由于高尿酸血症及痛风在全球的患病率和患病人数逐年上升</w:t>
        </w:r>
      </w:hyperlink>
    </w:p>
    <w:p>
      <w:pPr>
        <w:pStyle w:val="Compact"/>
        <w:numPr>
          <w:ilvl w:val="0"/>
          <w:numId w:val="1030"/>
        </w:numPr>
      </w:pPr>
      <w:hyperlink r:id="rId16">
        <w:r>
          <w:rPr>
            <w:rStyle w:val="38"/>
            <w:rFonts w:hint="eastAsia"/>
          </w:rPr>
          <w:t xml:space="preserve">02月26日-中国高尿酸血症与痛风诊疗指南(2019)—裴和平(42页)-原创力文档</w:t>
        </w:r>
      </w:hyperlink>
    </w:p>
    <w:p>
      <w:pPr>
        <w:pStyle w:val="Compact"/>
        <w:numPr>
          <w:ilvl w:val="0"/>
          <w:numId w:val="1030"/>
        </w:numPr>
      </w:pPr>
      <w:hyperlink r:id="rId17">
        <w:r>
          <w:rPr>
            <w:rStyle w:val="38"/>
          </w:rPr>
          <w:t xml:space="preserve">2016 updated EULAR evidence-based recommendations for the management of gout.</w:t>
        </w:r>
      </w:hyperlink>
    </w:p>
    <w:p>
      <w:pPr>
        <w:pStyle w:val="Compact"/>
        <w:numPr>
          <w:ilvl w:val="0"/>
          <w:numId w:val="1030"/>
        </w:numPr>
      </w:pPr>
      <w:hyperlink r:id="rId18">
        <w:r>
          <w:rPr>
            <w:rStyle w:val="38"/>
            <w:rFonts w:hint="eastAsia"/>
          </w:rPr>
          <w:t xml:space="preserve">尿酸酶多少钱一支(尿酸酶要一直注射吗)_北京沃威科技有限公司</w:t>
        </w:r>
      </w:hyperlink>
    </w:p>
    <w:p>
      <w:pPr>
        <w:pStyle w:val="Compact"/>
        <w:numPr>
          <w:ilvl w:val="0"/>
          <w:numId w:val="1030"/>
        </w:numPr>
      </w:pPr>
      <w:hyperlink r:id="rId19">
        <w:r>
          <w:rPr>
            <w:rStyle w:val="38"/>
          </w:rPr>
          <w:t xml:space="preserve">Infusion-Related Reactions With Pegloticase, a Recombinant Uricase for the Treatment of Chronic Gout Refractory to Conventional Therapy</w:t>
        </w:r>
      </w:hyperlink>
    </w:p>
    <w:p>
      <w:pPr>
        <w:pStyle w:val="Compact"/>
        <w:numPr>
          <w:ilvl w:val="0"/>
          <w:numId w:val="1030"/>
        </w:numPr>
      </w:pPr>
      <w:hyperlink r:id="rId20">
        <w:r>
          <w:rPr>
            <w:rStyle w:val="38"/>
            <w:rFonts w:hint="eastAsia"/>
          </w:rPr>
          <w:t xml:space="preserve">美股异动</w:t>
        </w:r>
        <w:r>
          <w:rPr>
            <w:rStyle w:val="38"/>
          </w:rPr>
          <w:t xml:space="preserve"> </w:t>
        </w:r>
        <w:r>
          <w:rPr>
            <w:rStyle w:val="38"/>
            <w:rFonts w:hint="eastAsia"/>
          </w:rPr>
          <w:t xml:space="preserve">Allena(ALNA.US)盘前飙升超54%</w:t>
        </w:r>
        <w:r>
          <w:rPr>
            <w:rStyle w:val="38"/>
          </w:rPr>
          <w:t xml:space="preserve"> </w:t>
        </w:r>
        <w:r>
          <w:rPr>
            <w:rStyle w:val="38"/>
            <w:rFonts w:hint="eastAsia"/>
          </w:rPr>
          <w:t xml:space="preserve">更新旗下治疗痛风药物临床试验进展-股票频道-和讯网</w:t>
        </w:r>
      </w:hyperlink>
    </w:p>
    <w:p>
      <w:pPr>
        <w:pStyle w:val="Compact"/>
        <w:numPr>
          <w:ilvl w:val="0"/>
          <w:numId w:val="1030"/>
        </w:numPr>
      </w:pPr>
      <w:hyperlink r:id="rId21">
        <w:r>
          <w:rPr>
            <w:rStyle w:val="38"/>
            <w:rFonts w:hint="eastAsia"/>
          </w:rPr>
          <w:t xml:space="preserve">潜在“first-in-class”!口服尿酸降解酶获FDA快速通道资格肾病明康德_网易订阅</w:t>
        </w:r>
      </w:hyperlink>
    </w:p>
    <w:p>
      <w:pPr>
        <w:pStyle w:val="Compact"/>
        <w:numPr>
          <w:ilvl w:val="0"/>
          <w:numId w:val="1030"/>
        </w:numPr>
      </w:pPr>
      <w:hyperlink r:id="rId22">
        <w:r>
          <w:rPr>
            <w:rStyle w:val="38"/>
            <w:rFonts w:hint="eastAsia"/>
          </w:rPr>
          <w:t xml:space="preserve">微囊化不可繁殖型尿酸氧化酶工程菌的制备–《生物技术通讯》2008年06期</w:t>
        </w:r>
      </w:hyperlink>
    </w:p>
    <w:p>
      <w:pPr>
        <w:pStyle w:val="Compact"/>
        <w:numPr>
          <w:ilvl w:val="0"/>
          <w:numId w:val="1030"/>
        </w:numPr>
      </w:pPr>
      <w:hyperlink r:id="rId23">
        <w:r>
          <w:rPr>
            <w:rStyle w:val="38"/>
            <w:rFonts w:hint="eastAsia"/>
          </w:rPr>
          <w:t xml:space="preserve">产尿酸氧化酶基因工程菌的构建</w:t>
        </w:r>
        <w:r>
          <w:rPr>
            <w:rStyle w:val="38"/>
          </w:rPr>
          <w:t xml:space="preserve"> - </w:t>
        </w:r>
        <w:r>
          <w:rPr>
            <w:rStyle w:val="38"/>
            <w:rFonts w:hint="eastAsia"/>
          </w:rPr>
          <w:t xml:space="preserve">道客巴巴</w:t>
        </w:r>
      </w:hyperlink>
    </w:p>
    <w:p>
      <w:pPr>
        <w:pStyle w:val="Compact"/>
        <w:numPr>
          <w:ilvl w:val="0"/>
          <w:numId w:val="1030"/>
        </w:numPr>
      </w:pPr>
      <w:hyperlink r:id="rId24">
        <w:r>
          <w:rPr>
            <w:rStyle w:val="38"/>
          </w:rPr>
          <w:t xml:space="preserve">Variant forms of urate oxidase and use thereof</w:t>
        </w:r>
      </w:hyperlink>
    </w:p>
    <w:p>
      <w:pPr>
        <w:pStyle w:val="Compact"/>
        <w:numPr>
          <w:ilvl w:val="0"/>
          <w:numId w:val="1030"/>
        </w:numPr>
      </w:pPr>
      <w:hyperlink r:id="rId25">
        <w:r>
          <w:rPr>
            <w:rStyle w:val="38"/>
          </w:rPr>
          <w:t xml:space="preserve">Systems and methods related to degradation of uremic toxins</w:t>
        </w:r>
      </w:hyperlink>
    </w:p>
    <w:p>
      <w:pPr>
        <w:pStyle w:val="Compact"/>
        <w:numPr>
          <w:ilvl w:val="0"/>
          <w:numId w:val="1030"/>
        </w:numPr>
      </w:pPr>
      <w:hyperlink r:id="rId26">
        <w:r>
          <w:rPr>
            <w:rStyle w:val="38"/>
          </w:rPr>
          <w:t xml:space="preserve">Urate oxidase-albumin conjugate, preparation method thereof, and use thereof</w:t>
        </w:r>
      </w:hyperlink>
    </w:p>
    <w:p>
      <w:pPr>
        <w:pStyle w:val="Compact"/>
        <w:numPr>
          <w:ilvl w:val="0"/>
          <w:numId w:val="1030"/>
        </w:numPr>
      </w:pPr>
      <w:hyperlink r:id="rId27">
        <w:r>
          <w:rPr>
            <w:rStyle w:val="38"/>
            <w:rFonts w:hint="eastAsia"/>
          </w:rPr>
          <w:t xml:space="preserve">中国创新药医保谈判、市场准入及市场变化有哪些?</w:t>
        </w:r>
        <w:r>
          <w:rPr>
            <w:rStyle w:val="38"/>
          </w:rPr>
          <w:t xml:space="preserve"> - </w:t>
        </w:r>
        <w:r>
          <w:rPr>
            <w:rStyle w:val="38"/>
            <w:rFonts w:hint="eastAsia"/>
          </w:rPr>
          <w:t xml:space="preserve">问答集锦</w:t>
        </w:r>
        <w:r>
          <w:rPr>
            <w:rStyle w:val="38"/>
          </w:rPr>
          <w:t xml:space="preserve"> - </w:t>
        </w:r>
        <w:r>
          <w:rPr>
            <w:rStyle w:val="38"/>
            <w:rFonts w:hint="eastAsia"/>
          </w:rPr>
          <w:t xml:space="preserve">未来智库</w:t>
        </w:r>
      </w:hyperlink>
    </w:p>
    <w:p>
      <w:pPr>
        <w:pStyle w:val="Compact"/>
        <w:numPr>
          <w:ilvl w:val="0"/>
          <w:numId w:val="1030"/>
        </w:numPr>
      </w:pPr>
      <w:hyperlink r:id="rId28">
        <w:r>
          <w:rPr>
            <w:rStyle w:val="38"/>
            <w:rFonts w:hint="eastAsia"/>
          </w:rPr>
          <w:t xml:space="preserve">医药行业带量采购深度跟踪报告:试点城市细则落地,诸多要素确保顺利推进</w:t>
        </w:r>
        <w:r>
          <w:rPr>
            <w:rStyle w:val="38"/>
          </w:rPr>
          <w:t xml:space="preserve"> - </w:t>
        </w:r>
        <w:r>
          <w:rPr>
            <w:rStyle w:val="38"/>
            <w:rFonts w:hint="eastAsia"/>
          </w:rPr>
          <w:t xml:space="preserve">道客巴巴</w:t>
        </w:r>
      </w:hyperlink>
    </w:p>
    <w:p>
      <w:pPr>
        <w:pStyle w:val="Compact"/>
        <w:numPr>
          <w:ilvl w:val="0"/>
          <w:numId w:val="1030"/>
        </w:numPr>
      </w:pPr>
      <w:hyperlink r:id="rId29">
        <w:r>
          <w:rPr>
            <w:rStyle w:val="38"/>
            <w:rFonts w:hint="eastAsia"/>
          </w:rPr>
          <w:t xml:space="preserve">FDA:活体生物治疗产品的早期临床试验:化学、制造和控制信息-指南&amp;解读指南-MedSci.cn</w:t>
        </w:r>
      </w:hyperlink>
    </w:p>
    <w:p>
      <w:pPr>
        <w:pStyle w:val="Compact"/>
        <w:numPr>
          <w:ilvl w:val="0"/>
          <w:numId w:val="1030"/>
        </w:numPr>
      </w:pPr>
      <w:hyperlink r:id="rId30">
        <w:r>
          <w:rPr>
            <w:rStyle w:val="38"/>
            <w:rFonts w:hint="eastAsia"/>
          </w:rPr>
          <w:t xml:space="preserve">EMA生物技术药品工艺验证指南(2016年)(中文版)</w:t>
        </w:r>
        <w:r>
          <w:rPr>
            <w:rStyle w:val="38"/>
          </w:rPr>
          <w:t xml:space="preserve"> - </w:t>
        </w:r>
        <w:r>
          <w:rPr>
            <w:rStyle w:val="38"/>
            <w:rFonts w:hint="eastAsia"/>
          </w:rPr>
          <w:t xml:space="preserve">豆丁网</w:t>
        </w:r>
      </w:hyperlink>
    </w:p>
    <w:p>
      <w:pPr>
        <w:pStyle w:val="Compact"/>
        <w:numPr>
          <w:ilvl w:val="0"/>
          <w:numId w:val="1030"/>
        </w:numPr>
      </w:pPr>
      <w:hyperlink r:id="rId31">
        <w:r>
          <w:rPr>
            <w:rStyle w:val="38"/>
            <w:rFonts w:hint="eastAsia"/>
          </w:rPr>
          <w:t xml:space="preserve">gempex速递</w:t>
        </w:r>
        <w:r>
          <w:rPr>
            <w:rStyle w:val="38"/>
          </w:rPr>
          <w:t xml:space="preserve"> </w:t>
        </w:r>
        <w:r>
          <w:rPr>
            <w:rStyle w:val="38"/>
            <w:rFonts w:hint="eastAsia"/>
          </w:rPr>
          <w:t xml:space="preserve">2025年3月国内外GMP法规指南汇总</w:t>
        </w:r>
      </w:hyperlink>
    </w:p>
    <w:p>
      <w:pPr>
        <w:pStyle w:val="Compact"/>
        <w:numPr>
          <w:ilvl w:val="0"/>
          <w:numId w:val="1030"/>
        </w:numPr>
      </w:pPr>
      <w:hyperlink r:id="rId33">
        <w:r>
          <w:rPr>
            <w:rStyle w:val="38"/>
          </w:rPr>
          <w:t xml:space="preserve">Global, regional, and national burden of gout, 1990-2020, and projections to 2050: a systematic analysis of the Global Burden of Disease Study 2021.</w:t>
        </w:r>
      </w:hyperlink>
    </w:p>
    <w:p>
      <w:pPr>
        <w:pStyle w:val="Compact"/>
        <w:numPr>
          <w:ilvl w:val="0"/>
          <w:numId w:val="1030"/>
        </w:numPr>
      </w:pPr>
      <w:hyperlink r:id="rId34">
        <w:r>
          <w:rPr>
            <w:rStyle w:val="38"/>
            <w:rFonts w:hint="eastAsia"/>
          </w:rPr>
          <w:t xml:space="preserve">中国高尿酸血症与痛风诊疗指南</w:t>
        </w:r>
        <w:r>
          <w:rPr>
            <w:rStyle w:val="38"/>
          </w:rPr>
          <w:t xml:space="preserve"> - </w:t>
        </w:r>
        <w:r>
          <w:rPr>
            <w:rStyle w:val="38"/>
            <w:rFonts w:hint="eastAsia"/>
          </w:rPr>
          <w:t xml:space="preserve">道客巴巴</w:t>
        </w:r>
      </w:hyperlink>
    </w:p>
    <w:p>
      <w:pPr>
        <w:pStyle w:val="Compact"/>
        <w:numPr>
          <w:ilvl w:val="0"/>
          <w:numId w:val="1030"/>
        </w:numPr>
      </w:pPr>
      <w:hyperlink r:id="rId37">
        <w:r>
          <w:rPr>
            <w:rStyle w:val="38"/>
            <w:rFonts w:hint="eastAsia"/>
          </w:rPr>
          <w:t xml:space="preserve">聚乙二醇重组尿酸酶注射液Krystexxa价格_品牌:-丁香通官网</w:t>
        </w:r>
      </w:hyperlink>
    </w:p>
    <w:p>
      <w:pPr>
        <w:pStyle w:val="Compact"/>
        <w:numPr>
          <w:ilvl w:val="0"/>
          <w:numId w:val="1030"/>
        </w:numPr>
      </w:pPr>
      <w:hyperlink r:id="rId40">
        <w:r>
          <w:rPr>
            <w:rStyle w:val="38"/>
          </w:rPr>
          <w:t xml:space="preserve">Urate crystal degradation for treatment of gout: a nanoparticulate combination therapy approach Drug Delivery and Translational Research</w:t>
        </w:r>
      </w:hyperlink>
    </w:p>
    <w:p>
      <w:pPr>
        <w:pStyle w:val="Compact"/>
        <w:numPr>
          <w:ilvl w:val="0"/>
          <w:numId w:val="1030"/>
        </w:numPr>
      </w:pPr>
      <w:hyperlink r:id="rId41">
        <w:r>
          <w:rPr>
            <w:rStyle w:val="38"/>
            <w:rFonts w:hint="eastAsia"/>
          </w:rPr>
          <w:t xml:space="preserve">北航等联合开发基于工程益生菌的口服蛋白递送新技术,用于治疗代谢性疾病</w:t>
        </w:r>
      </w:hyperlink>
    </w:p>
    <w:p>
      <w:pPr>
        <w:pStyle w:val="Compact"/>
        <w:numPr>
          <w:ilvl w:val="0"/>
          <w:numId w:val="1030"/>
        </w:numPr>
      </w:pPr>
      <w:hyperlink r:id="rId42">
        <w:r>
          <w:rPr>
            <w:rStyle w:val="38"/>
          </w:rPr>
          <w:t xml:space="preserve">Xiaoyun Su</w:t>
        </w:r>
      </w:hyperlink>
    </w:p>
    <w:p>
      <w:pPr>
        <w:pStyle w:val="Compact"/>
        <w:numPr>
          <w:ilvl w:val="0"/>
          <w:numId w:val="1030"/>
        </w:numPr>
      </w:pPr>
      <w:hyperlink r:id="rId45">
        <w:r>
          <w:rPr>
            <w:rStyle w:val="38"/>
          </w:rPr>
          <w:t xml:space="preserve">Allena Pharmaceuticals Homepage</w:t>
        </w:r>
      </w:hyperlink>
    </w:p>
    <w:p>
      <w:pPr>
        <w:pStyle w:val="Compact"/>
        <w:numPr>
          <w:ilvl w:val="0"/>
          <w:numId w:val="1030"/>
        </w:numPr>
      </w:pPr>
      <w:hyperlink r:id="rId48">
        <w:r>
          <w:rPr>
            <w:rStyle w:val="38"/>
            <w:rFonts w:hint="eastAsia"/>
          </w:rPr>
          <w:t xml:space="preserve">中国生物:注射用培尿酸酶获批临床,将尽早造福痛风患者_绿政公署_澎湃新闻-The</w:t>
        </w:r>
        <w:r>
          <w:rPr>
            <w:rStyle w:val="38"/>
          </w:rPr>
          <w:t xml:space="preserve"> Paper</w:t>
        </w:r>
      </w:hyperlink>
    </w:p>
    <w:p>
      <w:pPr>
        <w:pStyle w:val="Compact"/>
        <w:numPr>
          <w:ilvl w:val="0"/>
          <w:numId w:val="1030"/>
        </w:numPr>
      </w:pPr>
      <w:hyperlink r:id="rId49">
        <w:r>
          <w:rPr>
            <w:rStyle w:val="38"/>
            <w:rFonts w:hint="eastAsia"/>
          </w:rPr>
          <w:t xml:space="preserve">君实生物(01877)自主研发治疗高尿酸血症药JS103注射液的临床试验申请获得受理痛风_新浪财经_新浪网</w:t>
        </w:r>
      </w:hyperlink>
    </w:p>
    <w:p>
      <w:pPr>
        <w:pStyle w:val="Compact"/>
        <w:numPr>
          <w:ilvl w:val="0"/>
          <w:numId w:val="1030"/>
        </w:numPr>
      </w:pPr>
      <w:hyperlink r:id="rId91">
        <w:r>
          <w:rPr>
            <w:rStyle w:val="38"/>
          </w:rPr>
          <w:t xml:space="preserve">Recombinant uricase enzyme</w:t>
        </w:r>
      </w:hyperlink>
    </w:p>
    <w:p>
      <w:pPr>
        <w:pStyle w:val="Compact"/>
        <w:numPr>
          <w:ilvl w:val="0"/>
          <w:numId w:val="1030"/>
        </w:numPr>
      </w:pPr>
      <w:hyperlink r:id="rId55">
        <w:r>
          <w:rPr>
            <w:rStyle w:val="38"/>
            <w:rFonts w:hint="eastAsia"/>
          </w:rPr>
          <w:t xml:space="preserve">近5年高尿酸痛风市场增长趋势分析</w:t>
        </w:r>
        <w:r>
          <w:rPr>
            <w:rStyle w:val="38"/>
          </w:rPr>
          <w:t xml:space="preserve"> - </w:t>
        </w:r>
        <w:r>
          <w:rPr>
            <w:rStyle w:val="38"/>
            <w:rFonts w:hint="eastAsia"/>
          </w:rPr>
          <w:t xml:space="preserve">哔哩哔哩</w:t>
        </w:r>
      </w:hyperlink>
    </w:p>
    <w:p>
      <w:pPr>
        <w:pStyle w:val="Compact"/>
        <w:numPr>
          <w:ilvl w:val="0"/>
          <w:numId w:val="1030"/>
        </w:numPr>
      </w:pPr>
      <w:hyperlink r:id="rId57">
        <w:r>
          <w:rPr>
            <w:rStyle w:val="38"/>
            <w:rFonts w:hint="eastAsia"/>
          </w:rPr>
          <w:t xml:space="preserve">非布司他-国家医保目录2024</w:t>
        </w:r>
      </w:hyperlink>
    </w:p>
    <w:p>
      <w:pPr>
        <w:pStyle w:val="Compact"/>
        <w:numPr>
          <w:ilvl w:val="0"/>
          <w:numId w:val="1030"/>
        </w:numPr>
      </w:pPr>
      <w:hyperlink r:id="rId58">
        <w:r>
          <w:rPr>
            <w:rStyle w:val="38"/>
            <w:rFonts w:hint="eastAsia"/>
          </w:rPr>
          <w:t xml:space="preserve">2024-2030年全球及中国苯溴马隆片行业规模预测及发展价值研究报告_销量_收入_地区</w:t>
        </w:r>
      </w:hyperlink>
    </w:p>
    <w:p>
      <w:pPr>
        <w:pStyle w:val="Compact"/>
        <w:numPr>
          <w:ilvl w:val="0"/>
          <w:numId w:val="1030"/>
        </w:numPr>
      </w:pPr>
      <w:hyperlink r:id="rId59">
        <w:r>
          <w:rPr>
            <w:rStyle w:val="38"/>
            <w:rFonts w:hint="eastAsia"/>
          </w:rPr>
          <w:t xml:space="preserve">药品集中带量采购对医药行业的影响研究.pdf_咨信网zixin.com.cn</w:t>
        </w:r>
      </w:hyperlink>
    </w:p>
    <w:p>
      <w:pPr>
        <w:pStyle w:val="Compact"/>
        <w:numPr>
          <w:ilvl w:val="0"/>
          <w:numId w:val="1030"/>
        </w:numPr>
      </w:pPr>
      <w:hyperlink r:id="rId63">
        <w:r>
          <w:rPr>
            <w:rStyle w:val="38"/>
            <w:rFonts w:hint="eastAsia"/>
          </w:rPr>
          <w:t xml:space="preserve">2025年创新药市场分析:创新药价格机制变革.docx-原创力文档</w:t>
        </w:r>
      </w:hyperlink>
    </w:p>
    <w:p>
      <w:pPr>
        <w:pStyle w:val="Compact"/>
        <w:numPr>
          <w:ilvl w:val="0"/>
          <w:numId w:val="1030"/>
        </w:numPr>
      </w:pPr>
      <w:hyperlink r:id="rId64">
        <w:r>
          <w:rPr>
            <w:rStyle w:val="38"/>
            <w:rFonts w:hint="eastAsia"/>
          </w:rPr>
          <w:t xml:space="preserve">2024年医疗保障事业发展速报:关键数据与趋势分析_服务_患者_医保</w:t>
        </w:r>
      </w:hyperlink>
    </w:p>
    <w:p>
      <w:pPr>
        <w:pStyle w:val="Compact"/>
        <w:numPr>
          <w:ilvl w:val="0"/>
          <w:numId w:val="1030"/>
        </w:numPr>
      </w:pPr>
      <w:hyperlink r:id="rId66">
        <w:r>
          <w:rPr>
            <w:rStyle w:val="38"/>
            <w:rFonts w:hint="eastAsia"/>
          </w:rPr>
          <w:t xml:space="preserve">带量采购政策下制药企业投标过程中的价格决策分析——基于博弈论的视角.pdf-原创力文档</w:t>
        </w:r>
      </w:hyperlink>
    </w:p>
    <w:p>
      <w:pPr>
        <w:pStyle w:val="Compact"/>
        <w:numPr>
          <w:ilvl w:val="0"/>
          <w:numId w:val="1030"/>
        </w:numPr>
      </w:pPr>
      <w:hyperlink r:id="rId68">
        <w:r>
          <w:rPr>
            <w:rStyle w:val="38"/>
            <w:rFonts w:hint="eastAsia"/>
          </w:rPr>
          <w:t xml:space="preserve">可行性分析报告</w:t>
        </w:r>
      </w:hyperlink>
    </w:p>
    <w:p>
      <w:pPr>
        <w:pStyle w:val="Compact"/>
        <w:numPr>
          <w:ilvl w:val="0"/>
          <w:numId w:val="1030"/>
        </w:numPr>
      </w:pPr>
      <w:hyperlink r:id="rId69">
        <w:r>
          <w:rPr>
            <w:rStyle w:val="38"/>
            <w:rFonts w:hint="eastAsia"/>
          </w:rPr>
          <w:t xml:space="preserve">分级诊疗策略分析.pdf-原创力文档</w:t>
        </w:r>
      </w:hyperlink>
    </w:p>
    <w:p>
      <w:pPr>
        <w:pStyle w:val="Compact"/>
        <w:numPr>
          <w:ilvl w:val="0"/>
          <w:numId w:val="1030"/>
        </w:numPr>
      </w:pPr>
      <w:hyperlink r:id="rId73">
        <w:r>
          <w:rPr>
            <w:rStyle w:val="38"/>
            <w:rFonts w:hint="eastAsia"/>
          </w:rPr>
          <w:t xml:space="preserve">FDA关于活体生物药（Live</w:t>
        </w:r>
        <w:r>
          <w:rPr>
            <w:rStyle w:val="38"/>
          </w:rPr>
          <w:t xml:space="preserve"> </w:t>
        </w:r>
        <w:r>
          <w:rPr>
            <w:rStyle w:val="38"/>
            <w:rFonts w:hint="eastAsia"/>
          </w:rPr>
          <w:t xml:space="preserve">Biotherapeutisc，LBP）早期临床实验的CMC指南</w:t>
        </w:r>
      </w:hyperlink>
    </w:p>
    <w:p>
      <w:pPr>
        <w:pStyle w:val="Compact"/>
        <w:numPr>
          <w:ilvl w:val="0"/>
          <w:numId w:val="1030"/>
        </w:numPr>
      </w:pPr>
      <w:hyperlink r:id="rId74">
        <w:r>
          <w:rPr>
            <w:rStyle w:val="38"/>
            <w:rFonts w:hint="eastAsia"/>
          </w:rPr>
          <w:t xml:space="preserve">FDA口服制剂生物利用度研究报告一般性考虑.doc</w:t>
        </w:r>
        <w:r>
          <w:rPr>
            <w:rStyle w:val="38"/>
          </w:rPr>
          <w:t xml:space="preserve"> </w:t>
        </w:r>
        <w:r>
          <w:rPr>
            <w:rStyle w:val="38"/>
            <w:rFonts w:hint="eastAsia"/>
          </w:rPr>
          <w:t xml:space="preserve">免费在线阅读</w:t>
        </w:r>
      </w:hyperlink>
    </w:p>
    <w:p>
      <w:pPr>
        <w:pStyle w:val="Compact"/>
        <w:numPr>
          <w:ilvl w:val="0"/>
          <w:numId w:val="1030"/>
        </w:numPr>
      </w:pPr>
      <w:hyperlink r:id="rId78">
        <w:r>
          <w:rPr>
            <w:rStyle w:val="38"/>
            <w:rFonts w:hint="eastAsia"/>
          </w:rPr>
          <w:t xml:space="preserve">全球首条“口服胰岛素胶囊生产线”竣工</w:t>
        </w:r>
        <w:r>
          <w:rPr>
            <w:rStyle w:val="38"/>
          </w:rPr>
          <w:t xml:space="preserve"> </w:t>
        </w:r>
        <w:r>
          <w:rPr>
            <w:rStyle w:val="38"/>
            <w:rFonts w:hint="eastAsia"/>
          </w:rPr>
          <w:t xml:space="preserve">全球首条“口服胰岛素胶_通化东宝(sh600867)_社区_新浪股市汇</w:t>
        </w:r>
      </w:hyperlink>
    </w:p>
    <w:p>
      <w:pPr>
        <w:pStyle w:val="Compact"/>
        <w:numPr>
          <w:ilvl w:val="0"/>
          <w:numId w:val="1030"/>
        </w:numPr>
      </w:pPr>
      <w:hyperlink r:id="rId79">
        <w:r>
          <w:rPr>
            <w:rStyle w:val="38"/>
            <w:rFonts w:hint="eastAsia"/>
          </w:rPr>
          <w:t xml:space="preserve">尿激酶项目可行性研究报告.pdf-原创力文档</w:t>
        </w:r>
      </w:hyperlink>
    </w:p>
    <w:p>
      <w:pPr>
        <w:pStyle w:val="Compact"/>
        <w:numPr>
          <w:ilvl w:val="0"/>
          <w:numId w:val="1030"/>
        </w:numPr>
      </w:pPr>
      <w:hyperlink r:id="rId80">
        <w:r>
          <w:rPr>
            <w:rStyle w:val="38"/>
          </w:rPr>
          <w:t xml:space="preserve">Pipeline Therapies for Gout Current Rheumatology Reports</w:t>
        </w:r>
      </w:hyperlink>
    </w:p>
    <w:p>
      <w:pPr>
        <w:pStyle w:val="Compact"/>
        <w:numPr>
          <w:ilvl w:val="0"/>
          <w:numId w:val="1030"/>
        </w:numPr>
      </w:pPr>
      <w:hyperlink r:id="rId82">
        <w:r>
          <w:rPr>
            <w:rStyle w:val="38"/>
            <w:rFonts w:hint="eastAsia"/>
          </w:rPr>
          <w:t xml:space="preserve">2023年活体生物药(LBP)相关项目可行性研究报告.docx-原创力文档</w:t>
        </w:r>
      </w:hyperlink>
    </w:p>
    <w:p>
      <w:pPr>
        <w:pStyle w:val="Compact"/>
        <w:numPr>
          <w:ilvl w:val="0"/>
          <w:numId w:val="1030"/>
        </w:numPr>
      </w:pPr>
      <w:hyperlink r:id="rId83">
        <w:r>
          <w:rPr>
            <w:rStyle w:val="38"/>
            <w:rFonts w:hint="eastAsia"/>
          </w:rPr>
          <w:t xml:space="preserve">纳入医保目录对我国创新药市场的影响分析.docx-原创力文档</w:t>
        </w:r>
      </w:hyperlink>
    </w:p>
    <w:p>
      <w:pPr>
        <w:pStyle w:val="60"/>
      </w:pPr>
      <w:r>
        <w:rPr>
          <w:rStyle w:val="72"/>
        </w:rPr>
        <w:t xml:space="preserve">import</w:t>
      </w:r>
      <w:r>
        <w:rPr>
          <w:rStyle w:val="91"/>
        </w:rPr>
        <w:t xml:space="preserve"> torch</w:t>
      </w:r>
      <w:r>
        <w:br/>
      </w:r>
      <w:r>
        <w:rPr>
          <w:rStyle w:val="72"/>
        </w:rPr>
        <w:t xml:space="preserve">import</w:t>
      </w:r>
      <w:r>
        <w:rPr>
          <w:rStyle w:val="91"/>
        </w:rPr>
        <w:t xml:space="preserve"> torch.nn </w:t>
      </w:r>
      <w:r>
        <w:rPr>
          <w:rStyle w:val="72"/>
        </w:rPr>
        <w:t xml:space="preserve">as</w:t>
      </w:r>
      <w:r>
        <w:rPr>
          <w:rStyle w:val="91"/>
        </w:rPr>
        <w:t xml:space="preserve"> nn</w:t>
      </w:r>
      <w:r>
        <w:br/>
      </w:r>
      <w:r>
        <w:rPr>
          <w:rStyle w:val="72"/>
        </w:rPr>
        <w:t xml:space="preserve">import</w:t>
      </w:r>
      <w:r>
        <w:rPr>
          <w:rStyle w:val="91"/>
        </w:rPr>
        <w:t xml:space="preserve"> torch.optim </w:t>
      </w:r>
      <w:r>
        <w:rPr>
          <w:rStyle w:val="72"/>
        </w:rPr>
        <w:t xml:space="preserve">as</w:t>
      </w:r>
      <w:r>
        <w:rPr>
          <w:rStyle w:val="91"/>
        </w:rPr>
        <w:t xml:space="preserve"> optim</w:t>
      </w:r>
      <w:r>
        <w:br/>
      </w:r>
      <w:r>
        <w:rPr>
          <w:rStyle w:val="72"/>
        </w:rPr>
        <w:t xml:space="preserve">from</w:t>
      </w:r>
      <w:r>
        <w:rPr>
          <w:rStyle w:val="91"/>
        </w:rPr>
        <w:t xml:space="preserve"> torchvision </w:t>
      </w:r>
      <w:r>
        <w:rPr>
          <w:rStyle w:val="72"/>
        </w:rPr>
        <w:t xml:space="preserve">import</w:t>
      </w:r>
      <w:r>
        <w:rPr>
          <w:rStyle w:val="91"/>
        </w:rPr>
        <w:t xml:space="preserve"> models, transforms, datasets</w:t>
      </w:r>
      <w:r>
        <w:br/>
      </w:r>
      <w:r>
        <w:rPr>
          <w:rStyle w:val="72"/>
        </w:rPr>
        <w:t xml:space="preserve">from</w:t>
      </w:r>
      <w:r>
        <w:rPr>
          <w:rStyle w:val="91"/>
        </w:rPr>
        <w:t xml:space="preserve"> torch.utils.data </w:t>
      </w:r>
      <w:r>
        <w:rPr>
          <w:rStyle w:val="72"/>
        </w:rPr>
        <w:t xml:space="preserve">import</w:t>
      </w:r>
      <w:r>
        <w:rPr>
          <w:rStyle w:val="91"/>
        </w:rPr>
        <w:t xml:space="preserve"> DataLoader</w:t>
      </w:r>
      <w:r>
        <w:br/>
      </w:r>
      <w:r>
        <w:br/>
      </w:r>
      <w:r>
        <w:rPr>
          <w:rStyle w:val="61"/>
        </w:rPr>
        <w:t xml:space="preserve">def</w:t>
      </w:r>
      <w:r>
        <w:rPr>
          <w:rStyle w:val="91"/>
        </w:rPr>
        <w:t xml:space="preserve"> initialize_resnet152_transfer(num_classes</w:t>
      </w:r>
      <w:r>
        <w:rPr>
          <w:rStyle w:val="81"/>
        </w:rPr>
        <w:t xml:space="preserve">=</w:t>
      </w:r>
      <w:r>
        <w:rPr>
          <w:rStyle w:val="63"/>
        </w:rPr>
        <w:t xml:space="preserve">100</w:t>
      </w:r>
      <w:r>
        <w:rPr>
          <w:rStyle w:val="91"/>
        </w:rPr>
        <w:t xml:space="preserve">, use_pretrained</w:t>
      </w:r>
      <w:r>
        <w:rPr>
          <w:rStyle w:val="81"/>
        </w:rPr>
        <w:t xml:space="preserve">=</w:t>
      </w:r>
      <w:r>
        <w:rPr>
          <w:rStyle w:val="79"/>
        </w:rPr>
        <w:t xml:space="preserve">True</w:t>
      </w:r>
      <w:r>
        <w:rPr>
          <w:rStyle w:val="91"/>
        </w:rPr>
        <w:t xml:space="preserve">):</w:t>
      </w:r>
      <w:r>
        <w:br/>
      </w:r>
      <w:r>
        <w:rPr>
          <w:rStyle w:val="91"/>
        </w:rPr>
        <w:t xml:space="preserve">    </w:t>
      </w:r>
      <w:r>
        <w:rPr>
          <w:rStyle w:val="73"/>
        </w:rPr>
        <w:t xml:space="preserve">"""</w:t>
      </w:r>
      <w:r>
        <w:br/>
      </w:r>
      <w:r>
        <w:rPr>
          <w:rStyle w:val="73"/>
        </w:rPr>
        <w:t xml:space="preserve">    初始化 ResNet152 模型用于迁移学习。</w:t>
      </w:r>
      <w:r>
        <w:br/>
      </w:r>
      <w:r>
        <w:rPr>
          <w:rStyle w:val="73"/>
        </w:rPr>
        <w:t xml:space="preserve">    """</w:t>
      </w:r>
      <w:r>
        <w:br/>
      </w:r>
      <w:r>
        <w:rPr>
          <w:rStyle w:val="91"/>
        </w:rPr>
        <w:t xml:space="preserve">    </w:t>
      </w:r>
      <w:r>
        <w:rPr>
          <w:rStyle w:val="73"/>
        </w:rPr>
        <w:t xml:space="preserve"># 1. 加载预训练模型</w:t>
      </w:r>
      <w:r>
        <w:br/>
      </w:r>
      <w:r>
        <w:rPr>
          <w:rStyle w:val="91"/>
        </w:rPr>
        <w:t xml:space="preserve">    </w:t>
      </w:r>
      <w:r>
        <w:rPr>
          <w:rStyle w:val="73"/>
        </w:rPr>
        <w:t xml:space="preserve"># 注意：'restnet153' 不存在，使用最接近的 ResNet152</w:t>
      </w:r>
      <w:r>
        <w:br/>
      </w:r>
      <w:r>
        <w:rPr>
          <w:rStyle w:val="91"/>
        </w:rPr>
        <w:t xml:space="preserve">    model </w:t>
      </w:r>
      <w:r>
        <w:rPr>
          <w:rStyle w:val="81"/>
        </w:rPr>
        <w:t xml:space="preserve">=</w:t>
      </w:r>
      <w:r>
        <w:rPr>
          <w:rStyle w:val="91"/>
        </w:rPr>
        <w:t xml:space="preserve"> models.resnet152(pretrained</w:t>
      </w:r>
      <w:r>
        <w:rPr>
          <w:rStyle w:val="81"/>
        </w:rPr>
        <w:t xml:space="preserve">=</w:t>
      </w:r>
      <w:r>
        <w:rPr>
          <w:rStyle w:val="91"/>
        </w:rPr>
        <w:t xml:space="preserve">use_pretrained)</w:t>
      </w:r>
      <w:r>
        <w:br/>
      </w:r>
      <w:r>
        <w:rPr>
          <w:rStyle w:val="91"/>
        </w:rPr>
        <w:t xml:space="preserve">    </w:t>
      </w:r>
      <w:r>
        <w:br/>
      </w:r>
      <w:r>
        <w:rPr>
          <w:rStyle w:val="91"/>
        </w:rPr>
        <w:t xml:space="preserve">    </w:t>
      </w:r>
      <w:r>
        <w:rPr>
          <w:rStyle w:val="73"/>
        </w:rPr>
        <w:t xml:space="preserve"># 2. 冻结所有参数（Feature Extractor 不更新）</w:t>
      </w:r>
      <w:r>
        <w:br/>
      </w:r>
      <w:r>
        <w:rPr>
          <w:rStyle w:val="91"/>
        </w:rPr>
        <w:t xml:space="preserve">    </w:t>
      </w:r>
      <w:r>
        <w:rPr>
          <w:rStyle w:val="80"/>
        </w:rPr>
        <w:t xml:space="preserve">for</w:t>
      </w:r>
      <w:r>
        <w:rPr>
          <w:rStyle w:val="91"/>
        </w:rPr>
        <w:t xml:space="preserve"> param </w:t>
      </w:r>
      <w:r>
        <w:rPr>
          <w:rStyle w:val="61"/>
        </w:rPr>
        <w:t xml:space="preserve">in</w:t>
      </w:r>
      <w:r>
        <w:rPr>
          <w:rStyle w:val="91"/>
        </w:rPr>
        <w:t xml:space="preserve"> model.parameters():</w:t>
      </w:r>
      <w:r>
        <w:br/>
      </w:r>
      <w:r>
        <w:rPr>
          <w:rStyle w:val="91"/>
        </w:rPr>
        <w:t xml:space="preserve">        param.requires_grad </w:t>
      </w:r>
      <w:r>
        <w:rPr>
          <w:rStyle w:val="81"/>
        </w:rPr>
        <w:t xml:space="preserve">=</w:t>
      </w:r>
      <w:r>
        <w:rPr>
          <w:rStyle w:val="91"/>
        </w:rPr>
        <w:t xml:space="preserve"> </w:t>
      </w:r>
      <w:r>
        <w:rPr>
          <w:rStyle w:val="79"/>
        </w:rPr>
        <w:t xml:space="preserve">False</w:t>
      </w:r>
      <w:r>
        <w:br/>
      </w:r>
      <w:r>
        <w:rPr>
          <w:rStyle w:val="91"/>
        </w:rPr>
        <w:t xml:space="preserve">        </w:t>
      </w:r>
      <w:r>
        <w:br/>
      </w:r>
      <w:r>
        <w:rPr>
          <w:rStyle w:val="91"/>
        </w:rPr>
        <w:t xml:space="preserve">    </w:t>
      </w:r>
      <w:r>
        <w:rPr>
          <w:rStyle w:val="73"/>
        </w:rPr>
        <w:t xml:space="preserve"># 3. 获取最后的全连接层输入特征数 (通常是 2048)</w:t>
      </w:r>
      <w:r>
        <w:br/>
      </w:r>
      <w:r>
        <w:rPr>
          <w:rStyle w:val="91"/>
        </w:rPr>
        <w:t xml:space="preserve">    num_ftrs </w:t>
      </w:r>
      <w:r>
        <w:rPr>
          <w:rStyle w:val="81"/>
        </w:rPr>
        <w:t xml:space="preserve">=</w:t>
      </w:r>
      <w:r>
        <w:rPr>
          <w:rStyle w:val="91"/>
        </w:rPr>
        <w:t xml:space="preserve"> model.fc.in_features</w:t>
      </w:r>
      <w:r>
        <w:br/>
      </w:r>
      <w:r>
        <w:rPr>
          <w:rStyle w:val="91"/>
        </w:rPr>
        <w:t xml:space="preserve">    </w:t>
      </w:r>
      <w:r>
        <w:br/>
      </w:r>
      <w:r>
        <w:rPr>
          <w:rStyle w:val="91"/>
        </w:rPr>
        <w:t xml:space="preserve">    </w:t>
      </w:r>
      <w:r>
        <w:rPr>
          <w:rStyle w:val="73"/>
        </w:rPr>
        <w:t xml:space="preserve"># 4. 替换全连接层 (这一层默认 requires_grad=True)</w:t>
      </w:r>
      <w:r>
        <w:br/>
      </w:r>
      <w:r>
        <w:rPr>
          <w:rStyle w:val="91"/>
        </w:rPr>
        <w:t xml:space="preserve">    </w:t>
      </w:r>
      <w:r>
        <w:rPr>
          <w:rStyle w:val="73"/>
        </w:rPr>
        <w:t xml:space="preserve"># 我们添加一个包含 Dropout 的多层分类器</w:t>
      </w:r>
      <w:r>
        <w:br/>
      </w:r>
      <w:r>
        <w:rPr>
          <w:rStyle w:val="91"/>
        </w:rPr>
        <w:t xml:space="preserve">    model.fc </w:t>
      </w:r>
      <w:r>
        <w:rPr>
          <w:rStyle w:val="81"/>
        </w:rPr>
        <w:t xml:space="preserve">=</w:t>
      </w:r>
      <w:r>
        <w:rPr>
          <w:rStyle w:val="91"/>
        </w:rPr>
        <w:t xml:space="preserve"> nn.Sequential(</w:t>
      </w:r>
      <w:r>
        <w:br/>
      </w:r>
      <w:r>
        <w:rPr>
          <w:rStyle w:val="91"/>
        </w:rPr>
        <w:t xml:space="preserve">        nn.Linear(num_ftrs, </w:t>
      </w:r>
      <w:r>
        <w:rPr>
          <w:rStyle w:val="63"/>
        </w:rPr>
        <w:t xml:space="preserve">1024</w:t>
      </w:r>
      <w:r>
        <w:rPr>
          <w:rStyle w:val="91"/>
        </w:rPr>
        <w:t xml:space="preserve">),</w:t>
      </w:r>
      <w:r>
        <w:br/>
      </w:r>
      <w:r>
        <w:rPr>
          <w:rStyle w:val="91"/>
        </w:rPr>
        <w:t xml:space="preserve">        nn.BatchNorm1d(</w:t>
      </w:r>
      <w:r>
        <w:rPr>
          <w:rStyle w:val="63"/>
        </w:rPr>
        <w:t xml:space="preserve">1024</w:t>
      </w:r>
      <w:r>
        <w:rPr>
          <w:rStyle w:val="91"/>
        </w:rPr>
        <w:t xml:space="preserve">),</w:t>
      </w:r>
      <w:r>
        <w:br/>
      </w:r>
      <w:r>
        <w:rPr>
          <w:rStyle w:val="91"/>
        </w:rPr>
        <w:t xml:space="preserve">        nn.ReLU(),</w:t>
      </w:r>
      <w:r>
        <w:br/>
      </w:r>
      <w:r>
        <w:rPr>
          <w:rStyle w:val="91"/>
        </w:rPr>
        <w:t xml:space="preserve">        nn.Dropout(</w:t>
      </w:r>
      <w:r>
        <w:rPr>
          <w:rStyle w:val="65"/>
        </w:rPr>
        <w:t xml:space="preserve">0.5</w:t>
      </w:r>
      <w:r>
        <w:rPr>
          <w:rStyle w:val="91"/>
        </w:rPr>
        <w:t xml:space="preserve">),</w:t>
      </w:r>
      <w:r>
        <w:br/>
      </w:r>
      <w:r>
        <w:rPr>
          <w:rStyle w:val="91"/>
        </w:rPr>
        <w:t xml:space="preserve">        nn.Linear(</w:t>
      </w:r>
      <w:r>
        <w:rPr>
          <w:rStyle w:val="63"/>
        </w:rPr>
        <w:t xml:space="preserve">1024</w:t>
      </w:r>
      <w:r>
        <w:rPr>
          <w:rStyle w:val="91"/>
        </w:rPr>
        <w:t xml:space="preserve">, num_classes)</w:t>
      </w:r>
      <w:r>
        <w:br/>
      </w:r>
      <w:r>
        <w:rPr>
          <w:rStyle w:val="91"/>
        </w:rPr>
        <w:t xml:space="preserve">    )</w:t>
      </w:r>
      <w:r>
        <w:br/>
      </w:r>
      <w:r>
        <w:rPr>
          <w:rStyle w:val="91"/>
        </w:rPr>
        <w:t xml:space="preserve">    </w:t>
      </w:r>
      <w:r>
        <w:br/>
      </w:r>
      <w:r>
        <w:rPr>
          <w:rStyle w:val="91"/>
        </w:rPr>
        <w:t xml:space="preserve">    </w:t>
      </w:r>
      <w:r>
        <w:rPr>
          <w:rStyle w:val="80"/>
        </w:rPr>
        <w:t xml:space="preserve">return</w:t>
      </w:r>
      <w:r>
        <w:rPr>
          <w:rStyle w:val="91"/>
        </w:rPr>
        <w:t xml:space="preserve"> model</w:t>
      </w:r>
      <w:r>
        <w:br/>
      </w:r>
      <w:r>
        <w:br/>
      </w:r>
      <w:r>
        <w:rPr>
          <w:rStyle w:val="61"/>
        </w:rPr>
        <w:t xml:space="preserve">def</w:t>
      </w:r>
      <w:r>
        <w:rPr>
          <w:rStyle w:val="91"/>
        </w:rPr>
        <w:t xml:space="preserve"> train_one_epoch(model, dataloader, criterion, optimizer, device):</w:t>
      </w:r>
      <w:r>
        <w:br/>
      </w:r>
      <w:r>
        <w:rPr>
          <w:rStyle w:val="91"/>
        </w:rPr>
        <w:t xml:space="preserve">    model.train()</w:t>
      </w:r>
      <w:r>
        <w:br/>
      </w:r>
      <w:r>
        <w:rPr>
          <w:rStyle w:val="91"/>
        </w:rPr>
        <w:t xml:space="preserve">    running_loss </w:t>
      </w:r>
      <w:r>
        <w:rPr>
          <w:rStyle w:val="81"/>
        </w:rPr>
        <w:t xml:space="preserve">=</w:t>
      </w:r>
      <w:r>
        <w:rPr>
          <w:rStyle w:val="91"/>
        </w:rPr>
        <w:t xml:space="preserve"> </w:t>
      </w:r>
      <w:r>
        <w:rPr>
          <w:rStyle w:val="65"/>
        </w:rPr>
        <w:t xml:space="preserve">0.0</w:t>
      </w:r>
      <w:r>
        <w:br/>
      </w:r>
      <w:r>
        <w:rPr>
          <w:rStyle w:val="91"/>
        </w:rPr>
        <w:t xml:space="preserve">    </w:t>
      </w:r>
      <w:r>
        <w:br/>
      </w:r>
      <w:r>
        <w:rPr>
          <w:rStyle w:val="91"/>
        </w:rPr>
        <w:t xml:space="preserve">    </w:t>
      </w:r>
      <w:r>
        <w:rPr>
          <w:rStyle w:val="80"/>
        </w:rPr>
        <w:t xml:space="preserve">for</w:t>
      </w:r>
      <w:r>
        <w:rPr>
          <w:rStyle w:val="91"/>
        </w:rPr>
        <w:t xml:space="preserve"> inputs, labels </w:t>
      </w:r>
      <w:r>
        <w:rPr>
          <w:rStyle w:val="61"/>
        </w:rPr>
        <w:t xml:space="preserve">in</w:t>
      </w:r>
      <w:r>
        <w:rPr>
          <w:rStyle w:val="91"/>
        </w:rPr>
        <w:t xml:space="preserve"> dataloader:</w:t>
      </w:r>
      <w:r>
        <w:br/>
      </w:r>
      <w:r>
        <w:rPr>
          <w:rStyle w:val="91"/>
        </w:rPr>
        <w:t xml:space="preserve">        inputs </w:t>
      </w:r>
      <w:r>
        <w:rPr>
          <w:rStyle w:val="81"/>
        </w:rPr>
        <w:t xml:space="preserve">=</w:t>
      </w:r>
      <w:r>
        <w:rPr>
          <w:rStyle w:val="91"/>
        </w:rPr>
        <w:t xml:space="preserve"> inputs.to(device)</w:t>
      </w:r>
      <w:r>
        <w:br/>
      </w:r>
      <w:r>
        <w:rPr>
          <w:rStyle w:val="91"/>
        </w:rPr>
        <w:t xml:space="preserve">        labels </w:t>
      </w:r>
      <w:r>
        <w:rPr>
          <w:rStyle w:val="81"/>
        </w:rPr>
        <w:t xml:space="preserve">=</w:t>
      </w:r>
      <w:r>
        <w:rPr>
          <w:rStyle w:val="91"/>
        </w:rPr>
        <w:t xml:space="preserve"> labels.to(device)</w:t>
      </w:r>
      <w:r>
        <w:br/>
      </w:r>
      <w:r>
        <w:rPr>
          <w:rStyle w:val="91"/>
        </w:rPr>
        <w:t xml:space="preserve">        </w:t>
      </w:r>
      <w:r>
        <w:br/>
      </w:r>
      <w:r>
        <w:rPr>
          <w:rStyle w:val="91"/>
        </w:rPr>
        <w:t xml:space="preserve">        </w:t>
      </w:r>
      <w:r>
        <w:rPr>
          <w:rStyle w:val="73"/>
        </w:rPr>
        <w:t xml:space="preserve"># 梯度清零</w:t>
      </w:r>
      <w:r>
        <w:br/>
      </w:r>
      <w:r>
        <w:rPr>
          <w:rStyle w:val="91"/>
        </w:rPr>
        <w:t xml:space="preserve">        optimizer.zero_grad()</w:t>
      </w:r>
      <w:r>
        <w:br/>
      </w:r>
      <w:r>
        <w:rPr>
          <w:rStyle w:val="91"/>
        </w:rPr>
        <w:t xml:space="preserve">        </w:t>
      </w:r>
      <w:r>
        <w:br/>
      </w:r>
      <w:r>
        <w:rPr>
          <w:rStyle w:val="91"/>
        </w:rPr>
        <w:t xml:space="preserve">        </w:t>
      </w:r>
      <w:r>
        <w:rPr>
          <w:rStyle w:val="73"/>
        </w:rPr>
        <w:t xml:space="preserve"># 前向传播</w:t>
      </w:r>
      <w:r>
        <w:br/>
      </w:r>
      <w:r>
        <w:rPr>
          <w:rStyle w:val="91"/>
        </w:rPr>
        <w:t xml:space="preserve">        outputs </w:t>
      </w:r>
      <w:r>
        <w:rPr>
          <w:rStyle w:val="81"/>
        </w:rPr>
        <w:t xml:space="preserve">=</w:t>
      </w:r>
      <w:r>
        <w:rPr>
          <w:rStyle w:val="91"/>
        </w:rPr>
        <w:t xml:space="preserve"> model(inputs)</w:t>
      </w:r>
      <w:r>
        <w:br/>
      </w:r>
      <w:r>
        <w:rPr>
          <w:rStyle w:val="91"/>
        </w:rPr>
        <w:t xml:space="preserve">        loss </w:t>
      </w:r>
      <w:r>
        <w:rPr>
          <w:rStyle w:val="81"/>
        </w:rPr>
        <w:t xml:space="preserve">=</w:t>
      </w:r>
      <w:r>
        <w:rPr>
          <w:rStyle w:val="91"/>
        </w:rPr>
        <w:t xml:space="preserve"> criterion(outputs, labels)</w:t>
      </w:r>
      <w:r>
        <w:br/>
      </w:r>
      <w:r>
        <w:rPr>
          <w:rStyle w:val="91"/>
        </w:rPr>
        <w:t xml:space="preserve">        </w:t>
      </w:r>
      <w:r>
        <w:br/>
      </w:r>
      <w:r>
        <w:rPr>
          <w:rStyle w:val="91"/>
        </w:rPr>
        <w:t xml:space="preserve">        </w:t>
      </w:r>
      <w:r>
        <w:rPr>
          <w:rStyle w:val="73"/>
        </w:rPr>
        <w:t xml:space="preserve"># 反向传播与优化</w:t>
      </w:r>
      <w:r>
        <w:br/>
      </w:r>
      <w:r>
        <w:rPr>
          <w:rStyle w:val="91"/>
        </w:rPr>
        <w:t xml:space="preserve">        loss.backward()</w:t>
      </w:r>
      <w:r>
        <w:br/>
      </w:r>
      <w:r>
        <w:rPr>
          <w:rStyle w:val="91"/>
        </w:rPr>
        <w:t xml:space="preserve">        optimizer.step()</w:t>
      </w:r>
      <w:r>
        <w:br/>
      </w:r>
      <w:r>
        <w:rPr>
          <w:rStyle w:val="91"/>
        </w:rPr>
        <w:t xml:space="preserve">        </w:t>
      </w:r>
      <w:r>
        <w:br/>
      </w:r>
      <w:r>
        <w:rPr>
          <w:rStyle w:val="91"/>
        </w:rPr>
        <w:t xml:space="preserve">        running_loss </w:t>
      </w:r>
      <w:r>
        <w:rPr>
          <w:rStyle w:val="81"/>
        </w:rPr>
        <w:t xml:space="preserve">+=</w:t>
      </w:r>
      <w:r>
        <w:rPr>
          <w:rStyle w:val="91"/>
        </w:rPr>
        <w:t xml:space="preserve"> loss.item() </w:t>
      </w:r>
      <w:r>
        <w:rPr>
          <w:rStyle w:val="81"/>
        </w:rPr>
        <w:t xml:space="preserve">*</w:t>
      </w:r>
      <w:r>
        <w:rPr>
          <w:rStyle w:val="91"/>
        </w:rPr>
        <w:t xml:space="preserve"> inputs.size(</w:t>
      </w:r>
      <w:r>
        <w:rPr>
          <w:rStyle w:val="63"/>
        </w:rPr>
        <w:t xml:space="preserve">0</w:t>
      </w:r>
      <w:r>
        <w:rPr>
          <w:rStyle w:val="91"/>
        </w:rPr>
        <w:t xml:space="preserve">)</w:t>
      </w:r>
      <w:r>
        <w:br/>
      </w:r>
      <w:r>
        <w:rPr>
          <w:rStyle w:val="91"/>
        </w:rPr>
        <w:t xml:space="preserve">        </w:t>
      </w:r>
      <w:r>
        <w:br/>
      </w:r>
      <w:r>
        <w:rPr>
          <w:rStyle w:val="91"/>
        </w:rPr>
        <w:t xml:space="preserve">    </w:t>
      </w:r>
      <w:r>
        <w:rPr>
          <w:rStyle w:val="80"/>
        </w:rPr>
        <w:t xml:space="preserve">return</w:t>
      </w:r>
      <w:r>
        <w:rPr>
          <w:rStyle w:val="91"/>
        </w:rPr>
        <w:t xml:space="preserve"> running_loss </w:t>
      </w:r>
      <w:r>
        <w:rPr>
          <w:rStyle w:val="81"/>
        </w:rPr>
        <w:t xml:space="preserve">/</w:t>
      </w:r>
      <w:r>
        <w:rPr>
          <w:rStyle w:val="91"/>
        </w:rPr>
        <w:t xml:space="preserve"> </w:t>
      </w:r>
      <w:r>
        <w:rPr>
          <w:rStyle w:val="82"/>
        </w:rPr>
        <w:t xml:space="preserve">len</w:t>
      </w:r>
      <w:r>
        <w:rPr>
          <w:rStyle w:val="91"/>
        </w:rPr>
        <w:t xml:space="preserve">(dataloader.dataset)</w:t>
      </w:r>
      <w:r>
        <w:br/>
      </w:r>
      <w:r>
        <w:br/>
      </w:r>
      <w:r>
        <w:rPr>
          <w:rStyle w:val="73"/>
        </w:rPr>
        <w:t xml:space="preserve"># 主执行逻辑</w:t>
      </w:r>
      <w:r>
        <w:br/>
      </w:r>
      <w:r>
        <w:rPr>
          <w:rStyle w:val="80"/>
        </w:rPr>
        <w:t xml:space="preserve">if</w:t>
      </w:r>
      <w:r>
        <w:rPr>
          <w:rStyle w:val="91"/>
        </w:rPr>
        <w:t xml:space="preserve"> </w:t>
      </w:r>
      <w:r>
        <w:rPr>
          <w:rStyle w:val="79"/>
        </w:rPr>
        <w:t xml:space="preserve">__name__</w:t>
      </w:r>
      <w:r>
        <w:rPr>
          <w:rStyle w:val="91"/>
        </w:rPr>
        <w:t xml:space="preserve"> </w:t>
      </w:r>
      <w:r>
        <w:rPr>
          <w:rStyle w:val="81"/>
        </w:rPr>
        <w:t xml:space="preserve">==</w:t>
      </w:r>
      <w:r>
        <w:rPr>
          <w:rStyle w:val="91"/>
        </w:rPr>
        <w:t xml:space="preserve"> </w:t>
      </w:r>
      <w:r>
        <w:rPr>
          <w:rStyle w:val="69"/>
        </w:rPr>
        <w:t xml:space="preserve">"__main__"</w:t>
      </w:r>
      <w:r>
        <w:rPr>
          <w:rStyle w:val="91"/>
        </w:rPr>
        <w:t xml:space="preserve">:</w:t>
      </w:r>
      <w:r>
        <w:br/>
      </w:r>
      <w:r>
        <w:rPr>
          <w:rStyle w:val="91"/>
        </w:rPr>
        <w:t xml:space="preserve">    device </w:t>
      </w:r>
      <w:r>
        <w:rPr>
          <w:rStyle w:val="81"/>
        </w:rPr>
        <w:t xml:space="preserve">=</w:t>
      </w:r>
      <w:r>
        <w:rPr>
          <w:rStyle w:val="91"/>
        </w:rPr>
        <w:t xml:space="preserve"> torch.device(</w:t>
      </w:r>
      <w:r>
        <w:rPr>
          <w:rStyle w:val="69"/>
        </w:rPr>
        <w:t xml:space="preserve">"cuda"</w:t>
      </w:r>
      <w:r>
        <w:rPr>
          <w:rStyle w:val="91"/>
        </w:rPr>
        <w:t xml:space="preserve"> </w:t>
      </w:r>
      <w:r>
        <w:rPr>
          <w:rStyle w:val="80"/>
        </w:rPr>
        <w:t xml:space="preserve">if</w:t>
      </w:r>
      <w:r>
        <w:rPr>
          <w:rStyle w:val="91"/>
        </w:rPr>
        <w:t xml:space="preserve"> torch.cuda.is_available() </w:t>
      </w:r>
      <w:r>
        <w:rPr>
          <w:rStyle w:val="80"/>
        </w:rPr>
        <w:t xml:space="preserve">else</w:t>
      </w:r>
      <w:r>
        <w:rPr>
          <w:rStyle w:val="91"/>
        </w:rPr>
        <w:t xml:space="preserve"> </w:t>
      </w:r>
      <w:r>
        <w:rPr>
          <w:rStyle w:val="69"/>
        </w:rPr>
        <w:t xml:space="preserve">"cpu"</w:t>
      </w:r>
      <w:r>
        <w:rPr>
          <w:rStyle w:val="91"/>
        </w:rPr>
        <w:t xml:space="preserve">)</w:t>
      </w:r>
      <w:r>
        <w:br/>
      </w:r>
      <w:r>
        <w:rPr>
          <w:rStyle w:val="91"/>
        </w:rPr>
        <w:t xml:space="preserve">    </w:t>
      </w:r>
      <w:r>
        <w:br/>
      </w:r>
      <w:r>
        <w:rPr>
          <w:rStyle w:val="91"/>
        </w:rPr>
        <w:t xml:space="preserve">    </w:t>
      </w:r>
      <w:r>
        <w:rPr>
          <w:rStyle w:val="73"/>
        </w:rPr>
        <w:t xml:space="preserve"># 初始化模型</w:t>
      </w:r>
      <w:r>
        <w:br/>
      </w:r>
      <w:r>
        <w:rPr>
          <w:rStyle w:val="91"/>
        </w:rPr>
        <w:t xml:space="preserve">    model </w:t>
      </w:r>
      <w:r>
        <w:rPr>
          <w:rStyle w:val="81"/>
        </w:rPr>
        <w:t xml:space="preserve">=</w:t>
      </w:r>
      <w:r>
        <w:rPr>
          <w:rStyle w:val="91"/>
        </w:rPr>
        <w:t xml:space="preserve"> initialize_resnet152_transfer(num_classes</w:t>
      </w:r>
      <w:r>
        <w:rPr>
          <w:rStyle w:val="81"/>
        </w:rPr>
        <w:t xml:space="preserve">=</w:t>
      </w:r>
      <w:r>
        <w:rPr>
          <w:rStyle w:val="63"/>
        </w:rPr>
        <w:t xml:space="preserve">100</w:t>
      </w:r>
      <w:r>
        <w:rPr>
          <w:rStyle w:val="91"/>
        </w:rPr>
        <w:t xml:space="preserve">)</w:t>
      </w:r>
      <w:r>
        <w:br/>
      </w:r>
      <w:r>
        <w:rPr>
          <w:rStyle w:val="91"/>
        </w:rPr>
        <w:t xml:space="preserve">    model </w:t>
      </w:r>
      <w:r>
        <w:rPr>
          <w:rStyle w:val="81"/>
        </w:rPr>
        <w:t xml:space="preserve">=</w:t>
      </w:r>
      <w:r>
        <w:rPr>
          <w:rStyle w:val="91"/>
        </w:rPr>
        <w:t xml:space="preserve"> model.to(device)</w:t>
      </w:r>
      <w:r>
        <w:br/>
      </w:r>
      <w:r>
        <w:rPr>
          <w:rStyle w:val="91"/>
        </w:rPr>
        <w:t xml:space="preserve">    </w:t>
      </w:r>
      <w:r>
        <w:br/>
      </w:r>
      <w:r>
        <w:rPr>
          <w:rStyle w:val="91"/>
        </w:rPr>
        <w:t xml:space="preserve">    </w:t>
      </w:r>
      <w:r>
        <w:rPr>
          <w:rStyle w:val="73"/>
        </w:rPr>
        <w:t xml:space="preserve"># 只需要优化 fc 层的参数</w:t>
      </w:r>
      <w:r>
        <w:br/>
      </w:r>
      <w:r>
        <w:rPr>
          <w:rStyle w:val="91"/>
        </w:rPr>
        <w:t xml:space="preserve">    params_to_update </w:t>
      </w:r>
      <w:r>
        <w:rPr>
          <w:rStyle w:val="81"/>
        </w:rPr>
        <w:t xml:space="preserve">=</w:t>
      </w:r>
      <w:r>
        <w:rPr>
          <w:rStyle w:val="91"/>
        </w:rPr>
        <w:t xml:space="preserve"> [p </w:t>
      </w:r>
      <w:r>
        <w:rPr>
          <w:rStyle w:val="80"/>
        </w:rPr>
        <w:t xml:space="preserve">for</w:t>
      </w:r>
      <w:r>
        <w:rPr>
          <w:rStyle w:val="91"/>
        </w:rPr>
        <w:t xml:space="preserve"> p </w:t>
      </w:r>
      <w:r>
        <w:rPr>
          <w:rStyle w:val="61"/>
        </w:rPr>
        <w:t xml:space="preserve">in</w:t>
      </w:r>
      <w:r>
        <w:rPr>
          <w:rStyle w:val="91"/>
        </w:rPr>
        <w:t xml:space="preserve"> model.parameters() </w:t>
      </w:r>
      <w:r>
        <w:rPr>
          <w:rStyle w:val="80"/>
        </w:rPr>
        <w:t xml:space="preserve">if</w:t>
      </w:r>
      <w:r>
        <w:rPr>
          <w:rStyle w:val="91"/>
        </w:rPr>
        <w:t xml:space="preserve"> p.requires_grad]</w:t>
      </w:r>
      <w:r>
        <w:br/>
      </w:r>
      <w:r>
        <w:rPr>
          <w:rStyle w:val="91"/>
        </w:rPr>
        <w:t xml:space="preserve">    optimizer </w:t>
      </w:r>
      <w:r>
        <w:rPr>
          <w:rStyle w:val="81"/>
        </w:rPr>
        <w:t xml:space="preserve">=</w:t>
      </w:r>
      <w:r>
        <w:rPr>
          <w:rStyle w:val="91"/>
        </w:rPr>
        <w:t xml:space="preserve"> optim.AdamW(params_to_update, lr</w:t>
      </w:r>
      <w:r>
        <w:rPr>
          <w:rStyle w:val="81"/>
        </w:rPr>
        <w:t xml:space="preserve">=</w:t>
      </w:r>
      <w:r>
        <w:rPr>
          <w:rStyle w:val="65"/>
        </w:rPr>
        <w:t xml:space="preserve">0.001</w:t>
      </w:r>
      <w:r>
        <w:rPr>
          <w:rStyle w:val="91"/>
        </w:rPr>
        <w:t xml:space="preserve">, weight_decay</w:t>
      </w:r>
      <w:r>
        <w:rPr>
          <w:rStyle w:val="81"/>
        </w:rPr>
        <w:t xml:space="preserve">=</w:t>
      </w:r>
      <w:r>
        <w:rPr>
          <w:rStyle w:val="65"/>
        </w:rPr>
        <w:t xml:space="preserve">1e-4</w:t>
      </w:r>
      <w:r>
        <w:rPr>
          <w:rStyle w:val="91"/>
        </w:rPr>
        <w:t xml:space="preserve">)</w:t>
      </w:r>
      <w:r>
        <w:br/>
      </w:r>
      <w:r>
        <w:rPr>
          <w:rStyle w:val="91"/>
        </w:rPr>
        <w:t xml:space="preserve">    criterion </w:t>
      </w:r>
      <w:r>
        <w:rPr>
          <w:rStyle w:val="81"/>
        </w:rPr>
        <w:t xml:space="preserve">=</w:t>
      </w:r>
      <w:r>
        <w:rPr>
          <w:rStyle w:val="91"/>
        </w:rPr>
        <w:t xml:space="preserve"> nn.CrossEntropyLoss()</w:t>
      </w:r>
      <w:r>
        <w:br/>
      </w:r>
      <w:r>
        <w:rPr>
          <w:rStyle w:val="91"/>
        </w:rPr>
        <w:t xml:space="preserve">    </w:t>
      </w:r>
      <w:r>
        <w:br/>
      </w:r>
      <w:r>
        <w:rPr>
          <w:rStyle w:val="91"/>
        </w:rPr>
        <w:t xml:space="preserve">    </w:t>
      </w:r>
      <w:r>
        <w:rPr>
          <w:rStyle w:val="82"/>
        </w:rPr>
        <w:t xml:space="preserve">print</w:t>
      </w:r>
      <w:r>
        <w:rPr>
          <w:rStyle w:val="91"/>
        </w:rPr>
        <w:t xml:space="preserve">(</w:t>
      </w:r>
      <w:r>
        <w:rPr>
          <w:rStyle w:val="71"/>
        </w:rPr>
        <w:t xml:space="preserve">f"Model loaded on </w:t>
      </w:r>
      <w:r>
        <w:rPr>
          <w:rStyle w:val="68"/>
        </w:rPr>
        <w:t xml:space="preserve">{</w:t>
      </w:r>
      <w:r>
        <w:rPr>
          <w:rStyle w:val="91"/>
        </w:rPr>
        <w:t xml:space="preserve">device</w:t>
      </w:r>
      <w:r>
        <w:rPr>
          <w:rStyle w:val="68"/>
        </w:rPr>
        <w:t xml:space="preserve">}</w:t>
      </w:r>
      <w:r>
        <w:rPr>
          <w:rStyle w:val="71"/>
        </w:rPr>
        <w:t xml:space="preserve">. Ready for training."</w:t>
      </w:r>
      <w:r>
        <w:rPr>
          <w:rStyle w:val="91"/>
        </w:rPr>
        <w:t xml:space="preserve">)</w:t>
      </w:r>
    </w:p>
    <w:p>
      <w:pPr>
        <w:pStyle w:val="FirstParagraph"/>
      </w:pPr>
      <m:oMathPara>
        <m:oMathParaPr>
          <m:jc m:val="center"/>
        </m:oMathParaPr>
        <m:oMath>
          <m:f>
            <m:fPr>
              <m:type m:val="bar"/>
            </m:fPr>
            <m:num>
              <m:sSub>
                <m:e>
                  <m:r>
                    <m:t>d</m:t>
                  </m:r>
                </m:e>
                <m:sub>
                  <m:r>
                    <m:t>y</m:t>
                  </m:r>
                </m:sub>
              </m:sSub>
            </m:num>
            <m:den>
              <m:sSub>
                <m:e>
                  <m:r>
                    <m:t>d</m:t>
                  </m:r>
                </m:e>
                <m:sub>
                  <m:r>
                    <m:t>x</m:t>
                  </m:r>
                </m:sub>
              </m:sSub>
            </m:den>
          </m:f>
        </m:oMath>
      </m:oMathPara>
    </w:p>
    <w:p>
      <w:pPr>
        <w:pStyle w:val="FirstParagraph"/>
      </w:pPr>
      <w:r>
        <w:rPr>
          <w:rFonts w:hint="eastAsia"/>
        </w:rPr>
        <w:t xml:space="preserve">我们定义一个多层感知机（MLP），其中</w:t>
      </w:r>
      <w:r>
        <w:t xml:space="preserve"> </w:t>
      </w:r>
      <m:oMath>
        <m:r>
          <m:t>L</m:t>
        </m:r>
      </m:oMath>
      <w:r>
        <w:t xml:space="preserve"> </w:t>
      </w:r>
      <w:r>
        <w:rPr>
          <w:rFonts w:hint="eastAsia"/>
        </w:rPr>
        <w:t xml:space="preserve">表示总层数，</w:t>
      </w:r>
      <m:oMath>
        <m:r>
          <m:t>l</m:t>
        </m:r>
      </m:oMath>
      <w:r>
        <w:t xml:space="preserve"> </w:t>
      </w:r>
      <w:r>
        <w:rPr>
          <w:rFonts w:hint="eastAsia"/>
        </w:rPr>
        <w:t xml:space="preserve">表示当前层。</w:t>
      </w:r>
    </w:p>
    <w:bookmarkStart w:id="92" w:name="符号定义"/>
    <w:p>
      <w:pPr>
        <w:pStyle w:val="4"/>
      </w:pPr>
      <w:r>
        <w:t xml:space="preserve">1. </w:t>
      </w:r>
      <w:r>
        <w:rPr>
          <w:rFonts w:hint="eastAsia"/>
        </w:rPr>
        <w:t xml:space="preserve">符号定义</w:t>
      </w:r>
    </w:p>
    <w:p>
      <w:pPr>
        <w:pStyle w:val="Compact"/>
        <w:numPr>
          <w:ilvl w:val="0"/>
          <w:numId w:val="1031"/>
        </w:numPr>
      </w:pPr>
      <m:oMath>
        <m:sSubSup>
          <m:e>
            <m:r>
              <m:t>w</m:t>
            </m:r>
          </m:e>
          <m:sub>
            <m:r>
              <m:t>j</m:t>
            </m:r>
            <m:r>
              <m:t>k</m:t>
            </m:r>
          </m:sub>
          <m:sup>
            <m:r>
              <m:rPr>
                <m:sty m:val="p"/>
              </m:rPr>
              <m:t>(</m:t>
            </m:r>
            <m:r>
              <m:t>l</m:t>
            </m:r>
            <m:r>
              <m:rPr>
                <m:sty m:val="p"/>
              </m:rPr>
              <m:t>)</m:t>
            </m:r>
          </m:sup>
        </m:sSubSup>
      </m:oMath>
      <w:r>
        <w:rPr>
          <w:rFonts w:hint="eastAsia"/>
        </w:rPr>
        <w:t xml:space="preserve">：从第</w:t>
      </w:r>
      <w:r>
        <w:t xml:space="preserve"> </w:t>
      </w:r>
      <m:oMath>
        <m:r>
          <m:t>l</m:t>
        </m:r>
        <m:r>
          <m:rPr>
            <m:sty m:val="p"/>
          </m:rPr>
          <m:t>−</m:t>
        </m:r>
        <m:r>
          <m:t>1</m:t>
        </m:r>
      </m:oMath>
      <w:r>
        <w:t xml:space="preserve"> </w:t>
      </w:r>
      <w:r>
        <w:rPr>
          <w:rFonts w:hint="eastAsia"/>
        </w:rPr>
        <w:t xml:space="preserve">层的第</w:t>
      </w:r>
      <w:r>
        <w:t xml:space="preserve"> </w:t>
      </w:r>
      <m:oMath>
        <m:r>
          <m:t>k</m:t>
        </m:r>
      </m:oMath>
      <w:r>
        <w:t xml:space="preserve"> </w:t>
      </w:r>
      <w:r>
        <w:rPr>
          <w:rFonts w:hint="eastAsia"/>
        </w:rPr>
        <w:t xml:space="preserve">个神经元到第</w:t>
      </w:r>
      <w:r>
        <w:t xml:space="preserve"> </w:t>
      </w:r>
      <m:oMath>
        <m:r>
          <m:t>l</m:t>
        </m:r>
      </m:oMath>
      <w:r>
        <w:t xml:space="preserve"> </w:t>
      </w:r>
      <w:r>
        <w:rPr>
          <w:rFonts w:hint="eastAsia"/>
        </w:rPr>
        <w:t xml:space="preserve">层的第</w:t>
      </w:r>
      <w:r>
        <w:t xml:space="preserve"> </w:t>
      </w:r>
      <m:oMath>
        <m:r>
          <m:t>j</m:t>
        </m:r>
      </m:oMath>
      <w:r>
        <w:t xml:space="preserve"> </w:t>
      </w:r>
      <w:r>
        <w:rPr>
          <w:rFonts w:hint="eastAsia"/>
        </w:rPr>
        <w:t xml:space="preserve">个神经元的权重。</w:t>
      </w:r>
    </w:p>
    <w:p>
      <w:pPr>
        <w:pStyle w:val="Compact"/>
        <w:numPr>
          <w:ilvl w:val="0"/>
          <w:numId w:val="1031"/>
        </w:numPr>
      </w:pPr>
      <m:oMath>
        <m:sSubSup>
          <m:e>
            <m:r>
              <m:t>b</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个神经元的偏置。</w:t>
      </w:r>
    </w:p>
    <w:p>
      <w:pPr>
        <w:pStyle w:val="Compact"/>
        <w:numPr>
          <w:ilvl w:val="0"/>
          <w:numId w:val="1031"/>
        </w:numPr>
      </w:pPr>
      <m:oMath>
        <m:sSubSup>
          <m:e>
            <m:r>
              <m:t>z</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个神经元的加权输入。</w:t>
      </w:r>
    </w:p>
    <w:p>
      <w:pPr>
        <w:pStyle w:val="Compact"/>
        <w:numPr>
          <w:ilvl w:val="0"/>
          <w:numId w:val="1031"/>
        </w:numPr>
      </w:pPr>
      <m:oMath>
        <m:sSubSup>
          <m:e>
            <m:r>
              <m:t>a</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个神经元的激活输出，其中</w:t>
      </w:r>
      <w:r>
        <w:t xml:space="preserve"> </w:t>
      </w:r>
      <m:oMath>
        <m:sSubSup>
          <m:e>
            <m:r>
              <m:t>a</m:t>
            </m:r>
          </m:e>
          <m:sub>
            <m:r>
              <m:t>j</m:t>
            </m:r>
          </m:sub>
          <m:sup>
            <m:r>
              <m:rPr>
                <m:sty m:val="p"/>
              </m:rPr>
              <m:t>(</m:t>
            </m:r>
            <m:r>
              <m:t>l</m:t>
            </m:r>
            <m:r>
              <m:rPr>
                <m:sty m:val="p"/>
              </m:rPr>
              <m:t>)</m:t>
            </m:r>
          </m:sup>
        </m:sSubSup>
        <m:r>
          <m:rPr>
            <m:sty m:val="p"/>
          </m:rPr>
          <m:t>=</m:t>
        </m:r>
        <m:r>
          <m:t>σ</m:t>
        </m:r>
        <m:r>
          <m:rPr>
            <m:sty m:val="p"/>
          </m:rPr>
          <m:t>(</m:t>
        </m:r>
        <m:sSubSup>
          <m:e>
            <m:r>
              <m:t>z</m:t>
            </m:r>
          </m:e>
          <m:sub>
            <m:r>
              <m:t>j</m:t>
            </m:r>
          </m:sub>
          <m:sup>
            <m:r>
              <m:rPr>
                <m:sty m:val="p"/>
              </m:rPr>
              <m:t>(</m:t>
            </m:r>
            <m:r>
              <m:t>l</m:t>
            </m:r>
            <m:r>
              <m:rPr>
                <m:sty m:val="p"/>
              </m:rPr>
              <m:t>)</m:t>
            </m:r>
          </m:sup>
        </m:sSubSup>
        <m:r>
          <m:rPr>
            <m:sty m:val="p"/>
          </m:rPr>
          <m:t>)</m:t>
        </m:r>
      </m:oMath>
      <w:r>
        <w:t xml:space="preserve">。</w:t>
      </w:r>
    </w:p>
    <w:bookmarkEnd w:id="92"/>
    <w:bookmarkStart w:id="93" w:name="前向传播-forward-propagation"/>
    <w:p>
      <w:pPr>
        <w:pStyle w:val="4"/>
      </w:pPr>
      <w:r>
        <w:t xml:space="preserve">2. </w:t>
      </w:r>
      <w:r>
        <w:rPr>
          <w:rFonts w:hint="eastAsia"/>
        </w:rPr>
        <w:t xml:space="preserve">前向传播</w:t>
      </w:r>
      <w:r>
        <w:t xml:space="preserve"> (Forward Propagation)</w:t>
      </w:r>
    </w:p>
    <w:p>
      <w:pPr>
        <w:pStyle w:val="FirstParagraph"/>
      </w:pPr>
      <w:r>
        <w:rPr>
          <w:rFonts w:hint="eastAsia"/>
        </w:rPr>
        <w:t xml:space="preserve">对于第</w:t>
      </w:r>
      <w:r>
        <w:t xml:space="preserve"> </w:t>
      </w:r>
      <m:oMath>
        <m:r>
          <m:t>l</m:t>
        </m:r>
      </m:oMath>
      <w:r>
        <w:t xml:space="preserve"> </w:t>
      </w:r>
      <w:r>
        <w:rPr>
          <w:rFonts w:hint="eastAsia"/>
        </w:rPr>
        <w:t xml:space="preserve">层的第</w:t>
      </w:r>
      <w:r>
        <w:t xml:space="preserve"> </w:t>
      </w:r>
      <m:oMath>
        <m:r>
          <m:t>j</m:t>
        </m:r>
      </m:oMath>
      <w:r>
        <w:t xml:space="preserve"> </w:t>
      </w:r>
      <w:r>
        <w:rPr>
          <w:rFonts w:hint="eastAsia"/>
        </w:rPr>
        <w:t xml:space="preserve">个神经元，其聚合输入为：</w:t>
      </w:r>
    </w:p>
    <w:p>
      <w:pPr>
        <w:pStyle w:val="7"/>
      </w:pPr>
      <m:oMathPara>
        <m:oMathParaPr>
          <m:jc m:val="center"/>
        </m:oMathParaPr>
        <m:oMath>
          <m:sSubSup>
            <m:e>
              <m:r>
                <m:t>z</m:t>
              </m:r>
            </m:e>
            <m:sub>
              <m:r>
                <m:t>j</m:t>
              </m:r>
            </m:sub>
            <m:sup>
              <m:r>
                <m:rPr>
                  <m:sty m:val="p"/>
                </m:rPr>
                <m:t>(</m:t>
              </m:r>
              <m:r>
                <m:t>l</m:t>
              </m:r>
              <m:r>
                <m:rPr>
                  <m:sty m:val="p"/>
                </m:rPr>
                <m:t>)</m:t>
              </m:r>
            </m:sup>
          </m:sSubSup>
          <m:r>
            <m:rPr>
              <m:sty m:val="p"/>
            </m:rPr>
            <m:t>=</m:t>
          </m:r>
          <m:nary>
            <m:naryPr>
              <m:chr m:val="∑"/>
              <m:limLoc m:val="undOvr"/>
              <m:subHide m:val="off"/>
              <m:supHide m:val="on"/>
            </m:naryPr>
            <m:sub>
              <m:r>
                <m:t>k</m:t>
              </m:r>
            </m:sub>
            <m:sup>
              <m:r>
                <m:t>​</m:t>
              </m:r>
            </m:sup>
            <m:e>
              <m:sSubSup>
                <m:e>
                  <m:r>
                    <m:t>w</m:t>
                  </m:r>
                </m:e>
                <m:sub>
                  <m:r>
                    <m:t>j</m:t>
                  </m:r>
                  <m:r>
                    <m:t>k</m:t>
                  </m:r>
                </m:sub>
                <m:sup>
                  <m:r>
                    <m:rPr>
                      <m:sty m:val="p"/>
                    </m:rPr>
                    <m:t>(</m:t>
                  </m:r>
                  <m:r>
                    <m:t>l</m:t>
                  </m:r>
                  <m:r>
                    <m:rPr>
                      <m:sty m:val="p"/>
                    </m:rPr>
                    <m:t>)</m:t>
                  </m:r>
                </m:sup>
              </m:sSubSup>
            </m:e>
          </m:nary>
          <m:sSubSup>
            <m:e>
              <m:r>
                <m:t>a</m:t>
              </m:r>
            </m:e>
            <m:sub>
              <m:r>
                <m:t>k</m:t>
              </m:r>
            </m:sub>
            <m:sup>
              <m:r>
                <m:rPr>
                  <m:sty m:val="p"/>
                </m:rPr>
                <m:t>(</m:t>
              </m:r>
              <m:r>
                <m:t>l</m:t>
              </m:r>
              <m:r>
                <m:rPr>
                  <m:sty m:val="p"/>
                </m:rPr>
                <m:t>−</m:t>
              </m:r>
              <m:r>
                <m:t>1</m:t>
              </m:r>
              <m:r>
                <m:rPr>
                  <m:sty m:val="p"/>
                </m:rPr>
                <m:t>)</m:t>
              </m:r>
            </m:sup>
          </m:sSubSup>
          <m:r>
            <m:rPr>
              <m:sty m:val="p"/>
            </m:rPr>
            <m:t>+</m:t>
          </m:r>
          <m:sSubSup>
            <m:e>
              <m:r>
                <m:t>b</m:t>
              </m:r>
            </m:e>
            <m:sub>
              <m:r>
                <m:t>j</m:t>
              </m:r>
            </m:sub>
            <m:sup>
              <m:r>
                <m:rPr>
                  <m:sty m:val="p"/>
                </m:rPr>
                <m:t>(</m:t>
              </m:r>
              <m:r>
                <m:t>l</m:t>
              </m:r>
              <m:r>
                <m:rPr>
                  <m:sty m:val="p"/>
                </m:rPr>
                <m:t>)</m:t>
              </m:r>
            </m:sup>
          </m:sSubSup>
        </m:oMath>
      </m:oMathPara>
    </w:p>
    <w:p>
      <w:pPr>
        <w:pStyle w:val="FirstParagraph"/>
      </w:pPr>
      <w:r>
        <w:rPr>
          <w:rFonts w:hint="eastAsia"/>
        </w:rPr>
        <w:t xml:space="preserve">向量化形式为：</w:t>
      </w:r>
    </w:p>
    <w:p>
      <w:pPr>
        <w:pStyle w:val="7"/>
      </w:pPr>
      <m:oMathPara>
        <m:oMathParaPr>
          <m:jc m:val="center"/>
        </m:oMathParaPr>
        <m:oMath>
          <m:sSup>
            <m:e>
              <m:r>
                <m:t>z</m:t>
              </m:r>
            </m:e>
            <m:sup>
              <m:r>
                <m:rPr>
                  <m:sty m:val="p"/>
                </m:rPr>
                <m:t>(</m:t>
              </m:r>
              <m:r>
                <m:t>l</m:t>
              </m:r>
              <m:r>
                <m:rPr>
                  <m:sty m:val="p"/>
                </m:rPr>
                <m:t>)</m:t>
              </m:r>
            </m:sup>
          </m:sSup>
          <m:r>
            <m:rPr>
              <m:sty m:val="p"/>
            </m:rPr>
            <m:t>=</m:t>
          </m:r>
          <m:sSup>
            <m:e>
              <m:r>
                <m:t>W</m:t>
              </m:r>
            </m:e>
            <m:sup>
              <m:r>
                <m:rPr>
                  <m:sty m:val="p"/>
                </m:rPr>
                <m:t>(</m:t>
              </m:r>
              <m:r>
                <m:t>l</m:t>
              </m:r>
              <m:r>
                <m:rPr>
                  <m:sty m:val="p"/>
                </m:rPr>
                <m:t>)</m:t>
              </m:r>
            </m:sup>
          </m:sSup>
          <m:sSup>
            <m:e>
              <m:r>
                <m:t>a</m:t>
              </m:r>
            </m:e>
            <m:sup>
              <m:r>
                <m:rPr>
                  <m:sty m:val="p"/>
                </m:rPr>
                <m:t>(</m:t>
              </m:r>
              <m:r>
                <m:t>l</m:t>
              </m:r>
              <m:r>
                <m:rPr>
                  <m:sty m:val="p"/>
                </m:rPr>
                <m:t>−</m:t>
              </m:r>
              <m:r>
                <m:t>1</m:t>
              </m:r>
              <m:r>
                <m:rPr>
                  <m:sty m:val="p"/>
                </m:rPr>
                <m:t>)</m:t>
              </m:r>
            </m:sup>
          </m:sSup>
          <m:r>
            <m:rPr>
              <m:sty m:val="p"/>
            </m:rPr>
            <m:t>+</m:t>
          </m:r>
          <m:sSup>
            <m:e>
              <m:r>
                <m:t>b</m:t>
              </m:r>
            </m:e>
            <m:sup>
              <m:r>
                <m:rPr>
                  <m:sty m:val="p"/>
                </m:rPr>
                <m:t>(</m:t>
              </m:r>
              <m:r>
                <m:t>l</m:t>
              </m:r>
              <m:r>
                <m:rPr>
                  <m:sty m:val="p"/>
                </m:rPr>
                <m:t>)</m:t>
              </m:r>
            </m:sup>
          </m:sSup>
        </m:oMath>
      </m:oMathPara>
    </w:p>
    <w:p>
      <w:pPr>
        <w:pStyle w:val="FirstParagraph"/>
      </w:pPr>
      <m:oMathPara>
        <m:oMathParaPr>
          <m:jc m:val="center"/>
        </m:oMathParaPr>
        <m:oMath>
          <m:sSup>
            <m:e>
              <m:r>
                <m:t>a</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m:oMathPara>
    </w:p>
    <w:bookmarkEnd w:id="93"/>
    <w:bookmarkStart w:id="94" w:name="代价函数-cost-function"/>
    <w:p>
      <w:pPr>
        <w:pStyle w:val="4"/>
      </w:pPr>
      <w:r>
        <w:t xml:space="preserve">3. </w:t>
      </w:r>
      <w:r>
        <w:rPr>
          <w:rFonts w:hint="eastAsia"/>
        </w:rPr>
        <w:t xml:space="preserve">代价函数</w:t>
      </w:r>
      <w:r>
        <w:t xml:space="preserve"> (Cost Function)</w:t>
      </w:r>
    </w:p>
    <w:p>
      <w:pPr>
        <w:pStyle w:val="FirstParagraph"/>
      </w:pPr>
      <w:r>
        <w:rPr>
          <w:rFonts w:hint="eastAsia"/>
        </w:rPr>
        <w:t xml:space="preserve">假设使用二次代价函数（MSE），对于单个训练样本</w:t>
      </w:r>
      <w:r>
        <w:t xml:space="preserve"> </w:t>
      </w:r>
      <m:oMath>
        <m:r>
          <m:t>x</m:t>
        </m:r>
      </m:oMath>
      <w:r>
        <w:rPr>
          <w:rFonts w:hint="eastAsia"/>
        </w:rPr>
        <w:t xml:space="preserve">，其代价为：</w:t>
      </w:r>
    </w:p>
    <w:p>
      <w:pPr>
        <w:pStyle w:val="7"/>
      </w:pPr>
      <m:oMathPara>
        <m:oMathParaPr>
          <m:jc m:val="center"/>
        </m:oMathParaPr>
        <m:oMath>
          <m:r>
            <m:t>J</m:t>
          </m:r>
          <m:r>
            <m:rPr>
              <m:sty m:val="p"/>
            </m:rPr>
            <m:t>=</m:t>
          </m:r>
          <m:f>
            <m:fPr>
              <m:type m:val="bar"/>
            </m:fPr>
            <m:num>
              <m:r>
                <m:t>1</m:t>
              </m:r>
            </m:num>
            <m:den>
              <m:r>
                <m:t>2</m:t>
              </m:r>
            </m:den>
          </m:f>
          <m:r>
            <m:rPr>
              <m:sty m:val="p"/>
            </m:rPr>
            <m:t>∥</m:t>
          </m:r>
          <m:r>
            <m:t>y</m:t>
          </m:r>
          <m:r>
            <m:rPr>
              <m:sty m:val="p"/>
            </m:rPr>
            <m:t>−</m:t>
          </m:r>
          <m:sSup>
            <m:e>
              <m:r>
                <m:t>a</m:t>
              </m:r>
            </m:e>
            <m:sup>
              <m:r>
                <m:rPr>
                  <m:sty m:val="p"/>
                </m:rPr>
                <m:t>(</m:t>
              </m:r>
              <m:r>
                <m:t>L</m:t>
              </m:r>
              <m:r>
                <m:rPr>
                  <m:sty m:val="p"/>
                </m:rPr>
                <m:t>)</m:t>
              </m:r>
            </m:sup>
          </m:sSup>
          <m:sSup>
            <m:e>
              <m:r>
                <m:rPr>
                  <m:sty m:val="p"/>
                </m:rPr>
                <m:t>∥</m:t>
              </m:r>
            </m:e>
            <m:sup>
              <m:r>
                <m:t>2</m:t>
              </m:r>
            </m:sup>
          </m:sSup>
          <m:r>
            <m:rPr>
              <m:sty m:val="p"/>
            </m:rPr>
            <m:t>=</m:t>
          </m:r>
          <m:f>
            <m:fPr>
              <m:type m:val="bar"/>
            </m:fPr>
            <m:num>
              <m:r>
                <m:t>1</m:t>
              </m:r>
            </m:num>
            <m:den>
              <m:r>
                <m:t>2</m:t>
              </m:r>
            </m:den>
          </m:f>
          <m:nary>
            <m:naryPr>
              <m:chr m:val="∑"/>
              <m:limLoc m:val="undOvr"/>
              <m:subHide m:val="off"/>
              <m:supHide m:val="on"/>
            </m:naryPr>
            <m:sub>
              <m:r>
                <m:t>j</m:t>
              </m:r>
            </m:sub>
            <m:sup>
              <m:r>
                <m:t>​</m:t>
              </m:r>
            </m:sup>
            <m:e>
              <m:r>
                <m:rPr>
                  <m:sty m:val="p"/>
                </m:rPr>
                <m:t>(</m:t>
              </m:r>
            </m:e>
          </m:nary>
          <m:sSub>
            <m:e>
              <m:r>
                <m:t>y</m:t>
              </m:r>
            </m:e>
            <m:sub>
              <m:r>
                <m:t>j</m:t>
              </m:r>
            </m:sub>
          </m:sSub>
          <m:r>
            <m:rPr>
              <m:sty m:val="p"/>
            </m:rPr>
            <m:t>−</m:t>
          </m:r>
          <m:sSubSup>
            <m:e>
              <m:r>
                <m:t>a</m:t>
              </m:r>
            </m:e>
            <m:sub>
              <m:r>
                <m:t>j</m:t>
              </m:r>
            </m:sub>
            <m:sup>
              <m:r>
                <m:rPr>
                  <m:sty m:val="p"/>
                </m:rPr>
                <m:t>(</m:t>
              </m:r>
              <m:r>
                <m:t>L</m:t>
              </m:r>
              <m:r>
                <m:rPr>
                  <m:sty m:val="p"/>
                </m:rPr>
                <m:t>)</m:t>
              </m:r>
            </m:sup>
          </m:sSubSup>
          <m:sSup>
            <m:e>
              <m:r>
                <m:rPr>
                  <m:sty m:val="p"/>
                </m:rPr>
                <m:t>)</m:t>
              </m:r>
            </m:e>
            <m:sup>
              <m:r>
                <m:t>2</m:t>
              </m:r>
            </m:sup>
          </m:sSup>
        </m:oMath>
      </m:oMathPara>
    </w:p>
    <w:bookmarkEnd w:id="94"/>
    <w:bookmarkStart w:id="98" w:name="反向传播推导-backward-pass"/>
    <w:p>
      <w:pPr>
        <w:pStyle w:val="4"/>
      </w:pPr>
      <w:r>
        <w:t xml:space="preserve">4. </w:t>
      </w:r>
      <w:r>
        <w:rPr>
          <w:rFonts w:hint="eastAsia"/>
        </w:rPr>
        <w:t xml:space="preserve">反向传播推导</w:t>
      </w:r>
      <w:r>
        <w:t xml:space="preserve"> (Backward Pass)</w:t>
      </w:r>
    </w:p>
    <w:p>
      <w:pPr>
        <w:pStyle w:val="FirstParagraph"/>
      </w:pPr>
      <w:r>
        <w:rPr>
          <w:rFonts w:hint="eastAsia"/>
        </w:rPr>
        <w:t xml:space="preserve">我们的目标是计算代价函数</w:t>
      </w:r>
      <w:r>
        <w:t xml:space="preserve"> </w:t>
      </w:r>
      <m:oMath>
        <m:r>
          <m:t>J</m:t>
        </m:r>
      </m:oMath>
      <w:r>
        <w:t xml:space="preserve"> </w:t>
      </w:r>
      <w:r>
        <w:rPr>
          <w:rFonts w:hint="eastAsia"/>
        </w:rPr>
        <w:t xml:space="preserve">关于权重</w:t>
      </w:r>
      <w:r>
        <w:t xml:space="preserve"> </w:t>
      </w:r>
      <m:oMath>
        <m:r>
          <m:t>w</m:t>
        </m:r>
      </m:oMath>
      <w:r>
        <w:t xml:space="preserve"> </w:t>
      </w:r>
      <w:r>
        <w:rPr>
          <w:rFonts w:hint="eastAsia"/>
        </w:rPr>
        <w:t xml:space="preserve">和偏置</w:t>
      </w:r>
      <w:r>
        <w:t xml:space="preserve"> </w:t>
      </w:r>
      <m:oMath>
        <m:r>
          <m:t>b</m:t>
        </m:r>
      </m:oMath>
      <w:r>
        <w:t xml:space="preserve"> </w:t>
      </w:r>
      <w:r>
        <w:rPr>
          <w:rFonts w:hint="eastAsia"/>
        </w:rPr>
        <w:t xml:space="preserve">的偏导数。我们定义第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w:t>
      </w:r>
      <w:r>
        <w:rPr>
          <w:rFonts w:hint="eastAsia"/>
          <w:b/>
          <w:bCs/>
        </w:rPr>
        <w:t xml:space="preserve">误差项</w:t>
      </w:r>
      <w:r>
        <w:t xml:space="preserve"> </w:t>
      </w:r>
      <m:oMath>
        <m:sSubSup>
          <m:e>
            <m:r>
              <m:t>δ</m:t>
            </m:r>
          </m:e>
          <m:sub>
            <m:r>
              <m:t>j</m:t>
            </m:r>
          </m:sub>
          <m:sup>
            <m:r>
              <m:rPr>
                <m:sty m:val="p"/>
              </m:rPr>
              <m:t>(</m:t>
            </m:r>
            <m:r>
              <m:t>l</m:t>
            </m:r>
            <m:r>
              <m:rPr>
                <m:sty m:val="p"/>
              </m:rPr>
              <m:t>)</m:t>
            </m:r>
          </m:sup>
        </m:sSubSup>
      </m:oMath>
      <w:r>
        <w:t xml:space="preserve"> </w:t>
      </w:r>
      <w:r>
        <w:rPr>
          <w:rFonts w:hint="eastAsia"/>
        </w:rPr>
        <w:t xml:space="preserve">为：</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z</m:t>
                  </m:r>
                </m:e>
                <m:sub>
                  <m:r>
                    <m:t>j</m:t>
                  </m:r>
                </m:sub>
                <m:sup>
                  <m:r>
                    <m:rPr>
                      <m:sty m:val="p"/>
                    </m:rPr>
                    <m:t>(</m:t>
                  </m:r>
                  <m:r>
                    <m:t>l</m:t>
                  </m:r>
                  <m:r>
                    <m:rPr>
                      <m:sty m:val="p"/>
                    </m:rPr>
                    <m:t>)</m:t>
                  </m:r>
                </m:sup>
              </m:sSubSup>
            </m:den>
          </m:f>
        </m:oMath>
      </m:oMathPara>
    </w:p>
    <w:bookmarkStart w:id="95" w:name="步骤-a-输出层误差-deltal"/>
    <w:p>
      <w:pPr>
        <w:pStyle w:val="5"/>
      </w:pPr>
      <w:r>
        <w:rPr>
          <w:rFonts w:hint="eastAsia"/>
        </w:rPr>
        <w:t xml:space="preserve">步骤</w:t>
      </w:r>
      <w:r>
        <w:t xml:space="preserve"> A: </w:t>
      </w:r>
      <w:r>
        <w:rPr>
          <w:rFonts w:hint="eastAsia"/>
        </w:rPr>
        <w:t xml:space="preserve">输出层误差</w:t>
      </w:r>
      <w:r>
        <w:t xml:space="preserve"> </w:t>
      </w:r>
      <m:oMath>
        <m:sSup>
          <m:e>
            <m:r>
              <m:t>δ</m:t>
            </m:r>
          </m:e>
          <m:sup>
            <m:r>
              <m:rPr>
                <m:sty m:val="p"/>
              </m:rPr>
              <m:t>(</m:t>
            </m:r>
            <m:r>
              <m:t>L</m:t>
            </m:r>
            <m:r>
              <m:rPr>
                <m:sty m:val="p"/>
              </m:rPr>
              <m:t>)</m:t>
            </m:r>
          </m:sup>
        </m:sSup>
      </m:oMath>
    </w:p>
    <w:p>
      <w:pPr>
        <w:pStyle w:val="FirstParagraph"/>
      </w:pPr>
      <w:r>
        <w:rPr>
          <w:rFonts w:hint="eastAsia"/>
        </w:rPr>
        <w:t xml:space="preserve">根据链式法则：</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a</m:t>
                  </m:r>
                </m:e>
                <m:sub>
                  <m:r>
                    <m:t>j</m:t>
                  </m:r>
                </m:sub>
                <m:sup>
                  <m:r>
                    <m:rPr>
                      <m:sty m:val="p"/>
                    </m:rPr>
                    <m:t>(</m:t>
                  </m:r>
                  <m:r>
                    <m:t>L</m:t>
                  </m:r>
                  <m:r>
                    <m:rPr>
                      <m:sty m:val="p"/>
                    </m:rPr>
                    <m:t>)</m:t>
                  </m:r>
                </m:sup>
              </m:sSubSup>
            </m:den>
          </m:f>
          <m:r>
            <m:rPr>
              <m:sty m:val="p"/>
            </m:rPr>
            <m:t>⋅</m:t>
          </m:r>
          <m:f>
            <m:fPr>
              <m:type m:val="bar"/>
            </m:fPr>
            <m:num>
              <m:r>
                <m:rPr>
                  <m:sty m:val="p"/>
                </m:rPr>
                <m:t>∂</m:t>
              </m:r>
              <m:sSubSup>
                <m:e>
                  <m:r>
                    <m:t>a</m:t>
                  </m:r>
                </m:e>
                <m:sub>
                  <m:r>
                    <m:t>j</m:t>
                  </m:r>
                </m:sub>
                <m:sup>
                  <m:r>
                    <m:rPr>
                      <m:sty m:val="p"/>
                    </m:rPr>
                    <m:t>(</m:t>
                  </m:r>
                  <m:r>
                    <m:t>L</m:t>
                  </m:r>
                  <m:r>
                    <m:rPr>
                      <m:sty m:val="p"/>
                    </m:rPr>
                    <m:t>)</m:t>
                  </m:r>
                </m:sup>
              </m:sSubSup>
            </m:num>
            <m:den>
              <m:r>
                <m:rPr>
                  <m:sty m:val="p"/>
                </m:rPr>
                <m:t>∂</m:t>
              </m:r>
              <m:sSubSup>
                <m:e>
                  <m:r>
                    <m:t>z</m:t>
                  </m:r>
                </m:e>
                <m:sub>
                  <m:r>
                    <m:t>j</m:t>
                  </m:r>
                </m:sub>
                <m:sup>
                  <m:r>
                    <m:rPr>
                      <m:sty m:val="p"/>
                    </m:rPr>
                    <m:t>(</m:t>
                  </m:r>
                  <m:r>
                    <m:t>L</m:t>
                  </m:r>
                  <m:r>
                    <m:rPr>
                      <m:sty m:val="p"/>
                    </m:rPr>
                    <m:t>)</m:t>
                  </m:r>
                </m:sup>
              </m:sSubSup>
            </m:den>
          </m:f>
        </m:oMath>
      </m:oMathPara>
    </w:p>
    <w:p>
      <w:pPr>
        <w:pStyle w:val="FirstParagraph"/>
      </w:pPr>
      <w:r>
        <w:rPr>
          <w:rFonts w:hint="eastAsia"/>
        </w:rPr>
        <w:t xml:space="preserve">由于</w:t>
      </w:r>
      <w:r>
        <w:t xml:space="preserve"> </w:t>
      </w:r>
      <m:oMath>
        <m:sSup>
          <m:e>
            <m:r>
              <m:t>a</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w:r>
        <w:rPr>
          <w:rFonts w:hint="eastAsia"/>
        </w:rPr>
        <w:t xml:space="preserve">，且</w:t>
      </w:r>
      <w:r>
        <w:t xml:space="preserve"> </w:t>
      </w:r>
      <m:oMath>
        <m:r>
          <m:t>J</m:t>
        </m:r>
        <m:r>
          <m:rPr>
            <m:sty m:val="p"/>
          </m:rPr>
          <m:t>=</m:t>
        </m:r>
        <m:f>
          <m:fPr>
            <m:type m:val="bar"/>
          </m:fPr>
          <m:num>
            <m:r>
              <m:t>1</m:t>
            </m:r>
          </m:num>
          <m:den>
            <m:r>
              <m:t>2</m:t>
            </m:r>
          </m:den>
        </m:f>
        <m:r>
          <m:rPr>
            <m:sty m:val="p"/>
          </m:rPr>
          <m:t>∑</m:t>
        </m:r>
        <m:r>
          <m:rPr>
            <m:sty m:val="p"/>
          </m:rPr>
          <m:t>(</m:t>
        </m:r>
        <m:r>
          <m:t>y</m:t>
        </m:r>
        <m:r>
          <m:rPr>
            <m:sty m:val="p"/>
          </m:rPr>
          <m:t>−</m:t>
        </m:r>
        <m:sSup>
          <m:e>
            <m:r>
              <m:t>a</m:t>
            </m:r>
          </m:e>
          <m:sup>
            <m:r>
              <m:rPr>
                <m:sty m:val="p"/>
              </m:rPr>
              <m:t>(</m:t>
            </m:r>
            <m:r>
              <m:t>L</m:t>
            </m:r>
            <m:r>
              <m:rPr>
                <m:sty m:val="p"/>
              </m:rPr>
              <m:t>)</m:t>
            </m:r>
          </m:sup>
        </m:sSup>
        <m:sSup>
          <m:e>
            <m:r>
              <m:rPr>
                <m:sty m:val="p"/>
              </m:rPr>
              <m:t>)</m:t>
            </m:r>
          </m:e>
          <m:sup>
            <m:r>
              <m:t>2</m:t>
            </m:r>
          </m:sup>
        </m:sSup>
      </m:oMath>
      <w:r>
        <w:rPr>
          <w:rFonts w:hint="eastAsia"/>
        </w:rPr>
        <w:t xml:space="preserve">，我们可以得到：</w:t>
      </w:r>
    </w:p>
    <w:p>
      <w:pPr>
        <w:pStyle w:val="7"/>
      </w:pPr>
      <m:oMathPara>
        <m:oMathParaPr>
          <m:jc m:val="center"/>
        </m:oMathParaPr>
        <m:oMath>
          <m:sSup>
            <m:e>
              <m:r>
                <m:t>δ</m:t>
              </m:r>
            </m:e>
            <m:sup>
              <m:r>
                <m:rPr>
                  <m:sty m:val="p"/>
                </m:rPr>
                <m:t>(</m:t>
              </m:r>
              <m:r>
                <m:t>L</m:t>
              </m:r>
              <m:r>
                <m:rPr>
                  <m:sty m:val="p"/>
                </m:rPr>
                <m:t>)</m:t>
              </m:r>
            </m:sup>
          </m:sSup>
          <m:r>
            <m:rPr>
              <m:sty m:val="p"/>
            </m:rPr>
            <m:t>=</m:t>
          </m:r>
          <m:r>
            <m:rPr>
              <m:sty m:val="p"/>
            </m:rPr>
            <m:t>(</m:t>
          </m:r>
          <m:sSup>
            <m:e>
              <m:r>
                <m:t>a</m:t>
              </m:r>
            </m:e>
            <m:sup>
              <m:r>
                <m:rPr>
                  <m:sty m:val="p"/>
                </m:rPr>
                <m:t>(</m:t>
              </m:r>
              <m:r>
                <m:t>L</m:t>
              </m:r>
              <m:r>
                <m:rPr>
                  <m:sty m:val="p"/>
                </m:rPr>
                <m:t>)</m:t>
              </m:r>
            </m:sup>
          </m:sSup>
          <m:r>
            <m:rPr>
              <m:sty m:val="p"/>
            </m:rPr>
            <m:t>−</m:t>
          </m:r>
          <m:r>
            <m:t>y</m:t>
          </m:r>
          <m:r>
            <m:rPr>
              <m:sty m:val="p"/>
            </m:rPr>
            <m:t>)</m:t>
          </m:r>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代表哈达玛积（Hadamard</w:t>
      </w:r>
      <w:r>
        <w:t xml:space="preserve"> </w:t>
      </w:r>
      <w:r>
        <w:rPr>
          <w:rFonts w:hint="eastAsia"/>
        </w:rPr>
        <w:t xml:space="preserve">product，即元素对应相乘）。</w:t>
      </w:r>
    </w:p>
    <w:bookmarkEnd w:id="95"/>
    <w:bookmarkStart w:id="96" w:name="步骤-b-隐藏层误差-deltal"/>
    <w:p>
      <w:pPr>
        <w:pStyle w:val="5"/>
      </w:pPr>
      <w:r>
        <w:rPr>
          <w:rFonts w:hint="eastAsia"/>
        </w:rPr>
        <w:t xml:space="preserve">步骤</w:t>
      </w:r>
      <w:r>
        <w:t xml:space="preserve"> B: </w:t>
      </w:r>
      <w:r>
        <w:rPr>
          <w:rFonts w:hint="eastAsia"/>
        </w:rPr>
        <w:t xml:space="preserve">隐藏层误差</w:t>
      </w:r>
      <w:r>
        <w:t xml:space="preserve"> </w:t>
      </w:r>
      <m:oMath>
        <m:sSup>
          <m:e>
            <m:r>
              <m:t>δ</m:t>
            </m:r>
          </m:e>
          <m:sup>
            <m:r>
              <m:rPr>
                <m:sty m:val="p"/>
              </m:rPr>
              <m:t>(</m:t>
            </m:r>
            <m:r>
              <m:t>l</m:t>
            </m:r>
            <m:r>
              <m:rPr>
                <m:sty m:val="p"/>
              </m:rPr>
              <m:t>)</m:t>
            </m:r>
          </m:sup>
        </m:sSup>
      </m:oMath>
    </w:p>
    <w:p>
      <w:pPr>
        <w:pStyle w:val="FirstParagraph"/>
      </w:pPr>
      <w:r>
        <w:rPr>
          <w:rFonts w:hint="eastAsia"/>
        </w:rPr>
        <w:t xml:space="preserve">利用后一层</w:t>
      </w:r>
      <w:r>
        <w:t xml:space="preserve"> </w:t>
      </w:r>
      <m:oMath>
        <m:r>
          <m:t>l</m:t>
        </m:r>
        <m:r>
          <m:rPr>
            <m:sty m:val="p"/>
          </m:rPr>
          <m:t>+</m:t>
        </m:r>
        <m:r>
          <m:t>1</m:t>
        </m:r>
      </m:oMath>
      <w:r>
        <w:t xml:space="preserve"> </w:t>
      </w:r>
      <w:r>
        <w:rPr>
          <w:rFonts w:hint="eastAsia"/>
        </w:rPr>
        <w:t xml:space="preserve">的误差推导当前层</w:t>
      </w:r>
      <w:r>
        <w:t xml:space="preserve"> </w:t>
      </w:r>
      <m:oMath>
        <m:r>
          <m:t>l</m:t>
        </m:r>
      </m:oMath>
      <w:r>
        <w:t xml:space="preserve"> </w:t>
      </w:r>
      <w:r>
        <w:rPr>
          <w:rFonts w:hint="eastAsia"/>
        </w:rPr>
        <w:t xml:space="preserve">的误差：</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z</m:t>
                  </m:r>
                </m:e>
                <m:sub>
                  <m:r>
                    <m:t>j</m:t>
                  </m:r>
                </m:sub>
                <m:sup>
                  <m:r>
                    <m:rPr>
                      <m:sty m:val="p"/>
                    </m:rPr>
                    <m:t>(</m:t>
                  </m:r>
                  <m:r>
                    <m:t>l</m:t>
                  </m:r>
                  <m:r>
                    <m:rPr>
                      <m:sty m:val="p"/>
                    </m:rPr>
                    <m:t>)</m:t>
                  </m:r>
                </m:sup>
              </m:sSubSup>
            </m:den>
          </m:f>
          <m:r>
            <m:rPr>
              <m:sty m:val="p"/>
            </m:rPr>
            <m:t>=</m:t>
          </m:r>
          <m:nary>
            <m:naryPr>
              <m:chr m:val="∑"/>
              <m:limLoc m:val="undOvr"/>
              <m:subHide m:val="off"/>
              <m:supHide m:val="on"/>
            </m:naryPr>
            <m:sub>
              <m:r>
                <m:t>k</m:t>
              </m:r>
            </m:sub>
            <m:sup>
              <m:r>
                <m:t>​</m:t>
              </m:r>
            </m:sup>
            <m:e>
              <m:f>
                <m:fPr>
                  <m:type m:val="bar"/>
                </m:fPr>
                <m:num>
                  <m:r>
                    <m:rPr>
                      <m:sty m:val="p"/>
                    </m:rPr>
                    <m:t>∂</m:t>
                  </m:r>
                  <m:r>
                    <m:t>J</m:t>
                  </m:r>
                </m:num>
                <m:den>
                  <m:r>
                    <m:rPr>
                      <m:sty m:val="p"/>
                    </m:rPr>
                    <m:t>∂</m:t>
                  </m:r>
                  <m:sSubSup>
                    <m:e>
                      <m:r>
                        <m:t>z</m:t>
                      </m:r>
                    </m:e>
                    <m:sub>
                      <m:r>
                        <m:t>k</m:t>
                      </m:r>
                    </m:sub>
                    <m:sup>
                      <m:r>
                        <m:rPr>
                          <m:sty m:val="p"/>
                        </m:rPr>
                        <m:t>(</m:t>
                      </m:r>
                      <m:r>
                        <m:t>l</m:t>
                      </m:r>
                      <m:r>
                        <m:rPr>
                          <m:sty m:val="p"/>
                        </m:rPr>
                        <m:t>+</m:t>
                      </m:r>
                      <m:r>
                        <m:t>1</m:t>
                      </m:r>
                      <m:r>
                        <m:rPr>
                          <m:sty m:val="p"/>
                        </m:rPr>
                        <m:t>)</m:t>
                      </m:r>
                    </m:sup>
                  </m:sSubSup>
                </m:den>
              </m:f>
            </m:e>
          </m:nary>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r>
            <m:rPr>
              <m:sty m:val="p"/>
            </m:rPr>
            <m:t>=</m:t>
          </m:r>
          <m:nary>
            <m:naryPr>
              <m:chr m:val="∑"/>
              <m:limLoc m:val="undOvr"/>
              <m:subHide m:val="off"/>
              <m:supHide m:val="on"/>
            </m:naryPr>
            <m:sub>
              <m:r>
                <m:t>k</m:t>
              </m:r>
            </m:sub>
            <m:sup>
              <m:r>
                <m:t>​</m:t>
              </m:r>
            </m:sup>
            <m:e>
              <m:sSubSup>
                <m:e>
                  <m:r>
                    <m:t>δ</m:t>
                  </m:r>
                </m:e>
                <m:sub>
                  <m:r>
                    <m:t>k</m:t>
                  </m:r>
                </m:sub>
                <m:sup>
                  <m:r>
                    <m:rPr>
                      <m:sty m:val="p"/>
                    </m:rPr>
                    <m:t>(</m:t>
                  </m:r>
                  <m:r>
                    <m:t>l</m:t>
                  </m:r>
                  <m:r>
                    <m:rPr>
                      <m:sty m:val="p"/>
                    </m:rPr>
                    <m:t>+</m:t>
                  </m:r>
                  <m:r>
                    <m:t>1</m:t>
                  </m:r>
                  <m:r>
                    <m:rPr>
                      <m:sty m:val="p"/>
                    </m:rPr>
                    <m:t>)</m:t>
                  </m:r>
                </m:sup>
              </m:sSubSup>
            </m:e>
          </m:nary>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oMath>
      </m:oMathPara>
    </w:p>
    <w:p>
      <w:pPr>
        <w:pStyle w:val="FirstParagraph"/>
      </w:pPr>
      <w:r>
        <w:rPr>
          <w:rFonts w:hint="eastAsia"/>
        </w:rPr>
        <w:t xml:space="preserve">因为</w:t>
      </w:r>
      <w:r>
        <w:t xml:space="preserve"> </w:t>
      </w:r>
      <m:oMath>
        <m:sSubSup>
          <m:e>
            <m:r>
              <m:t>z</m:t>
            </m:r>
          </m:e>
          <m:sub>
            <m:r>
              <m:t>k</m:t>
            </m:r>
          </m:sub>
          <m:sup>
            <m:r>
              <m:rPr>
                <m:sty m:val="p"/>
              </m:rPr>
              <m:t>(</m:t>
            </m:r>
            <m:r>
              <m:t>l</m:t>
            </m:r>
            <m:r>
              <m:rPr>
                <m:sty m:val="p"/>
              </m:rPr>
              <m:t>+</m:t>
            </m:r>
            <m:r>
              <m:t>1</m:t>
            </m:r>
            <m:r>
              <m:rPr>
                <m:sty m:val="p"/>
              </m:rPr>
              <m:t>)</m:t>
            </m:r>
          </m:sup>
        </m:sSubSup>
        <m:r>
          <m:rPr>
            <m:sty m:val="p"/>
          </m:rPr>
          <m:t>=</m:t>
        </m:r>
        <m:nary>
          <m:naryPr>
            <m:chr m:val="∑"/>
            <m:limLoc m:val="undOvr"/>
            <m:subHide m:val="off"/>
            <m:supHide m:val="on"/>
          </m:naryPr>
          <m:sub>
            <m:r>
              <m:t>j</m:t>
            </m:r>
          </m:sub>
          <m:sup>
            <m:r>
              <m:t>​</m:t>
            </m:r>
          </m:sup>
          <m:e>
            <m:sSubSup>
              <m:e>
                <m:r>
                  <m:t>w</m:t>
                </m:r>
              </m:e>
              <m:sub>
                <m:r>
                  <m:t>k</m:t>
                </m:r>
                <m:r>
                  <m:t>j</m:t>
                </m:r>
              </m:sub>
              <m:sup>
                <m:r>
                  <m:rPr>
                    <m:sty m:val="p"/>
                  </m:rPr>
                  <m:t>(</m:t>
                </m:r>
                <m:r>
                  <m:t>l</m:t>
                </m:r>
                <m:r>
                  <m:rPr>
                    <m:sty m:val="p"/>
                  </m:rPr>
                  <m:t>+</m:t>
                </m:r>
                <m:r>
                  <m:t>1</m:t>
                </m:r>
                <m:r>
                  <m:rPr>
                    <m:sty m:val="p"/>
                  </m:rPr>
                  <m:t>)</m:t>
                </m:r>
              </m:sup>
            </m:sSubSup>
          </m:e>
        </m:nary>
        <m:r>
          <m:t>σ</m:t>
        </m:r>
        <m:r>
          <m:rPr>
            <m:sty m:val="p"/>
          </m:rPr>
          <m:t>(</m:t>
        </m:r>
        <m:sSubSup>
          <m:e>
            <m:r>
              <m:t>z</m:t>
            </m:r>
          </m:e>
          <m:sub>
            <m:r>
              <m:t>j</m:t>
            </m:r>
          </m:sub>
          <m:sup>
            <m:r>
              <m:rPr>
                <m:sty m:val="p"/>
              </m:rPr>
              <m:t>(</m:t>
            </m:r>
            <m:r>
              <m:t>l</m:t>
            </m:r>
            <m:r>
              <m:rPr>
                <m:sty m:val="p"/>
              </m:rPr>
              <m:t>)</m:t>
            </m:r>
          </m:sup>
        </m:sSubSup>
        <m:r>
          <m:rPr>
            <m:sty m:val="p"/>
          </m:rPr>
          <m:t>)</m:t>
        </m:r>
        <m:r>
          <m:rPr>
            <m:sty m:val="p"/>
          </m:rPr>
          <m:t>+</m:t>
        </m:r>
        <m:sSubSup>
          <m:e>
            <m:r>
              <m:t>b</m:t>
            </m:r>
          </m:e>
          <m:sub>
            <m:r>
              <m:t>k</m:t>
            </m:r>
          </m:sub>
          <m:sup>
            <m:r>
              <m:rPr>
                <m:sty m:val="p"/>
              </m:rPr>
              <m:t>(</m:t>
            </m:r>
            <m:r>
              <m:t>l</m:t>
            </m:r>
            <m:r>
              <m:rPr>
                <m:sty m:val="p"/>
              </m:rPr>
              <m:t>+</m:t>
            </m:r>
            <m:r>
              <m:t>1</m:t>
            </m:r>
            <m:r>
              <m:rPr>
                <m:sty m:val="p"/>
              </m:rPr>
              <m:t>)</m:t>
            </m:r>
          </m:sup>
        </m:sSubSup>
      </m:oMath>
      <w:r>
        <w:rPr>
          <w:rFonts w:hint="eastAsia"/>
        </w:rPr>
        <w:t xml:space="preserve">，所以：</w:t>
      </w:r>
    </w:p>
    <w:p>
      <w:pPr>
        <w:pStyle w:val="7"/>
      </w:pPr>
      <m:oMathPara>
        <m:oMathParaPr>
          <m:jc m:val="center"/>
        </m:oMathParaPr>
        <m:oMath>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r>
            <m:rPr>
              <m:sty m:val="p"/>
            </m:rPr>
            <m:t>=</m:t>
          </m:r>
          <m:sSubSup>
            <m:e>
              <m:r>
                <m:t>w</m:t>
              </m:r>
            </m:e>
            <m:sub>
              <m:r>
                <m:t>k</m:t>
              </m:r>
              <m:r>
                <m:t>j</m:t>
              </m:r>
            </m:sub>
            <m:sup>
              <m:r>
                <m:rPr>
                  <m:sty m:val="p"/>
                </m:rPr>
                <m:t>(</m:t>
              </m:r>
              <m:r>
                <m:t>l</m:t>
              </m:r>
              <m:r>
                <m:rPr>
                  <m:sty m:val="p"/>
                </m:rPr>
                <m:t>+</m:t>
              </m:r>
              <m:r>
                <m:t>1</m:t>
              </m:r>
              <m:r>
                <m:rPr>
                  <m:sty m:val="p"/>
                </m:rPr>
                <m:t>)</m:t>
              </m:r>
            </m:sup>
          </m:sSubSup>
          <m:sSup>
            <m:e>
              <m:r>
                <m:t>σ</m:t>
              </m:r>
            </m:e>
            <m:sup>
              <m:r>
                <m:rPr>
                  <m:sty m:val="p"/>
                </m:rPr>
                <m:t>′</m:t>
              </m:r>
            </m:sup>
          </m:sSup>
          <m:r>
            <m:rPr>
              <m:sty m:val="p"/>
            </m:rPr>
            <m:t>(</m:t>
          </m:r>
          <m:sSubSup>
            <m:e>
              <m:r>
                <m:t>z</m:t>
              </m:r>
            </m:e>
            <m:sub>
              <m:r>
                <m:t>j</m:t>
              </m:r>
            </m:sub>
            <m:sup>
              <m:r>
                <m:rPr>
                  <m:sty m:val="p"/>
                </m:rPr>
                <m:t>(</m:t>
              </m:r>
              <m:r>
                <m:t>l</m:t>
              </m:r>
              <m:r>
                <m:rPr>
                  <m:sty m:val="p"/>
                </m:rPr>
                <m:t>)</m:t>
              </m:r>
            </m:sup>
          </m:sSubSup>
          <m:r>
            <m:rPr>
              <m:sty m:val="p"/>
            </m:rPr>
            <m:t>)</m:t>
          </m:r>
        </m:oMath>
      </m:oMathPara>
    </w:p>
    <w:p>
      <w:pPr>
        <w:pStyle w:val="FirstParagraph"/>
      </w:pPr>
      <w:r>
        <w:rPr>
          <w:rFonts w:hint="eastAsia"/>
        </w:rPr>
        <w:t xml:space="preserve">代入后得到向量化公式：</w:t>
      </w:r>
    </w:p>
    <w:p>
      <w:pPr>
        <w:pStyle w:val="7"/>
      </w:pPr>
      <m:oMathPara>
        <m:oMathParaPr>
          <m:jc m:val="center"/>
        </m:oMathParaPr>
        <m:oMath>
          <m:sSup>
            <m:e>
              <m:r>
                <m:t>δ</m:t>
              </m:r>
            </m:e>
            <m:sup>
              <m:r>
                <m:rPr>
                  <m:sty m:val="p"/>
                </m:rPr>
                <m:t>(</m:t>
              </m:r>
              <m:r>
                <m:t>l</m:t>
              </m:r>
              <m:r>
                <m:rPr>
                  <m:sty m:val="p"/>
                </m:rPr>
                <m:t>)</m:t>
              </m:r>
            </m:sup>
          </m:sSup>
          <m:r>
            <m:rPr>
              <m:sty m:val="p"/>
            </m:rPr>
            <m:t>=</m:t>
          </m:r>
          <m:d>
            <m:dPr>
              <m:begChr m:val="("/>
              <m:sepChr m:val=""/>
              <m:endChr m:val=")"/>
              <m:grow/>
            </m:dPr>
            <m:e>
              <m:r>
                <m:rPr>
                  <m:sty m:val="p"/>
                </m:rPr>
                <m:t>(</m:t>
              </m:r>
              <m:sSup>
                <m:e>
                  <m:r>
                    <m:t>W</m:t>
                  </m:r>
                </m:e>
                <m:sup>
                  <m:r>
                    <m:rPr>
                      <m:sty m:val="p"/>
                    </m:rPr>
                    <m:t>(</m:t>
                  </m:r>
                  <m:r>
                    <m:t>l</m:t>
                  </m:r>
                  <m:r>
                    <m:rPr>
                      <m:sty m:val="p"/>
                    </m:rPr>
                    <m:t>+</m:t>
                  </m:r>
                  <m:r>
                    <m:t>1</m:t>
                  </m:r>
                  <m:r>
                    <m:rPr>
                      <m:sty m:val="p"/>
                    </m:rPr>
                    <m:t>)</m:t>
                  </m:r>
                </m:sup>
              </m:sSup>
              <m:sSup>
                <m:e>
                  <m:r>
                    <m:rPr>
                      <m:sty m:val="p"/>
                    </m:rPr>
                    <m:t>)</m:t>
                  </m:r>
                </m:e>
                <m:sup>
                  <m:r>
                    <m:t>T</m:t>
                  </m:r>
                </m:sup>
              </m:sSup>
              <m:sSup>
                <m:e>
                  <m:r>
                    <m:t>δ</m:t>
                  </m:r>
                </m:e>
                <m:sup>
                  <m:r>
                    <m:rPr>
                      <m:sty m:val="p"/>
                    </m:rPr>
                    <m:t>(</m:t>
                  </m:r>
                  <m:r>
                    <m:t>l</m:t>
                  </m:r>
                  <m:r>
                    <m:rPr>
                      <m:sty m:val="p"/>
                    </m:rPr>
                    <m:t>+</m:t>
                  </m:r>
                  <m:r>
                    <m:t>1</m:t>
                  </m:r>
                  <m:r>
                    <m:rPr>
                      <m:sty m:val="p"/>
                    </m:rPr>
                    <m:t>)</m:t>
                  </m:r>
                </m:sup>
              </m:sSup>
            </m:e>
          </m:d>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bookmarkEnd w:id="96"/>
    <w:bookmarkStart w:id="97" w:name="步骤-c-计算梯度"/>
    <w:p>
      <w:pPr>
        <w:pStyle w:val="5"/>
      </w:pPr>
      <w:r>
        <w:rPr>
          <w:rFonts w:hint="eastAsia"/>
        </w:rPr>
        <w:t xml:space="preserve">步骤</w:t>
      </w:r>
      <w:r>
        <w:t xml:space="preserve"> C: </w:t>
      </w:r>
      <w:r>
        <w:rPr>
          <w:rFonts w:hint="eastAsia"/>
        </w:rPr>
        <w:t xml:space="preserve">计算梯度</w:t>
      </w:r>
    </w:p>
    <w:p>
      <w:pPr>
        <w:pStyle w:val="FirstParagraph"/>
      </w:pPr>
      <w:r>
        <w:rPr>
          <w:rFonts w:hint="eastAsia"/>
        </w:rPr>
        <w:t xml:space="preserve">最后，我们可以得到参数的梯度：</w:t>
      </w:r>
    </w:p>
    <w:p>
      <w:pPr>
        <w:numPr>
          <w:ilvl w:val="0"/>
          <w:numId w:val="1032"/>
        </w:numPr>
      </w:pPr>
      <w:r>
        <w:rPr>
          <w:rFonts w:hint="eastAsia"/>
          <w:b/>
          <w:bCs/>
        </w:rPr>
        <w:t xml:space="preserve">权重的梯度</w:t>
      </w:r>
      <w:r>
        <w:rPr>
          <w:rFonts w:hint="eastAsia"/>
        </w:rPr>
        <w:t xml:space="preserve">：</w:t>
      </w:r>
    </w:p>
    <w:p>
      <w:pPr>
        <w:pStyle w:val="7"/>
      </w:pPr>
      <m:oMathPara>
        <m:oMathParaPr>
          <m:jc m:val="center"/>
        </m:oMathParaPr>
        <m:oMath>
          <m:f>
            <m:fPr>
              <m:type m:val="bar"/>
            </m:fPr>
            <m:num>
              <m:r>
                <m:rPr>
                  <m:sty m:val="p"/>
                </m:rPr>
                <m:t>∂</m:t>
              </m:r>
              <m:r>
                <m:t>J</m:t>
              </m:r>
            </m:num>
            <m:den>
              <m:r>
                <m:rPr>
                  <m:sty m:val="p"/>
                </m:rPr>
                <m:t>∂</m:t>
              </m:r>
              <m:sSubSup>
                <m:e>
                  <m:r>
                    <m:t>w</m:t>
                  </m:r>
                </m:e>
                <m:sub>
                  <m:r>
                    <m:t>j</m:t>
                  </m:r>
                  <m:r>
                    <m:t>k</m:t>
                  </m:r>
                </m:sub>
                <m:sup>
                  <m:r>
                    <m:rPr>
                      <m:sty m:val="p"/>
                    </m:rPr>
                    <m:t>(</m:t>
                  </m:r>
                  <m:r>
                    <m:t>l</m:t>
                  </m:r>
                  <m:r>
                    <m:rPr>
                      <m:sty m:val="p"/>
                    </m:rPr>
                    <m:t>)</m:t>
                  </m:r>
                </m:sup>
              </m:sSubSup>
            </m:den>
          </m:f>
          <m:r>
            <m:rPr>
              <m:sty m:val="p"/>
            </m:rPr>
            <m:t>=</m:t>
          </m:r>
          <m:sSubSup>
            <m:e>
              <m:r>
                <m:t>a</m:t>
              </m:r>
            </m:e>
            <m:sub>
              <m:r>
                <m:t>k</m:t>
              </m:r>
            </m:sub>
            <m:sup>
              <m:r>
                <m:rPr>
                  <m:sty m:val="p"/>
                </m:rPr>
                <m:t>(</m:t>
              </m:r>
              <m:r>
                <m:t>l</m:t>
              </m:r>
              <m:r>
                <m:rPr>
                  <m:sty m:val="p"/>
                </m:rPr>
                <m:t>−</m:t>
              </m:r>
              <m:r>
                <m:t>1</m:t>
              </m:r>
              <m:r>
                <m:rPr>
                  <m:sty m:val="p"/>
                </m:rPr>
                <m:t>)</m:t>
              </m:r>
            </m:sup>
          </m:sSubSup>
          <m:sSubSup>
            <m:e>
              <m:r>
                <m:t>δ</m:t>
              </m:r>
            </m:e>
            <m:sub>
              <m:r>
                <m:t>j</m:t>
              </m:r>
            </m:sub>
            <m:sup>
              <m:r>
                <m:rPr>
                  <m:sty m:val="p"/>
                </m:rPr>
                <m:t>(</m:t>
              </m:r>
              <m:r>
                <m:t>l</m:t>
              </m:r>
              <m:r>
                <m:rPr>
                  <m:sty m:val="p"/>
                </m:rPr>
                <m:t>)</m:t>
              </m:r>
            </m:sup>
          </m:sSubSup>
        </m:oMath>
      </m:oMathPara>
    </w:p>
    <w:p>
      <w:pPr>
        <w:numPr>
          <w:ilvl w:val="0"/>
          <w:numId w:val="1032"/>
        </w:numPr>
      </w:pPr>
      <w:r>
        <w:rPr>
          <w:rFonts w:hint="eastAsia"/>
          <w:b/>
          <w:bCs/>
        </w:rPr>
        <w:t xml:space="preserve">偏置的梯度</w:t>
      </w:r>
      <w:r>
        <w:rPr>
          <w:rFonts w:hint="eastAsia"/>
        </w:rPr>
        <w:t xml:space="preserve">：</w:t>
      </w:r>
    </w:p>
    <w:p>
      <w:pPr>
        <w:pStyle w:val="7"/>
      </w:pPr>
      <m:oMathPara>
        <m:oMathParaPr>
          <m:jc m:val="center"/>
        </m:oMathParaPr>
        <m:oMath>
          <m:f>
            <m:fPr>
              <m:type m:val="bar"/>
            </m:fPr>
            <m:num>
              <m:r>
                <m:rPr>
                  <m:sty m:val="p"/>
                </m:rPr>
                <m:t>∂</m:t>
              </m:r>
              <m:r>
                <m:t>J</m:t>
              </m:r>
            </m:num>
            <m:den>
              <m:r>
                <m:rPr>
                  <m:sty m:val="p"/>
                </m:rPr>
                <m:t>∂</m:t>
              </m:r>
              <m:sSubSup>
                <m:e>
                  <m:r>
                    <m:t>b</m:t>
                  </m:r>
                </m:e>
                <m:sub>
                  <m:r>
                    <m:t>j</m:t>
                  </m:r>
                </m:sub>
                <m:sup>
                  <m:r>
                    <m:rPr>
                      <m:sty m:val="p"/>
                    </m:rPr>
                    <m:t>(</m:t>
                  </m:r>
                  <m:r>
                    <m:t>l</m:t>
                  </m:r>
                  <m:r>
                    <m:rPr>
                      <m:sty m:val="p"/>
                    </m:rPr>
                    <m:t>)</m:t>
                  </m:r>
                </m:sup>
              </m:sSubSup>
            </m:den>
          </m:f>
          <m:r>
            <m:rPr>
              <m:sty m:val="p"/>
            </m:rPr>
            <m:t>=</m:t>
          </m:r>
          <m:sSubSup>
            <m:e>
              <m:r>
                <m:t>δ</m:t>
              </m:r>
            </m:e>
            <m:sub>
              <m:r>
                <m:t>j</m:t>
              </m:r>
            </m:sub>
            <m:sup>
              <m:r>
                <m:rPr>
                  <m:sty m:val="p"/>
                </m:rPr>
                <m:t>(</m:t>
              </m:r>
              <m:r>
                <m:t>l</m:t>
              </m:r>
              <m:r>
                <m:rPr>
                  <m:sty m:val="p"/>
                </m:rPr>
                <m:t>)</m:t>
              </m:r>
            </m:sup>
          </m:sSubSup>
        </m:oMath>
      </m:oMathPara>
    </w:p>
    <w:bookmarkEnd w:id="97"/>
    <w:bookmarkEnd w:id="98"/>
    <w:bookmarkStart w:id="99" w:name="总结"/>
    <w:p>
      <w:pPr>
        <w:pStyle w:val="4"/>
      </w:pPr>
      <w:r>
        <w:t xml:space="preserve">5. </w:t>
      </w:r>
      <w:r>
        <w:rPr>
          <w:rFonts w:hint="eastAsia"/>
        </w:rPr>
        <w:t xml:space="preserve">总结</w:t>
      </w:r>
    </w:p>
    <w:p>
      <w:pPr>
        <w:pStyle w:val="FirstParagraph"/>
      </w:pPr>
      <w:r>
        <w:rPr>
          <w:rFonts w:hint="eastAsia"/>
        </w:rPr>
        <w:t xml:space="preserve">反向传播的核心在于计算每一层的</w:t>
      </w:r>
      <w:r>
        <w:t xml:space="preserve"> </w:t>
      </w:r>
      <m:oMath>
        <m:sSup>
          <m:e>
            <m:r>
              <m:t>δ</m:t>
            </m:r>
          </m:e>
          <m:sup>
            <m:r>
              <m:rPr>
                <m:sty m:val="p"/>
              </m:rPr>
              <m:t>(</m:t>
            </m:r>
            <m:r>
              <m:t>l</m:t>
            </m:r>
            <m:r>
              <m:rPr>
                <m:sty m:val="p"/>
              </m:rPr>
              <m:t>)</m:t>
            </m:r>
          </m:sup>
        </m:sSup>
      </m:oMath>
      <w:r>
        <w:rPr>
          <w:rFonts w:hint="eastAsia"/>
        </w:rPr>
        <w:t xml:space="preserve">：</w:t>
      </w:r>
    </w:p>
    <w:p>
      <w:pPr>
        <w:pStyle w:val="7"/>
      </w:pPr>
      <m:oMathPara>
        <m:oMathParaPr>
          <m:jc m:val="center"/>
        </m:oMathParaPr>
        <m:oMath>
          <m:sSub>
            <m:e>
              <m:r>
                <m:rPr>
                  <m:sty m:val="p"/>
                </m:rPr>
                <m:t>∇</m:t>
              </m:r>
            </m:e>
            <m:sub>
              <m:sSup>
                <m:e>
                  <m:r>
                    <m:t>b</m:t>
                  </m:r>
                </m:e>
                <m:sup>
                  <m:r>
                    <m:rPr>
                      <m:sty m:val="p"/>
                    </m:rPr>
                    <m:t>(</m:t>
                  </m:r>
                  <m:r>
                    <m:t>l</m:t>
                  </m:r>
                  <m:r>
                    <m:rPr>
                      <m:sty m:val="p"/>
                    </m:rPr>
                    <m:t>)</m:t>
                  </m:r>
                </m:sup>
              </m:sSup>
            </m:sub>
          </m:sSub>
          <m:r>
            <m:t>J</m:t>
          </m:r>
          <m:r>
            <m:rPr>
              <m:sty m:val="p"/>
            </m:rPr>
            <m:t>=</m:t>
          </m:r>
          <m:sSup>
            <m:e>
              <m:r>
                <m:t>δ</m:t>
              </m:r>
            </m:e>
            <m:sup>
              <m:r>
                <m:rPr>
                  <m:sty m:val="p"/>
                </m:rPr>
                <m:t>(</m:t>
              </m:r>
              <m:r>
                <m:t>l</m:t>
              </m:r>
              <m:r>
                <m:rPr>
                  <m:sty m:val="p"/>
                </m:rPr>
                <m:t>)</m:t>
              </m:r>
            </m:sup>
          </m:sSup>
          <m:r>
            <m:t>反</m:t>
          </m:r>
          <m:r>
            <m:t>向</m:t>
          </m:r>
          <m:r>
            <m:t>传</m:t>
          </m:r>
          <m:r>
            <m:t>播</m:t>
          </m:r>
          <m:r>
            <m:t>的</m:t>
          </m:r>
          <m:r>
            <m:t>核</m:t>
          </m:r>
          <m:r>
            <m:t>心</m:t>
          </m:r>
          <m:r>
            <m:t>在</m:t>
          </m:r>
          <m:r>
            <m:t>于</m:t>
          </m:r>
          <m:r>
            <m:t>计</m:t>
          </m:r>
          <m:r>
            <m:t>算</m:t>
          </m:r>
          <m:r>
            <m:t>每</m:t>
          </m:r>
          <m:r>
            <m:t>一</m:t>
          </m:r>
          <m:r>
            <m:t>层</m:t>
          </m:r>
          <m:r>
            <m:t>的</m:t>
          </m:r>
        </m:oMath>
      </m:oMathPara>
    </w:p>
    <w:p>
      <w:pPr>
        <w:pStyle w:val="FirstParagraph"/>
      </w:pPr>
      <m:oMathPara>
        <m:oMathParaPr>
          <m:jc m:val="center"/>
        </m:oMathParaPr>
        <m:oMath>
          <m:sSub>
            <m:e>
              <m:r>
                <m:rPr>
                  <m:sty m:val="p"/>
                </m:rPr>
                <m:t>∇</m:t>
              </m:r>
            </m:e>
            <m:sub>
              <m:sSup>
                <m:e>
                  <m:r>
                    <m:t>W</m:t>
                  </m:r>
                </m:e>
                <m:sup>
                  <m:r>
                    <m:rPr>
                      <m:sty m:val="p"/>
                    </m:rPr>
                    <m:t>(</m:t>
                  </m:r>
                  <m:r>
                    <m:t>l</m:t>
                  </m:r>
                  <m:r>
                    <m:rPr>
                      <m:sty m:val="p"/>
                    </m:rPr>
                    <m:t>)</m:t>
                  </m:r>
                </m:sup>
              </m:sSup>
            </m:sub>
          </m:sSub>
          <m:r>
            <m:t>J</m:t>
          </m:r>
          <m:r>
            <m:rPr>
              <m:sty m:val="p"/>
            </m:rPr>
            <m:t>=</m:t>
          </m:r>
          <m:sSup>
            <m:e>
              <m:r>
                <m:t>δ</m:t>
              </m:r>
            </m:e>
            <m:sup>
              <m:r>
                <m:rPr>
                  <m:sty m:val="p"/>
                </m:rPr>
                <m:t>(</m:t>
              </m:r>
              <m:r>
                <m:t>l</m:t>
              </m:r>
              <m:r>
                <m:rPr>
                  <m:sty m:val="p"/>
                </m:rPr>
                <m:t>)</m:t>
              </m:r>
            </m:sup>
          </m:sSup>
          <m:r>
            <m:rPr>
              <m:sty m:val="p"/>
            </m:rPr>
            <m:t>(</m:t>
          </m:r>
          <m:sSup>
            <m:e>
              <m:r>
                <m:t>a</m:t>
              </m:r>
            </m:e>
            <m:sup>
              <m:r>
                <m:rPr>
                  <m:sty m:val="p"/>
                </m:rPr>
                <m:t>(</m:t>
              </m:r>
              <m:r>
                <m:t>l</m:t>
              </m:r>
              <m:r>
                <m:rPr>
                  <m:sty m:val="p"/>
                </m:rPr>
                <m:t>−</m:t>
              </m:r>
              <m:r>
                <m:t>1</m:t>
              </m:r>
              <m:r>
                <m:rPr>
                  <m:sty m:val="p"/>
                </m:rPr>
                <m:t>)</m:t>
              </m:r>
            </m:sup>
          </m:sSup>
          <m:sSup>
            <m:e>
              <m:r>
                <m:rPr>
                  <m:sty m:val="p"/>
                </m:rPr>
                <m:t>)</m:t>
              </m:r>
            </m:e>
            <m:sup>
              <m:r>
                <m:t>T</m:t>
              </m:r>
            </m:sup>
          </m:sSup>
        </m:oMath>
      </m:oMathPara>
    </w:p>
    <w:p>
      <w:pPr>
        <w:pStyle w:val="FirstParagraph"/>
      </w:pPr>
      <m:oMath>
        <m:f>
          <m:fPr>
            <m:type m:val="bar"/>
          </m:fPr>
          <m:num>
            <m:sSub>
              <m:e>
                <m:r>
                  <m:t>d</m:t>
                </m:r>
              </m:e>
              <m:sub>
                <m:r>
                  <m:t>y</m:t>
                </m:r>
              </m:sub>
            </m:sSub>
          </m:num>
          <m:den>
            <m:sSub>
              <m:e>
                <m:r>
                  <m:t>d</m:t>
                </m:r>
              </m:e>
              <m:sub>
                <m:r>
                  <m:t>x</m:t>
                </m:r>
              </m:sub>
            </m:sSub>
          </m:den>
        </m:f>
      </m:oMath>
    </w:p>
    <w:p>
      <w:pPr>
        <w:pStyle w:val="7"/>
      </w:pPr>
      <w:r>
        <w:rPr>
          <w:rFonts w:hint="eastAsia"/>
        </w:rPr>
        <w:t xml:space="preserve">我们定义一个多层感知机（MLP），其中</w:t>
      </w:r>
      <w:r>
        <w:t xml:space="preserve"> </w:t>
      </w:r>
      <m:oMath>
        <m:r>
          <m:t>L</m:t>
        </m:r>
      </m:oMath>
      <w:r>
        <w:t xml:space="preserve"> </w:t>
      </w:r>
      <w:r>
        <w:rPr>
          <w:rFonts w:hint="eastAsia"/>
        </w:rPr>
        <w:t xml:space="preserve">表示总层数，</w:t>
      </w:r>
      <m:oMath>
        <m:r>
          <m:t>l</m:t>
        </m:r>
      </m:oMath>
      <w:r>
        <w:t xml:space="preserve"> </w:t>
      </w:r>
      <w:r>
        <w:rPr>
          <w:rFonts w:hint="eastAsia"/>
        </w:rPr>
        <w:t xml:space="preserve">表示当前层。</w:t>
      </w:r>
    </w:p>
    <w:bookmarkEnd w:id="99"/>
    <w:bookmarkStart w:id="100" w:name="符号定义-1"/>
    <w:p>
      <w:pPr>
        <w:pStyle w:val="4"/>
      </w:pPr>
      <w:r>
        <w:t xml:space="preserve">1. </w:t>
      </w:r>
      <w:r>
        <w:rPr>
          <w:rFonts w:hint="eastAsia"/>
        </w:rPr>
        <w:t xml:space="preserve">符号定义</w:t>
      </w:r>
    </w:p>
    <w:p>
      <w:pPr>
        <w:pStyle w:val="Compact"/>
        <w:numPr>
          <w:ilvl w:val="0"/>
          <w:numId w:val="1033"/>
        </w:numPr>
      </w:pPr>
      <m:oMath>
        <m:sSubSup>
          <m:e>
            <m:r>
              <m:t>w</m:t>
            </m:r>
          </m:e>
          <m:sub>
            <m:r>
              <m:t>j</m:t>
            </m:r>
            <m:r>
              <m:t>k</m:t>
            </m:r>
          </m:sub>
          <m:sup>
            <m:r>
              <m:rPr>
                <m:sty m:val="p"/>
              </m:rPr>
              <m:t>(</m:t>
            </m:r>
            <m:r>
              <m:t>l</m:t>
            </m:r>
            <m:r>
              <m:rPr>
                <m:sty m:val="p"/>
              </m:rPr>
              <m:t>)</m:t>
            </m:r>
          </m:sup>
        </m:sSubSup>
      </m:oMath>
      <w:r>
        <w:rPr>
          <w:rFonts w:hint="eastAsia"/>
        </w:rPr>
        <w:t xml:space="preserve">：从第</w:t>
      </w:r>
      <w:r>
        <w:t xml:space="preserve"> </w:t>
      </w:r>
      <m:oMath>
        <m:r>
          <m:t>l</m:t>
        </m:r>
        <m:r>
          <m:rPr>
            <m:sty m:val="p"/>
          </m:rPr>
          <m:t>−</m:t>
        </m:r>
        <m:r>
          <m:t>1</m:t>
        </m:r>
      </m:oMath>
      <w:r>
        <w:t xml:space="preserve"> </w:t>
      </w:r>
      <w:r>
        <w:rPr>
          <w:rFonts w:hint="eastAsia"/>
        </w:rPr>
        <w:t xml:space="preserve">层的第</w:t>
      </w:r>
      <w:r>
        <w:t xml:space="preserve"> </w:t>
      </w:r>
      <m:oMath>
        <m:r>
          <m:t>k</m:t>
        </m:r>
      </m:oMath>
      <w:r>
        <w:t xml:space="preserve"> </w:t>
      </w:r>
      <w:r>
        <w:rPr>
          <w:rFonts w:hint="eastAsia"/>
        </w:rPr>
        <w:t xml:space="preserve">个神经元到第</w:t>
      </w:r>
      <w:r>
        <w:t xml:space="preserve"> </w:t>
      </w:r>
      <m:oMath>
        <m:r>
          <m:t>l</m:t>
        </m:r>
      </m:oMath>
      <w:r>
        <w:t xml:space="preserve"> </w:t>
      </w:r>
      <w:r>
        <w:rPr>
          <w:rFonts w:hint="eastAsia"/>
        </w:rPr>
        <w:t xml:space="preserve">层的第</w:t>
      </w:r>
      <w:r>
        <w:t xml:space="preserve"> </w:t>
      </w:r>
      <m:oMath>
        <m:r>
          <m:t>j</m:t>
        </m:r>
      </m:oMath>
      <w:r>
        <w:t xml:space="preserve"> </w:t>
      </w:r>
      <w:r>
        <w:rPr>
          <w:rFonts w:hint="eastAsia"/>
        </w:rPr>
        <w:t xml:space="preserve">个神经元的权重。</w:t>
      </w:r>
    </w:p>
    <w:p>
      <w:pPr>
        <w:pStyle w:val="Compact"/>
        <w:numPr>
          <w:ilvl w:val="0"/>
          <w:numId w:val="1033"/>
        </w:numPr>
      </w:pPr>
      <m:oMath>
        <m:sSubSup>
          <m:e>
            <m:r>
              <m:t>b</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个神经元的偏置。</w:t>
      </w:r>
    </w:p>
    <w:p>
      <w:pPr>
        <w:pStyle w:val="Compact"/>
        <w:numPr>
          <w:ilvl w:val="0"/>
          <w:numId w:val="1033"/>
        </w:numPr>
      </w:pPr>
      <m:oMath>
        <m:sSubSup>
          <m:e>
            <m:r>
              <m:t>z</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个神经元的加权输入。</w:t>
      </w:r>
    </w:p>
    <w:p>
      <w:pPr>
        <w:pStyle w:val="Compact"/>
        <w:numPr>
          <w:ilvl w:val="0"/>
          <w:numId w:val="1033"/>
        </w:numPr>
      </w:pPr>
      <m:oMath>
        <m:sSubSup>
          <m:e>
            <m:r>
              <m:t>a</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个神经元的激活输出，其中</w:t>
      </w:r>
      <w:r>
        <w:t xml:space="preserve"> </w:t>
      </w:r>
      <m:oMath>
        <m:sSubSup>
          <m:e>
            <m:r>
              <m:t>a</m:t>
            </m:r>
          </m:e>
          <m:sub>
            <m:r>
              <m:t>j</m:t>
            </m:r>
          </m:sub>
          <m:sup>
            <m:r>
              <m:rPr>
                <m:sty m:val="p"/>
              </m:rPr>
              <m:t>(</m:t>
            </m:r>
            <m:r>
              <m:t>l</m:t>
            </m:r>
            <m:r>
              <m:rPr>
                <m:sty m:val="p"/>
              </m:rPr>
              <m:t>)</m:t>
            </m:r>
          </m:sup>
        </m:sSubSup>
        <m:r>
          <m:rPr>
            <m:sty m:val="p"/>
          </m:rPr>
          <m:t>=</m:t>
        </m:r>
        <m:r>
          <m:t>σ</m:t>
        </m:r>
        <m:r>
          <m:rPr>
            <m:sty m:val="p"/>
          </m:rPr>
          <m:t>(</m:t>
        </m:r>
        <m:sSubSup>
          <m:e>
            <m:r>
              <m:t>z</m:t>
            </m:r>
          </m:e>
          <m:sub>
            <m:r>
              <m:t>j</m:t>
            </m:r>
          </m:sub>
          <m:sup>
            <m:r>
              <m:rPr>
                <m:sty m:val="p"/>
              </m:rPr>
              <m:t>(</m:t>
            </m:r>
            <m:r>
              <m:t>l</m:t>
            </m:r>
            <m:r>
              <m:rPr>
                <m:sty m:val="p"/>
              </m:rPr>
              <m:t>)</m:t>
            </m:r>
          </m:sup>
        </m:sSubSup>
        <m:r>
          <m:rPr>
            <m:sty m:val="p"/>
          </m:rPr>
          <m:t>)</m:t>
        </m:r>
      </m:oMath>
      <w:r>
        <w:t xml:space="preserve">。</w:t>
      </w:r>
    </w:p>
    <w:bookmarkEnd w:id="100"/>
    <w:bookmarkStart w:id="101" w:name="前向传播-forward-propagation-1"/>
    <w:p>
      <w:pPr>
        <w:pStyle w:val="4"/>
      </w:pPr>
      <w:r>
        <w:t xml:space="preserve">2. </w:t>
      </w:r>
      <w:r>
        <w:rPr>
          <w:rFonts w:hint="eastAsia"/>
        </w:rPr>
        <w:t xml:space="preserve">前向传播</w:t>
      </w:r>
      <w:r>
        <w:t xml:space="preserve"> (Forward Propagation)</w:t>
      </w:r>
    </w:p>
    <w:p>
      <w:pPr>
        <w:pStyle w:val="FirstParagraph"/>
      </w:pPr>
      <w:r>
        <w:rPr>
          <w:rFonts w:hint="eastAsia"/>
        </w:rPr>
        <w:t xml:space="preserve">对于第</w:t>
      </w:r>
      <w:r>
        <w:t xml:space="preserve"> </w:t>
      </w:r>
      <m:oMath>
        <m:r>
          <m:t>l</m:t>
        </m:r>
      </m:oMath>
      <w:r>
        <w:t xml:space="preserve"> </w:t>
      </w:r>
      <w:r>
        <w:rPr>
          <w:rFonts w:hint="eastAsia"/>
        </w:rPr>
        <w:t xml:space="preserve">层的第</w:t>
      </w:r>
      <w:r>
        <w:t xml:space="preserve"> </w:t>
      </w:r>
      <m:oMath>
        <m:r>
          <m:t>j</m:t>
        </m:r>
      </m:oMath>
      <w:r>
        <w:t xml:space="preserve"> </w:t>
      </w:r>
      <w:r>
        <w:rPr>
          <w:rFonts w:hint="eastAsia"/>
        </w:rPr>
        <w:t xml:space="preserve">个神经元，其聚合输入为：</w:t>
      </w:r>
    </w:p>
    <w:p>
      <w:pPr>
        <w:pStyle w:val="7"/>
      </w:pPr>
      <m:oMathPara>
        <m:oMathParaPr>
          <m:jc m:val="center"/>
        </m:oMathParaPr>
        <m:oMath>
          <m:sSubSup>
            <m:e>
              <m:r>
                <m:t>z</m:t>
              </m:r>
            </m:e>
            <m:sub>
              <m:r>
                <m:t>j</m:t>
              </m:r>
            </m:sub>
            <m:sup>
              <m:r>
                <m:rPr>
                  <m:sty m:val="p"/>
                </m:rPr>
                <m:t>(</m:t>
              </m:r>
              <m:r>
                <m:t>l</m:t>
              </m:r>
              <m:r>
                <m:rPr>
                  <m:sty m:val="p"/>
                </m:rPr>
                <m:t>)</m:t>
              </m:r>
            </m:sup>
          </m:sSubSup>
          <m:r>
            <m:rPr>
              <m:sty m:val="p"/>
            </m:rPr>
            <m:t>=</m:t>
          </m:r>
          <m:nary>
            <m:naryPr>
              <m:chr m:val="∑"/>
              <m:limLoc m:val="undOvr"/>
              <m:subHide m:val="off"/>
              <m:supHide m:val="on"/>
            </m:naryPr>
            <m:sub>
              <m:r>
                <m:t>k</m:t>
              </m:r>
            </m:sub>
            <m:sup>
              <m:r>
                <m:t>​</m:t>
              </m:r>
            </m:sup>
            <m:e>
              <m:sSubSup>
                <m:e>
                  <m:r>
                    <m:t>w</m:t>
                  </m:r>
                </m:e>
                <m:sub>
                  <m:r>
                    <m:t>j</m:t>
                  </m:r>
                  <m:r>
                    <m:t>k</m:t>
                  </m:r>
                </m:sub>
                <m:sup>
                  <m:r>
                    <m:rPr>
                      <m:sty m:val="p"/>
                    </m:rPr>
                    <m:t>(</m:t>
                  </m:r>
                  <m:r>
                    <m:t>l</m:t>
                  </m:r>
                  <m:r>
                    <m:rPr>
                      <m:sty m:val="p"/>
                    </m:rPr>
                    <m:t>)</m:t>
                  </m:r>
                </m:sup>
              </m:sSubSup>
            </m:e>
          </m:nary>
          <m:sSubSup>
            <m:e>
              <m:r>
                <m:t>a</m:t>
              </m:r>
            </m:e>
            <m:sub>
              <m:r>
                <m:t>k</m:t>
              </m:r>
            </m:sub>
            <m:sup>
              <m:r>
                <m:rPr>
                  <m:sty m:val="p"/>
                </m:rPr>
                <m:t>(</m:t>
              </m:r>
              <m:r>
                <m:t>l</m:t>
              </m:r>
              <m:r>
                <m:rPr>
                  <m:sty m:val="p"/>
                </m:rPr>
                <m:t>−</m:t>
              </m:r>
              <m:r>
                <m:t>1</m:t>
              </m:r>
              <m:r>
                <m:rPr>
                  <m:sty m:val="p"/>
                </m:rPr>
                <m:t>)</m:t>
              </m:r>
            </m:sup>
          </m:sSubSup>
          <m:r>
            <m:rPr>
              <m:sty m:val="p"/>
            </m:rPr>
            <m:t>+</m:t>
          </m:r>
          <m:sSubSup>
            <m:e>
              <m:r>
                <m:t>b</m:t>
              </m:r>
            </m:e>
            <m:sub>
              <m:r>
                <m:t>j</m:t>
              </m:r>
            </m:sub>
            <m:sup>
              <m:r>
                <m:rPr>
                  <m:sty m:val="p"/>
                </m:rPr>
                <m:t>(</m:t>
              </m:r>
              <m:r>
                <m:t>l</m:t>
              </m:r>
              <m:r>
                <m:rPr>
                  <m:sty m:val="p"/>
                </m:rPr>
                <m:t>)</m:t>
              </m:r>
            </m:sup>
          </m:sSubSup>
        </m:oMath>
      </m:oMathPara>
    </w:p>
    <w:p>
      <w:pPr>
        <w:pStyle w:val="FirstParagraph"/>
      </w:pPr>
      <w:r>
        <w:rPr>
          <w:rFonts w:hint="eastAsia"/>
        </w:rPr>
        <w:t xml:space="preserve">向量化形式为：</w:t>
      </w:r>
    </w:p>
    <w:p>
      <w:pPr>
        <w:pStyle w:val="7"/>
      </w:pPr>
      <m:oMathPara>
        <m:oMathParaPr>
          <m:jc m:val="center"/>
        </m:oMathParaPr>
        <m:oMath>
          <m:sSup>
            <m:e>
              <m:r>
                <m:t>z</m:t>
              </m:r>
            </m:e>
            <m:sup>
              <m:r>
                <m:rPr>
                  <m:sty m:val="p"/>
                </m:rPr>
                <m:t>(</m:t>
              </m:r>
              <m:r>
                <m:t>l</m:t>
              </m:r>
              <m:r>
                <m:rPr>
                  <m:sty m:val="p"/>
                </m:rPr>
                <m:t>)</m:t>
              </m:r>
            </m:sup>
          </m:sSup>
          <m:r>
            <m:rPr>
              <m:sty m:val="p"/>
            </m:rPr>
            <m:t>=</m:t>
          </m:r>
          <m:sSup>
            <m:e>
              <m:r>
                <m:t>W</m:t>
              </m:r>
            </m:e>
            <m:sup>
              <m:r>
                <m:rPr>
                  <m:sty m:val="p"/>
                </m:rPr>
                <m:t>(</m:t>
              </m:r>
              <m:r>
                <m:t>l</m:t>
              </m:r>
              <m:r>
                <m:rPr>
                  <m:sty m:val="p"/>
                </m:rPr>
                <m:t>)</m:t>
              </m:r>
            </m:sup>
          </m:sSup>
          <m:sSup>
            <m:e>
              <m:r>
                <m:t>a</m:t>
              </m:r>
            </m:e>
            <m:sup>
              <m:r>
                <m:rPr>
                  <m:sty m:val="p"/>
                </m:rPr>
                <m:t>(</m:t>
              </m:r>
              <m:r>
                <m:t>l</m:t>
              </m:r>
              <m:r>
                <m:rPr>
                  <m:sty m:val="p"/>
                </m:rPr>
                <m:t>−</m:t>
              </m:r>
              <m:r>
                <m:t>1</m:t>
              </m:r>
              <m:r>
                <m:rPr>
                  <m:sty m:val="p"/>
                </m:rPr>
                <m:t>)</m:t>
              </m:r>
            </m:sup>
          </m:sSup>
          <m:r>
            <m:rPr>
              <m:sty m:val="p"/>
            </m:rPr>
            <m:t>+</m:t>
          </m:r>
          <m:sSup>
            <m:e>
              <m:r>
                <m:t>b</m:t>
              </m:r>
            </m:e>
            <m:sup>
              <m:r>
                <m:rPr>
                  <m:sty m:val="p"/>
                </m:rPr>
                <m:t>(</m:t>
              </m:r>
              <m:r>
                <m:t>l</m:t>
              </m:r>
              <m:r>
                <m:rPr>
                  <m:sty m:val="p"/>
                </m:rPr>
                <m:t>)</m:t>
              </m:r>
            </m:sup>
          </m:sSup>
        </m:oMath>
      </m:oMathPara>
    </w:p>
    <w:p>
      <w:pPr>
        <w:pStyle w:val="FirstParagraph"/>
      </w:pPr>
      <m:oMathPara>
        <m:oMathParaPr>
          <m:jc m:val="center"/>
        </m:oMathParaPr>
        <m:oMath>
          <m:sSup>
            <m:e>
              <m:r>
                <m:t>a</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m:oMathPara>
    </w:p>
    <w:bookmarkEnd w:id="101"/>
    <w:bookmarkStart w:id="102" w:name="代价函数-cost-function-1"/>
    <w:p>
      <w:pPr>
        <w:pStyle w:val="4"/>
      </w:pPr>
      <w:r>
        <w:t xml:space="preserve">3. </w:t>
      </w:r>
      <w:r>
        <w:rPr>
          <w:rFonts w:hint="eastAsia"/>
        </w:rPr>
        <w:t xml:space="preserve">代价函数</w:t>
      </w:r>
      <w:r>
        <w:t xml:space="preserve"> (Cost Function)</w:t>
      </w:r>
    </w:p>
    <w:p>
      <w:pPr>
        <w:pStyle w:val="FirstParagraph"/>
      </w:pPr>
      <w:r>
        <w:rPr>
          <w:rFonts w:hint="eastAsia"/>
        </w:rPr>
        <w:t xml:space="preserve">假设使用二次代价函数（MSE），对于单个训练样本</w:t>
      </w:r>
      <w:r>
        <w:t xml:space="preserve"> </w:t>
      </w:r>
      <m:oMath>
        <m:r>
          <m:t>x</m:t>
        </m:r>
      </m:oMath>
      <w:r>
        <w:rPr>
          <w:rFonts w:hint="eastAsia"/>
        </w:rPr>
        <w:t xml:space="preserve">，其代价为：</w:t>
      </w:r>
    </w:p>
    <w:p>
      <w:pPr>
        <w:pStyle w:val="7"/>
      </w:pPr>
      <m:oMathPara>
        <m:oMathParaPr>
          <m:jc m:val="center"/>
        </m:oMathParaPr>
        <m:oMath>
          <m:r>
            <m:t>J</m:t>
          </m:r>
          <m:r>
            <m:rPr>
              <m:sty m:val="p"/>
            </m:rPr>
            <m:t>=</m:t>
          </m:r>
          <m:f>
            <m:fPr>
              <m:type m:val="bar"/>
            </m:fPr>
            <m:num>
              <m:r>
                <m:t>1</m:t>
              </m:r>
            </m:num>
            <m:den>
              <m:r>
                <m:t>2</m:t>
              </m:r>
            </m:den>
          </m:f>
          <m:r>
            <m:rPr>
              <m:sty m:val="p"/>
            </m:rPr>
            <m:t>∥</m:t>
          </m:r>
          <m:r>
            <m:t>y</m:t>
          </m:r>
          <m:r>
            <m:rPr>
              <m:sty m:val="p"/>
            </m:rPr>
            <m:t>−</m:t>
          </m:r>
          <m:sSup>
            <m:e>
              <m:r>
                <m:t>a</m:t>
              </m:r>
            </m:e>
            <m:sup>
              <m:r>
                <m:rPr>
                  <m:sty m:val="p"/>
                </m:rPr>
                <m:t>(</m:t>
              </m:r>
              <m:r>
                <m:t>L</m:t>
              </m:r>
              <m:r>
                <m:rPr>
                  <m:sty m:val="p"/>
                </m:rPr>
                <m:t>)</m:t>
              </m:r>
            </m:sup>
          </m:sSup>
          <m:sSup>
            <m:e>
              <m:r>
                <m:rPr>
                  <m:sty m:val="p"/>
                </m:rPr>
                <m:t>∥</m:t>
              </m:r>
            </m:e>
            <m:sup>
              <m:r>
                <m:t>2</m:t>
              </m:r>
            </m:sup>
          </m:sSup>
          <m:r>
            <m:rPr>
              <m:sty m:val="p"/>
            </m:rPr>
            <m:t>=</m:t>
          </m:r>
          <m:f>
            <m:fPr>
              <m:type m:val="bar"/>
            </m:fPr>
            <m:num>
              <m:r>
                <m:t>1</m:t>
              </m:r>
            </m:num>
            <m:den>
              <m:r>
                <m:t>2</m:t>
              </m:r>
            </m:den>
          </m:f>
          <m:nary>
            <m:naryPr>
              <m:chr m:val="∑"/>
              <m:limLoc m:val="undOvr"/>
              <m:subHide m:val="off"/>
              <m:supHide m:val="on"/>
            </m:naryPr>
            <m:sub>
              <m:r>
                <m:t>j</m:t>
              </m:r>
            </m:sub>
            <m:sup>
              <m:r>
                <m:t>​</m:t>
              </m:r>
            </m:sup>
            <m:e>
              <m:r>
                <m:rPr>
                  <m:sty m:val="p"/>
                </m:rPr>
                <m:t>(</m:t>
              </m:r>
            </m:e>
          </m:nary>
          <m:sSub>
            <m:e>
              <m:r>
                <m:t>y</m:t>
              </m:r>
            </m:e>
            <m:sub>
              <m:r>
                <m:t>j</m:t>
              </m:r>
            </m:sub>
          </m:sSub>
          <m:r>
            <m:rPr>
              <m:sty m:val="p"/>
            </m:rPr>
            <m:t>−</m:t>
          </m:r>
          <m:sSubSup>
            <m:e>
              <m:r>
                <m:t>a</m:t>
              </m:r>
            </m:e>
            <m:sub>
              <m:r>
                <m:t>j</m:t>
              </m:r>
            </m:sub>
            <m:sup>
              <m:r>
                <m:rPr>
                  <m:sty m:val="p"/>
                </m:rPr>
                <m:t>(</m:t>
              </m:r>
              <m:r>
                <m:t>L</m:t>
              </m:r>
              <m:r>
                <m:rPr>
                  <m:sty m:val="p"/>
                </m:rPr>
                <m:t>)</m:t>
              </m:r>
            </m:sup>
          </m:sSubSup>
          <m:sSup>
            <m:e>
              <m:r>
                <m:rPr>
                  <m:sty m:val="p"/>
                </m:rPr>
                <m:t>)</m:t>
              </m:r>
            </m:e>
            <m:sup>
              <m:r>
                <m:t>2</m:t>
              </m:r>
            </m:sup>
          </m:sSup>
        </m:oMath>
      </m:oMathPara>
    </w:p>
    <w:bookmarkEnd w:id="102"/>
    <w:bookmarkStart w:id="106" w:name="反向传播推导-backward-pass-1"/>
    <w:p>
      <w:pPr>
        <w:pStyle w:val="4"/>
      </w:pPr>
      <w:r>
        <w:t xml:space="preserve">4. </w:t>
      </w:r>
      <w:r>
        <w:rPr>
          <w:rFonts w:hint="eastAsia"/>
        </w:rPr>
        <w:t xml:space="preserve">反向传播推导</w:t>
      </w:r>
      <w:r>
        <w:t xml:space="preserve"> (Backward Pass)</w:t>
      </w:r>
    </w:p>
    <w:p>
      <w:pPr>
        <w:pStyle w:val="FirstParagraph"/>
      </w:pPr>
      <w:r>
        <w:rPr>
          <w:rFonts w:hint="eastAsia"/>
        </w:rPr>
        <w:t xml:space="preserve">我们的目标是计算代价函数</w:t>
      </w:r>
      <w:r>
        <w:t xml:space="preserve"> </w:t>
      </w:r>
      <m:oMath>
        <m:r>
          <m:t>J</m:t>
        </m:r>
      </m:oMath>
      <w:r>
        <w:t xml:space="preserve"> </w:t>
      </w:r>
      <w:r>
        <w:rPr>
          <w:rFonts w:hint="eastAsia"/>
        </w:rPr>
        <w:t xml:space="preserve">关于权重</w:t>
      </w:r>
      <w:r>
        <w:t xml:space="preserve"> </w:t>
      </w:r>
      <m:oMath>
        <m:r>
          <m:t>w</m:t>
        </m:r>
      </m:oMath>
      <w:r>
        <w:t xml:space="preserve"> </w:t>
      </w:r>
      <w:r>
        <w:rPr>
          <w:rFonts w:hint="eastAsia"/>
        </w:rPr>
        <w:t xml:space="preserve">和偏置</w:t>
      </w:r>
      <w:r>
        <w:t xml:space="preserve"> </w:t>
      </w:r>
      <m:oMath>
        <m:r>
          <m:t>b</m:t>
        </m:r>
      </m:oMath>
      <w:r>
        <w:t xml:space="preserve"> </w:t>
      </w:r>
      <w:r>
        <w:rPr>
          <w:rFonts w:hint="eastAsia"/>
        </w:rPr>
        <w:t xml:space="preserve">的偏导数。我们定义第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w:t>
      </w:r>
      <w:r>
        <w:rPr>
          <w:rFonts w:hint="eastAsia"/>
          <w:b/>
          <w:bCs/>
        </w:rPr>
        <w:t xml:space="preserve">误差项</w:t>
      </w:r>
      <w:r>
        <w:t xml:space="preserve"> </w:t>
      </w:r>
      <m:oMath>
        <m:sSubSup>
          <m:e>
            <m:r>
              <m:t>δ</m:t>
            </m:r>
          </m:e>
          <m:sub>
            <m:r>
              <m:t>j</m:t>
            </m:r>
          </m:sub>
          <m:sup>
            <m:r>
              <m:rPr>
                <m:sty m:val="p"/>
              </m:rPr>
              <m:t>(</m:t>
            </m:r>
            <m:r>
              <m:t>l</m:t>
            </m:r>
            <m:r>
              <m:rPr>
                <m:sty m:val="p"/>
              </m:rPr>
              <m:t>)</m:t>
            </m:r>
          </m:sup>
        </m:sSubSup>
      </m:oMath>
      <w:r>
        <w:t xml:space="preserve"> </w:t>
      </w:r>
      <w:r>
        <w:rPr>
          <w:rFonts w:hint="eastAsia"/>
        </w:rPr>
        <w:t xml:space="preserve">为：</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z</m:t>
                  </m:r>
                </m:e>
                <m:sub>
                  <m:r>
                    <m:t>j</m:t>
                  </m:r>
                </m:sub>
                <m:sup>
                  <m:r>
                    <m:rPr>
                      <m:sty m:val="p"/>
                    </m:rPr>
                    <m:t>(</m:t>
                  </m:r>
                  <m:r>
                    <m:t>l</m:t>
                  </m:r>
                  <m:r>
                    <m:rPr>
                      <m:sty m:val="p"/>
                    </m:rPr>
                    <m:t>)</m:t>
                  </m:r>
                </m:sup>
              </m:sSubSup>
            </m:den>
          </m:f>
        </m:oMath>
      </m:oMathPara>
    </w:p>
    <w:bookmarkStart w:id="103" w:name="步骤-a-输出层误差-deltal-1"/>
    <w:p>
      <w:pPr>
        <w:pStyle w:val="5"/>
      </w:pPr>
      <w:r>
        <w:rPr>
          <w:rFonts w:hint="eastAsia"/>
        </w:rPr>
        <w:t xml:space="preserve">步骤</w:t>
      </w:r>
      <w:r>
        <w:t xml:space="preserve"> A: </w:t>
      </w:r>
      <w:r>
        <w:rPr>
          <w:rFonts w:hint="eastAsia"/>
        </w:rPr>
        <w:t xml:space="preserve">输出层误差</w:t>
      </w:r>
      <w:r>
        <w:t xml:space="preserve"> </w:t>
      </w:r>
      <m:oMath>
        <m:sSup>
          <m:e>
            <m:r>
              <m:t>δ</m:t>
            </m:r>
          </m:e>
          <m:sup>
            <m:r>
              <m:rPr>
                <m:sty m:val="p"/>
              </m:rPr>
              <m:t>(</m:t>
            </m:r>
            <m:r>
              <m:t>L</m:t>
            </m:r>
            <m:r>
              <m:rPr>
                <m:sty m:val="p"/>
              </m:rPr>
              <m:t>)</m:t>
            </m:r>
          </m:sup>
        </m:sSup>
      </m:oMath>
    </w:p>
    <w:p>
      <w:pPr>
        <w:pStyle w:val="FirstParagraph"/>
      </w:pPr>
      <w:r>
        <w:rPr>
          <w:rFonts w:hint="eastAsia"/>
        </w:rPr>
        <w:t xml:space="preserve">根据链式法则：</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a</m:t>
                  </m:r>
                </m:e>
                <m:sub>
                  <m:r>
                    <m:t>j</m:t>
                  </m:r>
                </m:sub>
                <m:sup>
                  <m:r>
                    <m:rPr>
                      <m:sty m:val="p"/>
                    </m:rPr>
                    <m:t>(</m:t>
                  </m:r>
                  <m:r>
                    <m:t>L</m:t>
                  </m:r>
                  <m:r>
                    <m:rPr>
                      <m:sty m:val="p"/>
                    </m:rPr>
                    <m:t>)</m:t>
                  </m:r>
                </m:sup>
              </m:sSubSup>
            </m:den>
          </m:f>
          <m:r>
            <m:rPr>
              <m:sty m:val="p"/>
            </m:rPr>
            <m:t>⋅</m:t>
          </m:r>
          <m:f>
            <m:fPr>
              <m:type m:val="bar"/>
            </m:fPr>
            <m:num>
              <m:r>
                <m:rPr>
                  <m:sty m:val="p"/>
                </m:rPr>
                <m:t>∂</m:t>
              </m:r>
              <m:sSubSup>
                <m:e>
                  <m:r>
                    <m:t>a</m:t>
                  </m:r>
                </m:e>
                <m:sub>
                  <m:r>
                    <m:t>j</m:t>
                  </m:r>
                </m:sub>
                <m:sup>
                  <m:r>
                    <m:rPr>
                      <m:sty m:val="p"/>
                    </m:rPr>
                    <m:t>(</m:t>
                  </m:r>
                  <m:r>
                    <m:t>L</m:t>
                  </m:r>
                  <m:r>
                    <m:rPr>
                      <m:sty m:val="p"/>
                    </m:rPr>
                    <m:t>)</m:t>
                  </m:r>
                </m:sup>
              </m:sSubSup>
            </m:num>
            <m:den>
              <m:r>
                <m:rPr>
                  <m:sty m:val="p"/>
                </m:rPr>
                <m:t>∂</m:t>
              </m:r>
              <m:sSubSup>
                <m:e>
                  <m:r>
                    <m:t>z</m:t>
                  </m:r>
                </m:e>
                <m:sub>
                  <m:r>
                    <m:t>j</m:t>
                  </m:r>
                </m:sub>
                <m:sup>
                  <m:r>
                    <m:rPr>
                      <m:sty m:val="p"/>
                    </m:rPr>
                    <m:t>(</m:t>
                  </m:r>
                  <m:r>
                    <m:t>L</m:t>
                  </m:r>
                  <m:r>
                    <m:rPr>
                      <m:sty m:val="p"/>
                    </m:rPr>
                    <m:t>)</m:t>
                  </m:r>
                </m:sup>
              </m:sSubSup>
            </m:den>
          </m:f>
        </m:oMath>
      </m:oMathPara>
    </w:p>
    <w:p>
      <w:pPr>
        <w:pStyle w:val="FirstParagraph"/>
      </w:pPr>
      <w:r>
        <w:rPr>
          <w:rFonts w:hint="eastAsia"/>
        </w:rPr>
        <w:t xml:space="preserve">由于</w:t>
      </w:r>
      <w:r>
        <w:t xml:space="preserve"> </w:t>
      </w:r>
      <m:oMath>
        <m:sSup>
          <m:e>
            <m:r>
              <m:t>a</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w:r>
        <w:rPr>
          <w:rFonts w:hint="eastAsia"/>
        </w:rPr>
        <w:t xml:space="preserve">，且</w:t>
      </w:r>
      <w:r>
        <w:t xml:space="preserve"> </w:t>
      </w:r>
      <m:oMath>
        <m:r>
          <m:t>J</m:t>
        </m:r>
        <m:r>
          <m:rPr>
            <m:sty m:val="p"/>
          </m:rPr>
          <m:t>=</m:t>
        </m:r>
        <m:f>
          <m:fPr>
            <m:type m:val="bar"/>
          </m:fPr>
          <m:num>
            <m:r>
              <m:t>1</m:t>
            </m:r>
          </m:num>
          <m:den>
            <m:r>
              <m:t>2</m:t>
            </m:r>
          </m:den>
        </m:f>
        <m:r>
          <m:rPr>
            <m:sty m:val="p"/>
          </m:rPr>
          <m:t>∑</m:t>
        </m:r>
        <m:r>
          <m:rPr>
            <m:sty m:val="p"/>
          </m:rPr>
          <m:t>(</m:t>
        </m:r>
        <m:r>
          <m:t>y</m:t>
        </m:r>
        <m:r>
          <m:rPr>
            <m:sty m:val="p"/>
          </m:rPr>
          <m:t>−</m:t>
        </m:r>
        <m:sSup>
          <m:e>
            <m:r>
              <m:t>a</m:t>
            </m:r>
          </m:e>
          <m:sup>
            <m:r>
              <m:rPr>
                <m:sty m:val="p"/>
              </m:rPr>
              <m:t>(</m:t>
            </m:r>
            <m:r>
              <m:t>L</m:t>
            </m:r>
            <m:r>
              <m:rPr>
                <m:sty m:val="p"/>
              </m:rPr>
              <m:t>)</m:t>
            </m:r>
          </m:sup>
        </m:sSup>
        <m:sSup>
          <m:e>
            <m:r>
              <m:rPr>
                <m:sty m:val="p"/>
              </m:rPr>
              <m:t>)</m:t>
            </m:r>
          </m:e>
          <m:sup>
            <m:r>
              <m:t>2</m:t>
            </m:r>
          </m:sup>
        </m:sSup>
      </m:oMath>
      <w:r>
        <w:rPr>
          <w:rFonts w:hint="eastAsia"/>
        </w:rPr>
        <w:t xml:space="preserve">，我们可以得到：</w:t>
      </w:r>
    </w:p>
    <w:p>
      <w:pPr>
        <w:pStyle w:val="7"/>
      </w:pPr>
      <m:oMathPara>
        <m:oMathParaPr>
          <m:jc m:val="center"/>
        </m:oMathParaPr>
        <m:oMath>
          <m:sSup>
            <m:e>
              <m:r>
                <m:t>δ</m:t>
              </m:r>
            </m:e>
            <m:sup>
              <m:r>
                <m:rPr>
                  <m:sty m:val="p"/>
                </m:rPr>
                <m:t>(</m:t>
              </m:r>
              <m:r>
                <m:t>L</m:t>
              </m:r>
              <m:r>
                <m:rPr>
                  <m:sty m:val="p"/>
                </m:rPr>
                <m:t>)</m:t>
              </m:r>
            </m:sup>
          </m:sSup>
          <m:r>
            <m:rPr>
              <m:sty m:val="p"/>
            </m:rPr>
            <m:t>=</m:t>
          </m:r>
          <m:r>
            <m:rPr>
              <m:sty m:val="p"/>
            </m:rPr>
            <m:t>(</m:t>
          </m:r>
          <m:sSup>
            <m:e>
              <m:r>
                <m:t>a</m:t>
              </m:r>
            </m:e>
            <m:sup>
              <m:r>
                <m:rPr>
                  <m:sty m:val="p"/>
                </m:rPr>
                <m:t>(</m:t>
              </m:r>
              <m:r>
                <m:t>L</m:t>
              </m:r>
              <m:r>
                <m:rPr>
                  <m:sty m:val="p"/>
                </m:rPr>
                <m:t>)</m:t>
              </m:r>
            </m:sup>
          </m:sSup>
          <m:r>
            <m:rPr>
              <m:sty m:val="p"/>
            </m:rPr>
            <m:t>−</m:t>
          </m:r>
          <m:r>
            <m:t>y</m:t>
          </m:r>
          <m:r>
            <m:rPr>
              <m:sty m:val="p"/>
            </m:rPr>
            <m:t>)</m:t>
          </m:r>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代表哈达玛积（Hadamard</w:t>
      </w:r>
      <w:r>
        <w:t xml:space="preserve"> </w:t>
      </w:r>
      <w:r>
        <w:rPr>
          <w:rFonts w:hint="eastAsia"/>
        </w:rPr>
        <w:t xml:space="preserve">product，即元素对应相乘）。</w:t>
      </w:r>
    </w:p>
    <w:bookmarkEnd w:id="103"/>
    <w:bookmarkStart w:id="104" w:name="步骤-b-隐藏层误差-deltal-1"/>
    <w:p>
      <w:pPr>
        <w:pStyle w:val="5"/>
      </w:pPr>
      <w:r>
        <w:rPr>
          <w:rFonts w:hint="eastAsia"/>
        </w:rPr>
        <w:t xml:space="preserve">步骤</w:t>
      </w:r>
      <w:r>
        <w:t xml:space="preserve"> B: </w:t>
      </w:r>
      <w:r>
        <w:rPr>
          <w:rFonts w:hint="eastAsia"/>
        </w:rPr>
        <w:t xml:space="preserve">隐藏层误差</w:t>
      </w:r>
      <w:r>
        <w:t xml:space="preserve"> </w:t>
      </w:r>
      <m:oMath>
        <m:sSup>
          <m:e>
            <m:r>
              <m:t>δ</m:t>
            </m:r>
          </m:e>
          <m:sup>
            <m:r>
              <m:rPr>
                <m:sty m:val="p"/>
              </m:rPr>
              <m:t>(</m:t>
            </m:r>
            <m:r>
              <m:t>l</m:t>
            </m:r>
            <m:r>
              <m:rPr>
                <m:sty m:val="p"/>
              </m:rPr>
              <m:t>)</m:t>
            </m:r>
          </m:sup>
        </m:sSup>
      </m:oMath>
    </w:p>
    <w:p>
      <w:pPr>
        <w:pStyle w:val="FirstParagraph"/>
      </w:pPr>
      <w:r>
        <w:rPr>
          <w:rFonts w:hint="eastAsia"/>
        </w:rPr>
        <w:t xml:space="preserve">利用后一层</w:t>
      </w:r>
      <w:r>
        <w:t xml:space="preserve"> </w:t>
      </w:r>
      <m:oMath>
        <m:r>
          <m:t>l</m:t>
        </m:r>
        <m:r>
          <m:rPr>
            <m:sty m:val="p"/>
          </m:rPr>
          <m:t>+</m:t>
        </m:r>
        <m:r>
          <m:t>1</m:t>
        </m:r>
      </m:oMath>
      <w:r>
        <w:t xml:space="preserve"> </w:t>
      </w:r>
      <w:r>
        <w:rPr>
          <w:rFonts w:hint="eastAsia"/>
        </w:rPr>
        <w:t xml:space="preserve">的误差推导当前层</w:t>
      </w:r>
      <w:r>
        <w:t xml:space="preserve"> </w:t>
      </w:r>
      <m:oMath>
        <m:r>
          <m:t>l</m:t>
        </m:r>
      </m:oMath>
      <w:r>
        <w:t xml:space="preserve"> </w:t>
      </w:r>
      <w:r>
        <w:rPr>
          <w:rFonts w:hint="eastAsia"/>
        </w:rPr>
        <w:t xml:space="preserve">的误差：</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z</m:t>
                  </m:r>
                </m:e>
                <m:sub>
                  <m:r>
                    <m:t>j</m:t>
                  </m:r>
                </m:sub>
                <m:sup>
                  <m:r>
                    <m:rPr>
                      <m:sty m:val="p"/>
                    </m:rPr>
                    <m:t>(</m:t>
                  </m:r>
                  <m:r>
                    <m:t>l</m:t>
                  </m:r>
                  <m:r>
                    <m:rPr>
                      <m:sty m:val="p"/>
                    </m:rPr>
                    <m:t>)</m:t>
                  </m:r>
                </m:sup>
              </m:sSubSup>
            </m:den>
          </m:f>
          <m:r>
            <m:rPr>
              <m:sty m:val="p"/>
            </m:rPr>
            <m:t>=</m:t>
          </m:r>
          <m:nary>
            <m:naryPr>
              <m:chr m:val="∑"/>
              <m:limLoc m:val="undOvr"/>
              <m:subHide m:val="off"/>
              <m:supHide m:val="on"/>
            </m:naryPr>
            <m:sub>
              <m:r>
                <m:t>k</m:t>
              </m:r>
            </m:sub>
            <m:sup>
              <m:r>
                <m:t>​</m:t>
              </m:r>
            </m:sup>
            <m:e>
              <m:f>
                <m:fPr>
                  <m:type m:val="bar"/>
                </m:fPr>
                <m:num>
                  <m:r>
                    <m:rPr>
                      <m:sty m:val="p"/>
                    </m:rPr>
                    <m:t>∂</m:t>
                  </m:r>
                  <m:r>
                    <m:t>J</m:t>
                  </m:r>
                </m:num>
                <m:den>
                  <m:r>
                    <m:rPr>
                      <m:sty m:val="p"/>
                    </m:rPr>
                    <m:t>∂</m:t>
                  </m:r>
                  <m:sSubSup>
                    <m:e>
                      <m:r>
                        <m:t>z</m:t>
                      </m:r>
                    </m:e>
                    <m:sub>
                      <m:r>
                        <m:t>k</m:t>
                      </m:r>
                    </m:sub>
                    <m:sup>
                      <m:r>
                        <m:rPr>
                          <m:sty m:val="p"/>
                        </m:rPr>
                        <m:t>(</m:t>
                      </m:r>
                      <m:r>
                        <m:t>l</m:t>
                      </m:r>
                      <m:r>
                        <m:rPr>
                          <m:sty m:val="p"/>
                        </m:rPr>
                        <m:t>+</m:t>
                      </m:r>
                      <m:r>
                        <m:t>1</m:t>
                      </m:r>
                      <m:r>
                        <m:rPr>
                          <m:sty m:val="p"/>
                        </m:rPr>
                        <m:t>)</m:t>
                      </m:r>
                    </m:sup>
                  </m:sSubSup>
                </m:den>
              </m:f>
            </m:e>
          </m:nary>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r>
            <m:rPr>
              <m:sty m:val="p"/>
            </m:rPr>
            <m:t>=</m:t>
          </m:r>
          <m:nary>
            <m:naryPr>
              <m:chr m:val="∑"/>
              <m:limLoc m:val="undOvr"/>
              <m:subHide m:val="off"/>
              <m:supHide m:val="on"/>
            </m:naryPr>
            <m:sub>
              <m:r>
                <m:t>k</m:t>
              </m:r>
            </m:sub>
            <m:sup>
              <m:r>
                <m:t>​</m:t>
              </m:r>
            </m:sup>
            <m:e>
              <m:sSubSup>
                <m:e>
                  <m:r>
                    <m:t>δ</m:t>
                  </m:r>
                </m:e>
                <m:sub>
                  <m:r>
                    <m:t>k</m:t>
                  </m:r>
                </m:sub>
                <m:sup>
                  <m:r>
                    <m:rPr>
                      <m:sty m:val="p"/>
                    </m:rPr>
                    <m:t>(</m:t>
                  </m:r>
                  <m:r>
                    <m:t>l</m:t>
                  </m:r>
                  <m:r>
                    <m:rPr>
                      <m:sty m:val="p"/>
                    </m:rPr>
                    <m:t>+</m:t>
                  </m:r>
                  <m:r>
                    <m:t>1</m:t>
                  </m:r>
                  <m:r>
                    <m:rPr>
                      <m:sty m:val="p"/>
                    </m:rPr>
                    <m:t>)</m:t>
                  </m:r>
                </m:sup>
              </m:sSubSup>
            </m:e>
          </m:nary>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oMath>
      </m:oMathPara>
    </w:p>
    <w:p>
      <w:pPr>
        <w:pStyle w:val="FirstParagraph"/>
      </w:pPr>
      <w:r>
        <w:rPr>
          <w:rFonts w:hint="eastAsia"/>
        </w:rPr>
        <w:t xml:space="preserve">因为</w:t>
      </w:r>
      <w:r>
        <w:t xml:space="preserve"> </w:t>
      </w:r>
      <m:oMath>
        <m:sSubSup>
          <m:e>
            <m:r>
              <m:t>z</m:t>
            </m:r>
          </m:e>
          <m:sub>
            <m:r>
              <m:t>k</m:t>
            </m:r>
          </m:sub>
          <m:sup>
            <m:r>
              <m:rPr>
                <m:sty m:val="p"/>
              </m:rPr>
              <m:t>(</m:t>
            </m:r>
            <m:r>
              <m:t>l</m:t>
            </m:r>
            <m:r>
              <m:rPr>
                <m:sty m:val="p"/>
              </m:rPr>
              <m:t>+</m:t>
            </m:r>
            <m:r>
              <m:t>1</m:t>
            </m:r>
            <m:r>
              <m:rPr>
                <m:sty m:val="p"/>
              </m:rPr>
              <m:t>)</m:t>
            </m:r>
          </m:sup>
        </m:sSubSup>
        <m:r>
          <m:rPr>
            <m:sty m:val="p"/>
          </m:rPr>
          <m:t>=</m:t>
        </m:r>
        <m:nary>
          <m:naryPr>
            <m:chr m:val="∑"/>
            <m:limLoc m:val="undOvr"/>
            <m:subHide m:val="off"/>
            <m:supHide m:val="on"/>
          </m:naryPr>
          <m:sub>
            <m:r>
              <m:t>j</m:t>
            </m:r>
          </m:sub>
          <m:sup>
            <m:r>
              <m:t>​</m:t>
            </m:r>
          </m:sup>
          <m:e>
            <m:sSubSup>
              <m:e>
                <m:r>
                  <m:t>w</m:t>
                </m:r>
              </m:e>
              <m:sub>
                <m:r>
                  <m:t>k</m:t>
                </m:r>
                <m:r>
                  <m:t>j</m:t>
                </m:r>
              </m:sub>
              <m:sup>
                <m:r>
                  <m:rPr>
                    <m:sty m:val="p"/>
                  </m:rPr>
                  <m:t>(</m:t>
                </m:r>
                <m:r>
                  <m:t>l</m:t>
                </m:r>
                <m:r>
                  <m:rPr>
                    <m:sty m:val="p"/>
                  </m:rPr>
                  <m:t>+</m:t>
                </m:r>
                <m:r>
                  <m:t>1</m:t>
                </m:r>
                <m:r>
                  <m:rPr>
                    <m:sty m:val="p"/>
                  </m:rPr>
                  <m:t>)</m:t>
                </m:r>
              </m:sup>
            </m:sSubSup>
          </m:e>
        </m:nary>
        <m:r>
          <m:t>σ</m:t>
        </m:r>
        <m:r>
          <m:rPr>
            <m:sty m:val="p"/>
          </m:rPr>
          <m:t>(</m:t>
        </m:r>
        <m:sSubSup>
          <m:e>
            <m:r>
              <m:t>z</m:t>
            </m:r>
          </m:e>
          <m:sub>
            <m:r>
              <m:t>j</m:t>
            </m:r>
          </m:sub>
          <m:sup>
            <m:r>
              <m:rPr>
                <m:sty m:val="p"/>
              </m:rPr>
              <m:t>(</m:t>
            </m:r>
            <m:r>
              <m:t>l</m:t>
            </m:r>
            <m:r>
              <m:rPr>
                <m:sty m:val="p"/>
              </m:rPr>
              <m:t>)</m:t>
            </m:r>
          </m:sup>
        </m:sSubSup>
        <m:r>
          <m:rPr>
            <m:sty m:val="p"/>
          </m:rPr>
          <m:t>)</m:t>
        </m:r>
        <m:r>
          <m:rPr>
            <m:sty m:val="p"/>
          </m:rPr>
          <m:t>+</m:t>
        </m:r>
        <m:sSubSup>
          <m:e>
            <m:r>
              <m:t>b</m:t>
            </m:r>
          </m:e>
          <m:sub>
            <m:r>
              <m:t>k</m:t>
            </m:r>
          </m:sub>
          <m:sup>
            <m:r>
              <m:rPr>
                <m:sty m:val="p"/>
              </m:rPr>
              <m:t>(</m:t>
            </m:r>
            <m:r>
              <m:t>l</m:t>
            </m:r>
            <m:r>
              <m:rPr>
                <m:sty m:val="p"/>
              </m:rPr>
              <m:t>+</m:t>
            </m:r>
            <m:r>
              <m:t>1</m:t>
            </m:r>
            <m:r>
              <m:rPr>
                <m:sty m:val="p"/>
              </m:rPr>
              <m:t>)</m:t>
            </m:r>
          </m:sup>
        </m:sSubSup>
      </m:oMath>
      <w:r>
        <w:rPr>
          <w:rFonts w:hint="eastAsia"/>
        </w:rPr>
        <w:t xml:space="preserve">，所以：</w:t>
      </w:r>
    </w:p>
    <w:p>
      <w:pPr>
        <w:pStyle w:val="7"/>
      </w:pPr>
      <m:oMathPara>
        <m:oMathParaPr>
          <m:jc m:val="center"/>
        </m:oMathParaPr>
        <m:oMath>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r>
            <m:rPr>
              <m:sty m:val="p"/>
            </m:rPr>
            <m:t>=</m:t>
          </m:r>
          <m:sSubSup>
            <m:e>
              <m:r>
                <m:t>w</m:t>
              </m:r>
            </m:e>
            <m:sub>
              <m:r>
                <m:t>k</m:t>
              </m:r>
              <m:r>
                <m:t>j</m:t>
              </m:r>
            </m:sub>
            <m:sup>
              <m:r>
                <m:rPr>
                  <m:sty m:val="p"/>
                </m:rPr>
                <m:t>(</m:t>
              </m:r>
              <m:r>
                <m:t>l</m:t>
              </m:r>
              <m:r>
                <m:rPr>
                  <m:sty m:val="p"/>
                </m:rPr>
                <m:t>+</m:t>
              </m:r>
              <m:r>
                <m:t>1</m:t>
              </m:r>
              <m:r>
                <m:rPr>
                  <m:sty m:val="p"/>
                </m:rPr>
                <m:t>)</m:t>
              </m:r>
            </m:sup>
          </m:sSubSup>
          <m:sSup>
            <m:e>
              <m:r>
                <m:t>σ</m:t>
              </m:r>
            </m:e>
            <m:sup>
              <m:r>
                <m:rPr>
                  <m:sty m:val="p"/>
                </m:rPr>
                <m:t>′</m:t>
              </m:r>
            </m:sup>
          </m:sSup>
          <m:r>
            <m:rPr>
              <m:sty m:val="p"/>
            </m:rPr>
            <m:t>(</m:t>
          </m:r>
          <m:sSubSup>
            <m:e>
              <m:r>
                <m:t>z</m:t>
              </m:r>
            </m:e>
            <m:sub>
              <m:r>
                <m:t>j</m:t>
              </m:r>
            </m:sub>
            <m:sup>
              <m:r>
                <m:rPr>
                  <m:sty m:val="p"/>
                </m:rPr>
                <m:t>(</m:t>
              </m:r>
              <m:r>
                <m:t>l</m:t>
              </m:r>
              <m:r>
                <m:rPr>
                  <m:sty m:val="p"/>
                </m:rPr>
                <m:t>)</m:t>
              </m:r>
            </m:sup>
          </m:sSubSup>
          <m:r>
            <m:rPr>
              <m:sty m:val="p"/>
            </m:rPr>
            <m:t>)</m:t>
          </m:r>
        </m:oMath>
      </m:oMathPara>
    </w:p>
    <w:p>
      <w:pPr>
        <w:pStyle w:val="FirstParagraph"/>
      </w:pPr>
      <w:r>
        <w:rPr>
          <w:rFonts w:hint="eastAsia"/>
        </w:rPr>
        <w:t xml:space="preserve">代入后得到向量化公式：</w:t>
      </w:r>
    </w:p>
    <w:p>
      <w:pPr>
        <w:pStyle w:val="7"/>
      </w:pPr>
      <m:oMathPara>
        <m:oMathParaPr>
          <m:jc m:val="center"/>
        </m:oMathParaPr>
        <m:oMath>
          <m:sSup>
            <m:e>
              <m:r>
                <m:t>δ</m:t>
              </m:r>
            </m:e>
            <m:sup>
              <m:r>
                <m:rPr>
                  <m:sty m:val="p"/>
                </m:rPr>
                <m:t>(</m:t>
              </m:r>
              <m:r>
                <m:t>l</m:t>
              </m:r>
              <m:r>
                <m:rPr>
                  <m:sty m:val="p"/>
                </m:rPr>
                <m:t>)</m:t>
              </m:r>
            </m:sup>
          </m:sSup>
          <m:r>
            <m:rPr>
              <m:sty m:val="p"/>
            </m:rPr>
            <m:t>=</m:t>
          </m:r>
          <m:d>
            <m:dPr>
              <m:begChr m:val="("/>
              <m:sepChr m:val=""/>
              <m:endChr m:val=")"/>
              <m:grow/>
            </m:dPr>
            <m:e>
              <m:r>
                <m:rPr>
                  <m:sty m:val="p"/>
                </m:rPr>
                <m:t>(</m:t>
              </m:r>
              <m:sSup>
                <m:e>
                  <m:r>
                    <m:t>W</m:t>
                  </m:r>
                </m:e>
                <m:sup>
                  <m:r>
                    <m:rPr>
                      <m:sty m:val="p"/>
                    </m:rPr>
                    <m:t>(</m:t>
                  </m:r>
                  <m:r>
                    <m:t>l</m:t>
                  </m:r>
                  <m:r>
                    <m:rPr>
                      <m:sty m:val="p"/>
                    </m:rPr>
                    <m:t>+</m:t>
                  </m:r>
                  <m:r>
                    <m:t>1</m:t>
                  </m:r>
                  <m:r>
                    <m:rPr>
                      <m:sty m:val="p"/>
                    </m:rPr>
                    <m:t>)</m:t>
                  </m:r>
                </m:sup>
              </m:sSup>
              <m:sSup>
                <m:e>
                  <m:r>
                    <m:rPr>
                      <m:sty m:val="p"/>
                    </m:rPr>
                    <m:t>)</m:t>
                  </m:r>
                </m:e>
                <m:sup>
                  <m:r>
                    <m:t>T</m:t>
                  </m:r>
                </m:sup>
              </m:sSup>
              <m:sSup>
                <m:e>
                  <m:r>
                    <m:t>δ</m:t>
                  </m:r>
                </m:e>
                <m:sup>
                  <m:r>
                    <m:rPr>
                      <m:sty m:val="p"/>
                    </m:rPr>
                    <m:t>(</m:t>
                  </m:r>
                  <m:r>
                    <m:t>l</m:t>
                  </m:r>
                  <m:r>
                    <m:rPr>
                      <m:sty m:val="p"/>
                    </m:rPr>
                    <m:t>+</m:t>
                  </m:r>
                  <m:r>
                    <m:t>1</m:t>
                  </m:r>
                  <m:r>
                    <m:rPr>
                      <m:sty m:val="p"/>
                    </m:rPr>
                    <m:t>)</m:t>
                  </m:r>
                </m:sup>
              </m:sSup>
            </m:e>
          </m:d>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bookmarkEnd w:id="104"/>
    <w:bookmarkStart w:id="105" w:name="步骤-c-计算梯度-1"/>
    <w:p>
      <w:pPr>
        <w:pStyle w:val="5"/>
      </w:pPr>
      <w:r>
        <w:rPr>
          <w:rFonts w:hint="eastAsia"/>
        </w:rPr>
        <w:t xml:space="preserve">步骤</w:t>
      </w:r>
      <w:r>
        <w:t xml:space="preserve"> C: </w:t>
      </w:r>
      <w:r>
        <w:rPr>
          <w:rFonts w:hint="eastAsia"/>
        </w:rPr>
        <w:t xml:space="preserve">计算梯度</w:t>
      </w:r>
    </w:p>
    <w:p>
      <w:pPr>
        <w:pStyle w:val="FirstParagraph"/>
      </w:pPr>
      <w:r>
        <w:rPr>
          <w:rFonts w:hint="eastAsia"/>
        </w:rPr>
        <w:t xml:space="preserve">最后，我们可以得到参数的梯度：</w:t>
      </w:r>
    </w:p>
    <w:p>
      <w:pPr>
        <w:numPr>
          <w:ilvl w:val="0"/>
          <w:numId w:val="1034"/>
        </w:numPr>
      </w:pPr>
      <w:r>
        <w:rPr>
          <w:rFonts w:hint="eastAsia"/>
          <w:b/>
          <w:bCs/>
        </w:rPr>
        <w:t xml:space="preserve">权重的梯度</w:t>
      </w:r>
      <w:r>
        <w:rPr>
          <w:rFonts w:hint="eastAsia"/>
        </w:rPr>
        <w:t xml:space="preserve">：</w:t>
      </w:r>
    </w:p>
    <w:p>
      <w:pPr>
        <w:pStyle w:val="7"/>
      </w:pPr>
      <m:oMathPara>
        <m:oMathParaPr>
          <m:jc m:val="center"/>
        </m:oMathParaPr>
        <m:oMath>
          <m:f>
            <m:fPr>
              <m:type m:val="bar"/>
            </m:fPr>
            <m:num>
              <m:r>
                <m:rPr>
                  <m:sty m:val="p"/>
                </m:rPr>
                <m:t>∂</m:t>
              </m:r>
              <m:r>
                <m:t>J</m:t>
              </m:r>
            </m:num>
            <m:den>
              <m:r>
                <m:rPr>
                  <m:sty m:val="p"/>
                </m:rPr>
                <m:t>∂</m:t>
              </m:r>
              <m:sSubSup>
                <m:e>
                  <m:r>
                    <m:t>w</m:t>
                  </m:r>
                </m:e>
                <m:sub>
                  <m:r>
                    <m:t>j</m:t>
                  </m:r>
                  <m:r>
                    <m:t>k</m:t>
                  </m:r>
                </m:sub>
                <m:sup>
                  <m:r>
                    <m:rPr>
                      <m:sty m:val="p"/>
                    </m:rPr>
                    <m:t>(</m:t>
                  </m:r>
                  <m:r>
                    <m:t>l</m:t>
                  </m:r>
                  <m:r>
                    <m:rPr>
                      <m:sty m:val="p"/>
                    </m:rPr>
                    <m:t>)</m:t>
                  </m:r>
                </m:sup>
              </m:sSubSup>
            </m:den>
          </m:f>
          <m:r>
            <m:rPr>
              <m:sty m:val="p"/>
            </m:rPr>
            <m:t>=</m:t>
          </m:r>
          <m:sSubSup>
            <m:e>
              <m:r>
                <m:t>a</m:t>
              </m:r>
            </m:e>
            <m:sub>
              <m:r>
                <m:t>k</m:t>
              </m:r>
            </m:sub>
            <m:sup>
              <m:r>
                <m:rPr>
                  <m:sty m:val="p"/>
                </m:rPr>
                <m:t>(</m:t>
              </m:r>
              <m:r>
                <m:t>l</m:t>
              </m:r>
              <m:r>
                <m:rPr>
                  <m:sty m:val="p"/>
                </m:rPr>
                <m:t>−</m:t>
              </m:r>
              <m:r>
                <m:t>1</m:t>
              </m:r>
              <m:r>
                <m:rPr>
                  <m:sty m:val="p"/>
                </m:rPr>
                <m:t>)</m:t>
              </m:r>
            </m:sup>
          </m:sSubSup>
          <m:sSubSup>
            <m:e>
              <m:r>
                <m:t>δ</m:t>
              </m:r>
            </m:e>
            <m:sub>
              <m:r>
                <m:t>j</m:t>
              </m:r>
            </m:sub>
            <m:sup>
              <m:r>
                <m:rPr>
                  <m:sty m:val="p"/>
                </m:rPr>
                <m:t>(</m:t>
              </m:r>
              <m:r>
                <m:t>l</m:t>
              </m:r>
              <m:r>
                <m:rPr>
                  <m:sty m:val="p"/>
                </m:rPr>
                <m:t>)</m:t>
              </m:r>
            </m:sup>
          </m:sSubSup>
        </m:oMath>
      </m:oMathPara>
    </w:p>
    <w:p>
      <w:pPr>
        <w:numPr>
          <w:ilvl w:val="0"/>
          <w:numId w:val="1034"/>
        </w:numPr>
      </w:pPr>
      <w:r>
        <w:rPr>
          <w:rFonts w:hint="eastAsia"/>
          <w:b/>
          <w:bCs/>
        </w:rPr>
        <w:t xml:space="preserve">偏置的梯度</w:t>
      </w:r>
      <w:r>
        <w:rPr>
          <w:rFonts w:hint="eastAsia"/>
        </w:rPr>
        <w:t xml:space="preserve">：</w:t>
      </w:r>
    </w:p>
    <w:p>
      <w:pPr>
        <w:pStyle w:val="7"/>
      </w:pPr>
      <m:oMathPara>
        <m:oMathParaPr>
          <m:jc m:val="center"/>
        </m:oMathParaPr>
        <m:oMath>
          <m:f>
            <m:fPr>
              <m:type m:val="bar"/>
            </m:fPr>
            <m:num>
              <m:r>
                <m:rPr>
                  <m:sty m:val="p"/>
                </m:rPr>
                <m:t>∂</m:t>
              </m:r>
              <m:r>
                <m:t>J</m:t>
              </m:r>
            </m:num>
            <m:den>
              <m:r>
                <m:rPr>
                  <m:sty m:val="p"/>
                </m:rPr>
                <m:t>∂</m:t>
              </m:r>
              <m:sSubSup>
                <m:e>
                  <m:r>
                    <m:t>b</m:t>
                  </m:r>
                </m:e>
                <m:sub>
                  <m:r>
                    <m:t>j</m:t>
                  </m:r>
                </m:sub>
                <m:sup>
                  <m:r>
                    <m:rPr>
                      <m:sty m:val="p"/>
                    </m:rPr>
                    <m:t>(</m:t>
                  </m:r>
                  <m:r>
                    <m:t>l</m:t>
                  </m:r>
                  <m:r>
                    <m:rPr>
                      <m:sty m:val="p"/>
                    </m:rPr>
                    <m:t>)</m:t>
                  </m:r>
                </m:sup>
              </m:sSubSup>
            </m:den>
          </m:f>
          <m:r>
            <m:rPr>
              <m:sty m:val="p"/>
            </m:rPr>
            <m:t>=</m:t>
          </m:r>
          <m:sSubSup>
            <m:e>
              <m:r>
                <m:t>δ</m:t>
              </m:r>
            </m:e>
            <m:sub>
              <m:r>
                <m:t>j</m:t>
              </m:r>
            </m:sub>
            <m:sup>
              <m:r>
                <m:rPr>
                  <m:sty m:val="p"/>
                </m:rPr>
                <m:t>(</m:t>
              </m:r>
              <m:r>
                <m:t>l</m:t>
              </m:r>
              <m:r>
                <m:rPr>
                  <m:sty m:val="p"/>
                </m:rPr>
                <m:t>)</m:t>
              </m:r>
            </m:sup>
          </m:sSubSup>
        </m:oMath>
      </m:oMathPara>
    </w:p>
    <w:bookmarkEnd w:id="105"/>
    <w:bookmarkEnd w:id="106"/>
    <w:bookmarkStart w:id="107" w:name="总结-1"/>
    <w:p>
      <w:pPr>
        <w:pStyle w:val="4"/>
      </w:pPr>
      <w:r>
        <w:t xml:space="preserve">5. </w:t>
      </w:r>
      <w:r>
        <w:rPr>
          <w:rFonts w:hint="eastAsia"/>
        </w:rPr>
        <w:t xml:space="preserve">总结</w:t>
      </w:r>
    </w:p>
    <w:p>
      <w:pPr>
        <w:pStyle w:val="FirstParagraph"/>
      </w:pPr>
      <w:r>
        <w:rPr>
          <w:rFonts w:hint="eastAsia"/>
        </w:rPr>
        <w:t xml:space="preserve">反向传播的核心在于计算每一层的</w:t>
      </w:r>
      <w:r>
        <w:t xml:space="preserve"> </w:t>
      </w:r>
      <m:oMath>
        <m:sSup>
          <m:e>
            <m:r>
              <m:t>δ</m:t>
            </m:r>
          </m:e>
          <m:sup>
            <m:r>
              <m:rPr>
                <m:sty m:val="p"/>
              </m:rPr>
              <m:t>(</m:t>
            </m:r>
            <m:r>
              <m:t>l</m:t>
            </m:r>
            <m:r>
              <m:rPr>
                <m:sty m:val="p"/>
              </m:rPr>
              <m:t>)</m:t>
            </m:r>
          </m:sup>
        </m:sSup>
      </m:oMath>
      <w:r>
        <w:rPr>
          <w:rFonts w:hint="eastAsia"/>
        </w:rPr>
        <w:t xml:space="preserve">：</w:t>
      </w:r>
    </w:p>
    <w:p>
      <w:pPr>
        <w:pStyle w:val="7"/>
      </w:pPr>
      <m:oMathPara>
        <m:oMathParaPr>
          <m:jc m:val="center"/>
        </m:oMathParaPr>
        <m:oMath>
          <m:sSub>
            <m:e>
              <m:r>
                <m:rPr>
                  <m:sty m:val="p"/>
                </m:rPr>
                <m:t>∇</m:t>
              </m:r>
            </m:e>
            <m:sub>
              <m:sSup>
                <m:e>
                  <m:r>
                    <m:t>b</m:t>
                  </m:r>
                </m:e>
                <m:sup>
                  <m:r>
                    <m:rPr>
                      <m:sty m:val="p"/>
                    </m:rPr>
                    <m:t>(</m:t>
                  </m:r>
                  <m:r>
                    <m:t>l</m:t>
                  </m:r>
                  <m:r>
                    <m:rPr>
                      <m:sty m:val="p"/>
                    </m:rPr>
                    <m:t>)</m:t>
                  </m:r>
                </m:sup>
              </m:sSup>
            </m:sub>
          </m:sSub>
          <m:r>
            <m:t>J</m:t>
          </m:r>
          <m:r>
            <m:rPr>
              <m:sty m:val="p"/>
            </m:rPr>
            <m:t>=</m:t>
          </m:r>
          <m:sSup>
            <m:e>
              <m:r>
                <m:t>δ</m:t>
              </m:r>
            </m:e>
            <m:sup>
              <m:r>
                <m:rPr>
                  <m:sty m:val="p"/>
                </m:rPr>
                <m:t>(</m:t>
              </m:r>
              <m:r>
                <m:t>l</m:t>
              </m:r>
              <m:r>
                <m:rPr>
                  <m:sty m:val="p"/>
                </m:rPr>
                <m:t>)</m:t>
              </m:r>
            </m:sup>
          </m:sSup>
        </m:oMath>
      </m:oMathPara>
    </w:p>
    <w:p>
      <w:pPr>
        <w:pStyle w:val="FirstParagraph"/>
      </w:pPr>
      <m:oMathPara>
        <m:oMathParaPr>
          <m:jc m:val="center"/>
        </m:oMathParaPr>
        <m:oMath>
          <m:sSub>
            <m:e>
              <m:r>
                <m:rPr>
                  <m:sty m:val="p"/>
                </m:rPr>
                <m:t>∇</m:t>
              </m:r>
            </m:e>
            <m:sub>
              <m:sSup>
                <m:e>
                  <m:r>
                    <m:t>W</m:t>
                  </m:r>
                </m:e>
                <m:sup>
                  <m:r>
                    <m:rPr>
                      <m:sty m:val="p"/>
                    </m:rPr>
                    <m:t>(</m:t>
                  </m:r>
                  <m:r>
                    <m:t>l</m:t>
                  </m:r>
                  <m:r>
                    <m:rPr>
                      <m:sty m:val="p"/>
                    </m:rPr>
                    <m:t>)</m:t>
                  </m:r>
                </m:sup>
              </m:sSup>
            </m:sub>
          </m:sSub>
          <m:r>
            <m:t>J</m:t>
          </m:r>
          <m:r>
            <m:rPr>
              <m:sty m:val="p"/>
            </m:rPr>
            <m:t>=</m:t>
          </m:r>
          <m:sSup>
            <m:e>
              <m:r>
                <m:t>δ</m:t>
              </m:r>
            </m:e>
            <m:sup>
              <m:r>
                <m:rPr>
                  <m:sty m:val="p"/>
                </m:rPr>
                <m:t>(</m:t>
              </m:r>
              <m:r>
                <m:t>l</m:t>
              </m:r>
              <m:r>
                <m:rPr>
                  <m:sty m:val="p"/>
                </m:rPr>
                <m:t>)</m:t>
              </m:r>
            </m:sup>
          </m:sSup>
          <m:r>
            <m:rPr>
              <m:sty m:val="p"/>
            </m:rPr>
            <m:t>(</m:t>
          </m:r>
          <m:sSup>
            <m:e>
              <m:r>
                <m:t>a</m:t>
              </m:r>
            </m:e>
            <m:sup>
              <m:r>
                <m:rPr>
                  <m:sty m:val="p"/>
                </m:rPr>
                <m:t>(</m:t>
              </m:r>
              <m:r>
                <m:t>l</m:t>
              </m:r>
              <m:r>
                <m:rPr>
                  <m:sty m:val="p"/>
                </m:rPr>
                <m:t>−</m:t>
              </m:r>
              <m:r>
                <m:t>1</m:t>
              </m:r>
              <m:r>
                <m:rPr>
                  <m:sty m:val="p"/>
                </m:rPr>
                <m:t>)</m:t>
              </m:r>
            </m:sup>
          </m:sSup>
          <m:sSup>
            <m:e>
              <m:r>
                <m:rPr>
                  <m:sty m:val="p"/>
                </m:rPr>
                <m:t>)</m:t>
              </m:r>
            </m:e>
            <m:sup>
              <m:r>
                <m:t>T</m:t>
              </m:r>
            </m:sup>
          </m:sSup>
        </m:oMath>
      </m:oMathPara>
    </w:p>
    <w:p>
      <w:pPr>
        <w:pStyle w:val="FirstParagraph"/>
      </w:pPr>
      <m:oMathPara>
        <m:oMathParaPr>
          <m:jc m:val="center"/>
        </m:oMathParaPr>
        <m:oMath>
          <m:f>
            <m:fPr>
              <m:type m:val="bar"/>
            </m:fPr>
            <m:num>
              <m:sSub>
                <m:e>
                  <m:r>
                    <m:t>d</m:t>
                  </m:r>
                </m:e>
                <m:sub>
                  <m:r>
                    <m:t>y</m:t>
                  </m:r>
                </m:sub>
              </m:sSub>
            </m:num>
            <m:den>
              <m:sSub>
                <m:e>
                  <m:r>
                    <m:t>d</m:t>
                  </m:r>
                </m:e>
                <m:sub>
                  <m:r>
                    <m:t>x</m:t>
                  </m:r>
                </m:sub>
              </m:sSub>
            </m:den>
          </m:f>
        </m:oMath>
      </m:oMathPara>
    </w:p>
    <w:p>
      <w:pPr>
        <w:pStyle w:val="FirstParagraph"/>
      </w:pPr>
      <w:r>
        <w:rPr>
          <w:rFonts w:hint="eastAsia"/>
        </w:rPr>
        <w:t xml:space="preserve">我们定义一个多层感知机（MLP），其中</w:t>
      </w:r>
      <w:r>
        <w:t xml:space="preserve"> </w:t>
      </w:r>
      <m:oMath>
        <m:r>
          <m:t>L</m:t>
        </m:r>
      </m:oMath>
      <w:r>
        <w:t xml:space="preserve"> </w:t>
      </w:r>
      <w:r>
        <w:rPr>
          <w:rFonts w:hint="eastAsia"/>
        </w:rPr>
        <w:t xml:space="preserve">表示总层数，</w:t>
      </w:r>
      <m:oMath>
        <m:r>
          <m:t>l</m:t>
        </m:r>
      </m:oMath>
      <w:r>
        <w:t xml:space="preserve"> </w:t>
      </w:r>
      <w:r>
        <w:rPr>
          <w:rFonts w:hint="eastAsia"/>
        </w:rPr>
        <w:t xml:space="preserve">表示当前层。</w:t>
      </w:r>
    </w:p>
    <w:bookmarkEnd w:id="107"/>
    <w:bookmarkStart w:id="108" w:name="符号定义-2"/>
    <w:p>
      <w:pPr>
        <w:pStyle w:val="4"/>
      </w:pPr>
      <w:r>
        <w:t xml:space="preserve">1. </w:t>
      </w:r>
      <w:r>
        <w:rPr>
          <w:rFonts w:hint="eastAsia"/>
        </w:rPr>
        <w:t xml:space="preserve">符号定义</w:t>
      </w:r>
    </w:p>
    <w:p>
      <w:pPr>
        <w:pStyle w:val="Compact"/>
        <w:numPr>
          <w:ilvl w:val="0"/>
          <w:numId w:val="1035"/>
        </w:numPr>
      </w:pPr>
      <m:oMath>
        <m:sSubSup>
          <m:e>
            <m:r>
              <m:t>w</m:t>
            </m:r>
          </m:e>
          <m:sub>
            <m:r>
              <m:t>j</m:t>
            </m:r>
            <m:r>
              <m:t>k</m:t>
            </m:r>
          </m:sub>
          <m:sup>
            <m:r>
              <m:rPr>
                <m:sty m:val="p"/>
              </m:rPr>
              <m:t>(</m:t>
            </m:r>
            <m:r>
              <m:t>l</m:t>
            </m:r>
            <m:r>
              <m:rPr>
                <m:sty m:val="p"/>
              </m:rPr>
              <m:t>)</m:t>
            </m:r>
          </m:sup>
        </m:sSubSup>
      </m:oMath>
      <w:r>
        <w:rPr>
          <w:rFonts w:hint="eastAsia"/>
        </w:rPr>
        <w:t xml:space="preserve">：从第</w:t>
      </w:r>
      <w:r>
        <w:t xml:space="preserve"> </w:t>
      </w:r>
      <m:oMath>
        <m:r>
          <m:t>l</m:t>
        </m:r>
        <m:r>
          <m:rPr>
            <m:sty m:val="p"/>
          </m:rPr>
          <m:t>−</m:t>
        </m:r>
        <m:r>
          <m:t>1</m:t>
        </m:r>
      </m:oMath>
      <w:r>
        <w:t xml:space="preserve"> </w:t>
      </w:r>
      <w:r>
        <w:rPr>
          <w:rFonts w:hint="eastAsia"/>
        </w:rPr>
        <w:t xml:space="preserve">层的第</w:t>
      </w:r>
      <w:r>
        <w:t xml:space="preserve"> </w:t>
      </w:r>
      <m:oMath>
        <m:r>
          <m:t>k</m:t>
        </m:r>
      </m:oMath>
      <w:r>
        <w:t xml:space="preserve"> </w:t>
      </w:r>
      <w:r>
        <w:rPr>
          <w:rFonts w:hint="eastAsia"/>
        </w:rPr>
        <w:t xml:space="preserve">个神经元到第</w:t>
      </w:r>
      <w:r>
        <w:t xml:space="preserve"> </w:t>
      </w:r>
      <m:oMath>
        <m:r>
          <m:t>l</m:t>
        </m:r>
      </m:oMath>
      <w:r>
        <w:t xml:space="preserve"> </w:t>
      </w:r>
      <w:r>
        <w:rPr>
          <w:rFonts w:hint="eastAsia"/>
        </w:rPr>
        <w:t xml:space="preserve">层的第</w:t>
      </w:r>
      <w:r>
        <w:t xml:space="preserve"> </w:t>
      </w:r>
      <m:oMath>
        <m:r>
          <m:t>j</m:t>
        </m:r>
      </m:oMath>
      <w:r>
        <w:t xml:space="preserve"> </w:t>
      </w:r>
      <w:r>
        <w:rPr>
          <w:rFonts w:hint="eastAsia"/>
        </w:rPr>
        <w:t xml:space="preserve">个神经元的权重。</w:t>
      </w:r>
    </w:p>
    <w:p>
      <w:pPr>
        <w:pStyle w:val="Compact"/>
        <w:numPr>
          <w:ilvl w:val="0"/>
          <w:numId w:val="1035"/>
        </w:numPr>
      </w:pPr>
      <m:oMath>
        <m:sSubSup>
          <m:e>
            <m:r>
              <m:t>b</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个神经元的偏置。</w:t>
      </w:r>
    </w:p>
    <w:p>
      <w:pPr>
        <w:pStyle w:val="Compact"/>
        <w:numPr>
          <w:ilvl w:val="0"/>
          <w:numId w:val="1035"/>
        </w:numPr>
      </w:pPr>
      <m:oMath>
        <m:sSubSup>
          <m:e>
            <m:r>
              <m:t>z</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个神经元的加权输入。</w:t>
      </w:r>
    </w:p>
    <w:p>
      <w:pPr>
        <w:pStyle w:val="Compact"/>
        <w:numPr>
          <w:ilvl w:val="0"/>
          <w:numId w:val="1035"/>
        </w:numPr>
      </w:pPr>
      <m:oMath>
        <m:sSubSup>
          <m:e>
            <m:r>
              <m:t>a</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个神经元的激活输出，其中</w:t>
      </w:r>
      <w:r>
        <w:t xml:space="preserve"> </w:t>
      </w:r>
      <m:oMath>
        <m:sSubSup>
          <m:e>
            <m:r>
              <m:t>a</m:t>
            </m:r>
          </m:e>
          <m:sub>
            <m:r>
              <m:t>j</m:t>
            </m:r>
          </m:sub>
          <m:sup>
            <m:r>
              <m:rPr>
                <m:sty m:val="p"/>
              </m:rPr>
              <m:t>(</m:t>
            </m:r>
            <m:r>
              <m:t>l</m:t>
            </m:r>
            <m:r>
              <m:rPr>
                <m:sty m:val="p"/>
              </m:rPr>
              <m:t>)</m:t>
            </m:r>
          </m:sup>
        </m:sSubSup>
        <m:r>
          <m:rPr>
            <m:sty m:val="p"/>
          </m:rPr>
          <m:t>=</m:t>
        </m:r>
        <m:r>
          <m:t>σ</m:t>
        </m:r>
        <m:r>
          <m:rPr>
            <m:sty m:val="p"/>
          </m:rPr>
          <m:t>(</m:t>
        </m:r>
        <m:sSubSup>
          <m:e>
            <m:r>
              <m:t>z</m:t>
            </m:r>
          </m:e>
          <m:sub>
            <m:r>
              <m:t>j</m:t>
            </m:r>
          </m:sub>
          <m:sup>
            <m:r>
              <m:rPr>
                <m:sty m:val="p"/>
              </m:rPr>
              <m:t>(</m:t>
            </m:r>
            <m:r>
              <m:t>l</m:t>
            </m:r>
            <m:r>
              <m:rPr>
                <m:sty m:val="p"/>
              </m:rPr>
              <m:t>)</m:t>
            </m:r>
          </m:sup>
        </m:sSubSup>
        <m:r>
          <m:rPr>
            <m:sty m:val="p"/>
          </m:rPr>
          <m:t>)</m:t>
        </m:r>
      </m:oMath>
      <w:r>
        <w:t xml:space="preserve">。</w:t>
      </w:r>
    </w:p>
    <w:bookmarkEnd w:id="108"/>
    <w:bookmarkStart w:id="109" w:name="前向传播-forward-propagation-2"/>
    <w:p>
      <w:pPr>
        <w:pStyle w:val="4"/>
      </w:pPr>
      <w:r>
        <w:t xml:space="preserve">2. </w:t>
      </w:r>
      <w:r>
        <w:rPr>
          <w:rFonts w:hint="eastAsia"/>
        </w:rPr>
        <w:t xml:space="preserve">前向传播</w:t>
      </w:r>
      <w:r>
        <w:t xml:space="preserve"> (Forward Propagation)</w:t>
      </w:r>
    </w:p>
    <w:p>
      <w:pPr>
        <w:pStyle w:val="FirstParagraph"/>
      </w:pPr>
      <w:r>
        <w:rPr>
          <w:rFonts w:hint="eastAsia"/>
        </w:rPr>
        <w:t xml:space="preserve">对于第</w:t>
      </w:r>
      <w:r>
        <w:t xml:space="preserve"> </w:t>
      </w:r>
      <m:oMath>
        <m:r>
          <m:t>l</m:t>
        </m:r>
      </m:oMath>
      <w:r>
        <w:t xml:space="preserve"> </w:t>
      </w:r>
      <w:r>
        <w:rPr>
          <w:rFonts w:hint="eastAsia"/>
        </w:rPr>
        <w:t xml:space="preserve">层的第</w:t>
      </w:r>
      <w:r>
        <w:t xml:space="preserve"> </w:t>
      </w:r>
      <m:oMath>
        <m:r>
          <m:t>j</m:t>
        </m:r>
      </m:oMath>
      <w:r>
        <w:t xml:space="preserve"> </w:t>
      </w:r>
      <w:r>
        <w:rPr>
          <w:rFonts w:hint="eastAsia"/>
        </w:rPr>
        <w:t xml:space="preserve">个神经元，其聚合输入为：</w:t>
      </w:r>
    </w:p>
    <w:p>
      <w:pPr>
        <w:pStyle w:val="7"/>
      </w:pPr>
      <m:oMathPara>
        <m:oMathParaPr>
          <m:jc m:val="center"/>
        </m:oMathParaPr>
        <m:oMath>
          <m:sSubSup>
            <m:e>
              <m:r>
                <m:t>z</m:t>
              </m:r>
            </m:e>
            <m:sub>
              <m:r>
                <m:t>j</m:t>
              </m:r>
            </m:sub>
            <m:sup>
              <m:r>
                <m:rPr>
                  <m:sty m:val="p"/>
                </m:rPr>
                <m:t>(</m:t>
              </m:r>
              <m:r>
                <m:t>l</m:t>
              </m:r>
              <m:r>
                <m:rPr>
                  <m:sty m:val="p"/>
                </m:rPr>
                <m:t>)</m:t>
              </m:r>
            </m:sup>
          </m:sSubSup>
          <m:r>
            <m:rPr>
              <m:sty m:val="p"/>
            </m:rPr>
            <m:t>=</m:t>
          </m:r>
          <m:nary>
            <m:naryPr>
              <m:chr m:val="∑"/>
              <m:limLoc m:val="undOvr"/>
              <m:subHide m:val="off"/>
              <m:supHide m:val="on"/>
            </m:naryPr>
            <m:sub>
              <m:r>
                <m:t>k</m:t>
              </m:r>
            </m:sub>
            <m:sup>
              <m:r>
                <m:t>​</m:t>
              </m:r>
            </m:sup>
            <m:e>
              <m:sSubSup>
                <m:e>
                  <m:r>
                    <m:t>w</m:t>
                  </m:r>
                </m:e>
                <m:sub>
                  <m:r>
                    <m:t>j</m:t>
                  </m:r>
                  <m:r>
                    <m:t>k</m:t>
                  </m:r>
                </m:sub>
                <m:sup>
                  <m:r>
                    <m:rPr>
                      <m:sty m:val="p"/>
                    </m:rPr>
                    <m:t>(</m:t>
                  </m:r>
                  <m:r>
                    <m:t>l</m:t>
                  </m:r>
                  <m:r>
                    <m:rPr>
                      <m:sty m:val="p"/>
                    </m:rPr>
                    <m:t>)</m:t>
                  </m:r>
                </m:sup>
              </m:sSubSup>
            </m:e>
          </m:nary>
          <m:sSubSup>
            <m:e>
              <m:r>
                <m:t>a</m:t>
              </m:r>
            </m:e>
            <m:sub>
              <m:r>
                <m:t>k</m:t>
              </m:r>
            </m:sub>
            <m:sup>
              <m:r>
                <m:rPr>
                  <m:sty m:val="p"/>
                </m:rPr>
                <m:t>(</m:t>
              </m:r>
              <m:r>
                <m:t>l</m:t>
              </m:r>
              <m:r>
                <m:rPr>
                  <m:sty m:val="p"/>
                </m:rPr>
                <m:t>−</m:t>
              </m:r>
              <m:r>
                <m:t>1</m:t>
              </m:r>
              <m:r>
                <m:rPr>
                  <m:sty m:val="p"/>
                </m:rPr>
                <m:t>)</m:t>
              </m:r>
            </m:sup>
          </m:sSubSup>
          <m:r>
            <m:rPr>
              <m:sty m:val="p"/>
            </m:rPr>
            <m:t>+</m:t>
          </m:r>
          <m:sSubSup>
            <m:e>
              <m:r>
                <m:t>b</m:t>
              </m:r>
            </m:e>
            <m:sub>
              <m:r>
                <m:t>j</m:t>
              </m:r>
            </m:sub>
            <m:sup>
              <m:r>
                <m:rPr>
                  <m:sty m:val="p"/>
                </m:rPr>
                <m:t>(</m:t>
              </m:r>
              <m:r>
                <m:t>l</m:t>
              </m:r>
              <m:r>
                <m:rPr>
                  <m:sty m:val="p"/>
                </m:rPr>
                <m:t>)</m:t>
              </m:r>
            </m:sup>
          </m:sSubSup>
        </m:oMath>
      </m:oMathPara>
    </w:p>
    <w:p>
      <w:pPr>
        <w:pStyle w:val="FirstParagraph"/>
      </w:pPr>
      <w:r>
        <w:rPr>
          <w:rFonts w:hint="eastAsia"/>
        </w:rPr>
        <w:t xml:space="preserve">向量化形式为：</w:t>
      </w:r>
    </w:p>
    <w:p>
      <w:pPr>
        <w:pStyle w:val="7"/>
      </w:pPr>
      <m:oMathPara>
        <m:oMathParaPr>
          <m:jc m:val="center"/>
        </m:oMathParaPr>
        <m:oMath>
          <m:sSup>
            <m:e>
              <m:r>
                <m:t>z</m:t>
              </m:r>
            </m:e>
            <m:sup>
              <m:r>
                <m:rPr>
                  <m:sty m:val="p"/>
                </m:rPr>
                <m:t>(</m:t>
              </m:r>
              <m:r>
                <m:t>l</m:t>
              </m:r>
              <m:r>
                <m:rPr>
                  <m:sty m:val="p"/>
                </m:rPr>
                <m:t>)</m:t>
              </m:r>
            </m:sup>
          </m:sSup>
          <m:r>
            <m:rPr>
              <m:sty m:val="p"/>
            </m:rPr>
            <m:t>=</m:t>
          </m:r>
          <m:sSup>
            <m:e>
              <m:r>
                <m:t>W</m:t>
              </m:r>
            </m:e>
            <m:sup>
              <m:r>
                <m:rPr>
                  <m:sty m:val="p"/>
                </m:rPr>
                <m:t>(</m:t>
              </m:r>
              <m:r>
                <m:t>l</m:t>
              </m:r>
              <m:r>
                <m:rPr>
                  <m:sty m:val="p"/>
                </m:rPr>
                <m:t>)</m:t>
              </m:r>
            </m:sup>
          </m:sSup>
          <m:sSup>
            <m:e>
              <m:r>
                <m:t>a</m:t>
              </m:r>
            </m:e>
            <m:sup>
              <m:r>
                <m:rPr>
                  <m:sty m:val="p"/>
                </m:rPr>
                <m:t>(</m:t>
              </m:r>
              <m:r>
                <m:t>l</m:t>
              </m:r>
              <m:r>
                <m:rPr>
                  <m:sty m:val="p"/>
                </m:rPr>
                <m:t>−</m:t>
              </m:r>
              <m:r>
                <m:t>1</m:t>
              </m:r>
              <m:r>
                <m:rPr>
                  <m:sty m:val="p"/>
                </m:rPr>
                <m:t>)</m:t>
              </m:r>
            </m:sup>
          </m:sSup>
          <m:r>
            <m:rPr>
              <m:sty m:val="p"/>
            </m:rPr>
            <m:t>+</m:t>
          </m:r>
          <m:sSup>
            <m:e>
              <m:r>
                <m:t>b</m:t>
              </m:r>
            </m:e>
            <m:sup>
              <m:r>
                <m:rPr>
                  <m:sty m:val="p"/>
                </m:rPr>
                <m:t>(</m:t>
              </m:r>
              <m:r>
                <m:t>l</m:t>
              </m:r>
              <m:r>
                <m:rPr>
                  <m:sty m:val="p"/>
                </m:rPr>
                <m:t>)</m:t>
              </m:r>
            </m:sup>
          </m:sSup>
        </m:oMath>
      </m:oMathPara>
    </w:p>
    <w:p>
      <w:pPr>
        <w:pStyle w:val="FirstParagraph"/>
      </w:pPr>
      <m:oMathPara>
        <m:oMathParaPr>
          <m:jc m:val="center"/>
        </m:oMathParaPr>
        <m:oMath>
          <m:sSup>
            <m:e>
              <m:r>
                <m:t>a</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m:oMathPara>
    </w:p>
    <w:bookmarkEnd w:id="109"/>
    <w:bookmarkStart w:id="110" w:name="代价函数-cost-function-2"/>
    <w:p>
      <w:pPr>
        <w:pStyle w:val="4"/>
      </w:pPr>
      <w:r>
        <w:t xml:space="preserve">3. </w:t>
      </w:r>
      <w:r>
        <w:rPr>
          <w:rFonts w:hint="eastAsia"/>
        </w:rPr>
        <w:t xml:space="preserve">代价函数</w:t>
      </w:r>
      <w:r>
        <w:t xml:space="preserve"> (Cost Function)</w:t>
      </w:r>
    </w:p>
    <w:p>
      <w:pPr>
        <w:pStyle w:val="FirstParagraph"/>
      </w:pPr>
      <w:r>
        <w:rPr>
          <w:rFonts w:hint="eastAsia"/>
        </w:rPr>
        <w:t xml:space="preserve">假设使用二次代价函数（MSE），对于单个训练样本</w:t>
      </w:r>
      <w:r>
        <w:t xml:space="preserve"> </w:t>
      </w:r>
      <m:oMath>
        <m:r>
          <m:t>x</m:t>
        </m:r>
      </m:oMath>
      <w:r>
        <w:rPr>
          <w:rFonts w:hint="eastAsia"/>
        </w:rPr>
        <w:t xml:space="preserve">，其代价为：</w:t>
      </w:r>
    </w:p>
    <w:p>
      <w:pPr>
        <w:pStyle w:val="7"/>
      </w:pPr>
      <m:oMathPara>
        <m:oMathParaPr>
          <m:jc m:val="center"/>
        </m:oMathParaPr>
        <m:oMath>
          <m:r>
            <m:t>J</m:t>
          </m:r>
          <m:r>
            <m:rPr>
              <m:sty m:val="p"/>
            </m:rPr>
            <m:t>=</m:t>
          </m:r>
          <m:f>
            <m:fPr>
              <m:type m:val="bar"/>
            </m:fPr>
            <m:num>
              <m:r>
                <m:t>1</m:t>
              </m:r>
            </m:num>
            <m:den>
              <m:r>
                <m:t>2</m:t>
              </m:r>
            </m:den>
          </m:f>
          <m:r>
            <m:rPr>
              <m:sty m:val="p"/>
            </m:rPr>
            <m:t>∥</m:t>
          </m:r>
          <m:r>
            <m:t>y</m:t>
          </m:r>
          <m:r>
            <m:rPr>
              <m:sty m:val="p"/>
            </m:rPr>
            <m:t>−</m:t>
          </m:r>
          <m:sSup>
            <m:e>
              <m:r>
                <m:t>a</m:t>
              </m:r>
            </m:e>
            <m:sup>
              <m:r>
                <m:rPr>
                  <m:sty m:val="p"/>
                </m:rPr>
                <m:t>(</m:t>
              </m:r>
              <m:r>
                <m:t>L</m:t>
              </m:r>
              <m:r>
                <m:rPr>
                  <m:sty m:val="p"/>
                </m:rPr>
                <m:t>)</m:t>
              </m:r>
            </m:sup>
          </m:sSup>
          <m:sSup>
            <m:e>
              <m:r>
                <m:rPr>
                  <m:sty m:val="p"/>
                </m:rPr>
                <m:t>∥</m:t>
              </m:r>
            </m:e>
            <m:sup>
              <m:r>
                <m:t>2</m:t>
              </m:r>
            </m:sup>
          </m:sSup>
          <m:r>
            <m:rPr>
              <m:sty m:val="p"/>
            </m:rPr>
            <m:t>=</m:t>
          </m:r>
          <m:f>
            <m:fPr>
              <m:type m:val="bar"/>
            </m:fPr>
            <m:num>
              <m:r>
                <m:t>1</m:t>
              </m:r>
            </m:num>
            <m:den>
              <m:r>
                <m:t>2</m:t>
              </m:r>
            </m:den>
          </m:f>
          <m:nary>
            <m:naryPr>
              <m:chr m:val="∑"/>
              <m:limLoc m:val="undOvr"/>
              <m:subHide m:val="off"/>
              <m:supHide m:val="on"/>
            </m:naryPr>
            <m:sub>
              <m:r>
                <m:t>j</m:t>
              </m:r>
            </m:sub>
            <m:sup>
              <m:r>
                <m:t>​</m:t>
              </m:r>
            </m:sup>
            <m:e>
              <m:r>
                <m:rPr>
                  <m:sty m:val="p"/>
                </m:rPr>
                <m:t>(</m:t>
              </m:r>
            </m:e>
          </m:nary>
          <m:sSub>
            <m:e>
              <m:r>
                <m:t>y</m:t>
              </m:r>
            </m:e>
            <m:sub>
              <m:r>
                <m:t>j</m:t>
              </m:r>
            </m:sub>
          </m:sSub>
          <m:r>
            <m:rPr>
              <m:sty m:val="p"/>
            </m:rPr>
            <m:t>−</m:t>
          </m:r>
          <m:sSubSup>
            <m:e>
              <m:r>
                <m:t>a</m:t>
              </m:r>
            </m:e>
            <m:sub>
              <m:r>
                <m:t>j</m:t>
              </m:r>
            </m:sub>
            <m:sup>
              <m:r>
                <m:rPr>
                  <m:sty m:val="p"/>
                </m:rPr>
                <m:t>(</m:t>
              </m:r>
              <m:r>
                <m:t>L</m:t>
              </m:r>
              <m:r>
                <m:rPr>
                  <m:sty m:val="p"/>
                </m:rPr>
                <m:t>)</m:t>
              </m:r>
            </m:sup>
          </m:sSubSup>
          <m:sSup>
            <m:e>
              <m:r>
                <m:rPr>
                  <m:sty m:val="p"/>
                </m:rPr>
                <m:t>)</m:t>
              </m:r>
            </m:e>
            <m:sup>
              <m:r>
                <m:t>2</m:t>
              </m:r>
            </m:sup>
          </m:sSup>
        </m:oMath>
      </m:oMathPara>
    </w:p>
    <w:bookmarkEnd w:id="110"/>
    <w:bookmarkStart w:id="114" w:name="反向传播推导-backward-pass-2"/>
    <w:p>
      <w:pPr>
        <w:pStyle w:val="4"/>
      </w:pPr>
      <w:r>
        <w:t xml:space="preserve">4. </w:t>
      </w:r>
      <w:r>
        <w:rPr>
          <w:rFonts w:hint="eastAsia"/>
        </w:rPr>
        <w:t xml:space="preserve">反向传播推导</w:t>
      </w:r>
      <w:r>
        <w:t xml:space="preserve"> (Backward Pass)</w:t>
      </w:r>
    </w:p>
    <w:p>
      <w:pPr>
        <w:pStyle w:val="FirstParagraph"/>
      </w:pPr>
      <w:r>
        <w:rPr>
          <w:rFonts w:hint="eastAsia"/>
        </w:rPr>
        <w:t xml:space="preserve">我们的目标是计算代价函数</w:t>
      </w:r>
      <w:r>
        <w:t xml:space="preserve"> </w:t>
      </w:r>
      <m:oMath>
        <m:r>
          <m:t>J</m:t>
        </m:r>
      </m:oMath>
      <w:r>
        <w:t xml:space="preserve"> </w:t>
      </w:r>
      <w:r>
        <w:rPr>
          <w:rFonts w:hint="eastAsia"/>
        </w:rPr>
        <w:t xml:space="preserve">关于权重</w:t>
      </w:r>
      <w:r>
        <w:t xml:space="preserve"> </w:t>
      </w:r>
      <m:oMath>
        <m:r>
          <m:t>w</m:t>
        </m:r>
      </m:oMath>
      <w:r>
        <w:t xml:space="preserve"> </w:t>
      </w:r>
      <w:r>
        <w:rPr>
          <w:rFonts w:hint="eastAsia"/>
        </w:rPr>
        <w:t xml:space="preserve">和偏置</w:t>
      </w:r>
      <w:r>
        <w:t xml:space="preserve"> </w:t>
      </w:r>
      <m:oMath>
        <m:r>
          <m:t>b</m:t>
        </m:r>
      </m:oMath>
      <w:r>
        <w:t xml:space="preserve"> </w:t>
      </w:r>
      <w:r>
        <w:rPr>
          <w:rFonts w:hint="eastAsia"/>
        </w:rPr>
        <w:t xml:space="preserve">的偏导数。我们定义第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w:t>
      </w:r>
      <w:r>
        <w:rPr>
          <w:rFonts w:hint="eastAsia"/>
          <w:b/>
          <w:bCs/>
        </w:rPr>
        <w:t xml:space="preserve">误差项</w:t>
      </w:r>
      <w:r>
        <w:t xml:space="preserve"> </w:t>
      </w:r>
      <m:oMath>
        <m:sSubSup>
          <m:e>
            <m:r>
              <m:t>δ</m:t>
            </m:r>
          </m:e>
          <m:sub>
            <m:r>
              <m:t>j</m:t>
            </m:r>
          </m:sub>
          <m:sup>
            <m:r>
              <m:rPr>
                <m:sty m:val="p"/>
              </m:rPr>
              <m:t>(</m:t>
            </m:r>
            <m:r>
              <m:t>l</m:t>
            </m:r>
            <m:r>
              <m:rPr>
                <m:sty m:val="p"/>
              </m:rPr>
              <m:t>)</m:t>
            </m:r>
          </m:sup>
        </m:sSubSup>
      </m:oMath>
      <w:r>
        <w:t xml:space="preserve"> </w:t>
      </w:r>
      <w:r>
        <w:rPr>
          <w:rFonts w:hint="eastAsia"/>
        </w:rPr>
        <w:t xml:space="preserve">为：</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z</m:t>
                  </m:r>
                </m:e>
                <m:sub>
                  <m:r>
                    <m:t>j</m:t>
                  </m:r>
                </m:sub>
                <m:sup>
                  <m:r>
                    <m:rPr>
                      <m:sty m:val="p"/>
                    </m:rPr>
                    <m:t>(</m:t>
                  </m:r>
                  <m:r>
                    <m:t>l</m:t>
                  </m:r>
                  <m:r>
                    <m:rPr>
                      <m:sty m:val="p"/>
                    </m:rPr>
                    <m:t>)</m:t>
                  </m:r>
                </m:sup>
              </m:sSubSup>
            </m:den>
          </m:f>
        </m:oMath>
      </m:oMathPara>
    </w:p>
    <w:bookmarkStart w:id="111" w:name="步骤-a-输出层误差-deltal-2"/>
    <w:p>
      <w:pPr>
        <w:pStyle w:val="5"/>
      </w:pPr>
      <w:r>
        <w:rPr>
          <w:rFonts w:hint="eastAsia"/>
        </w:rPr>
        <w:t xml:space="preserve">步骤</w:t>
      </w:r>
      <w:r>
        <w:t xml:space="preserve"> A: </w:t>
      </w:r>
      <w:r>
        <w:rPr>
          <w:rFonts w:hint="eastAsia"/>
        </w:rPr>
        <w:t xml:space="preserve">输出层误差</w:t>
      </w:r>
      <w:r>
        <w:t xml:space="preserve"> </w:t>
      </w:r>
      <m:oMath>
        <m:sSup>
          <m:e>
            <m:r>
              <m:t>δ</m:t>
            </m:r>
          </m:e>
          <m:sup>
            <m:r>
              <m:rPr>
                <m:sty m:val="p"/>
              </m:rPr>
              <m:t>(</m:t>
            </m:r>
            <m:r>
              <m:t>L</m:t>
            </m:r>
            <m:r>
              <m:rPr>
                <m:sty m:val="p"/>
              </m:rPr>
              <m:t>)</m:t>
            </m:r>
          </m:sup>
        </m:sSup>
      </m:oMath>
    </w:p>
    <w:p>
      <w:pPr>
        <w:pStyle w:val="FirstParagraph"/>
      </w:pPr>
      <w:r>
        <w:rPr>
          <w:rFonts w:hint="eastAsia"/>
        </w:rPr>
        <w:t xml:space="preserve">根据链式法则：</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a</m:t>
                  </m:r>
                </m:e>
                <m:sub>
                  <m:r>
                    <m:t>j</m:t>
                  </m:r>
                </m:sub>
                <m:sup>
                  <m:r>
                    <m:rPr>
                      <m:sty m:val="p"/>
                    </m:rPr>
                    <m:t>(</m:t>
                  </m:r>
                  <m:r>
                    <m:t>L</m:t>
                  </m:r>
                  <m:r>
                    <m:rPr>
                      <m:sty m:val="p"/>
                    </m:rPr>
                    <m:t>)</m:t>
                  </m:r>
                </m:sup>
              </m:sSubSup>
            </m:den>
          </m:f>
          <m:r>
            <m:rPr>
              <m:sty m:val="p"/>
            </m:rPr>
            <m:t>⋅</m:t>
          </m:r>
          <m:f>
            <m:fPr>
              <m:type m:val="bar"/>
            </m:fPr>
            <m:num>
              <m:r>
                <m:rPr>
                  <m:sty m:val="p"/>
                </m:rPr>
                <m:t>∂</m:t>
              </m:r>
              <m:sSubSup>
                <m:e>
                  <m:r>
                    <m:t>a</m:t>
                  </m:r>
                </m:e>
                <m:sub>
                  <m:r>
                    <m:t>j</m:t>
                  </m:r>
                </m:sub>
                <m:sup>
                  <m:r>
                    <m:rPr>
                      <m:sty m:val="p"/>
                    </m:rPr>
                    <m:t>(</m:t>
                  </m:r>
                  <m:r>
                    <m:t>L</m:t>
                  </m:r>
                  <m:r>
                    <m:rPr>
                      <m:sty m:val="p"/>
                    </m:rPr>
                    <m:t>)</m:t>
                  </m:r>
                </m:sup>
              </m:sSubSup>
            </m:num>
            <m:den>
              <m:r>
                <m:rPr>
                  <m:sty m:val="p"/>
                </m:rPr>
                <m:t>∂</m:t>
              </m:r>
              <m:sSubSup>
                <m:e>
                  <m:r>
                    <m:t>z</m:t>
                  </m:r>
                </m:e>
                <m:sub>
                  <m:r>
                    <m:t>j</m:t>
                  </m:r>
                </m:sub>
                <m:sup>
                  <m:r>
                    <m:rPr>
                      <m:sty m:val="p"/>
                    </m:rPr>
                    <m:t>(</m:t>
                  </m:r>
                  <m:r>
                    <m:t>L</m:t>
                  </m:r>
                  <m:r>
                    <m:rPr>
                      <m:sty m:val="p"/>
                    </m:rPr>
                    <m:t>)</m:t>
                  </m:r>
                </m:sup>
              </m:sSubSup>
            </m:den>
          </m:f>
        </m:oMath>
      </m:oMathPara>
    </w:p>
    <w:p>
      <w:pPr>
        <w:pStyle w:val="FirstParagraph"/>
      </w:pPr>
      <w:r>
        <w:rPr>
          <w:rFonts w:hint="eastAsia"/>
        </w:rPr>
        <w:t xml:space="preserve">由于</w:t>
      </w:r>
      <w:r>
        <w:t xml:space="preserve"> </w:t>
      </w:r>
      <m:oMath>
        <m:sSup>
          <m:e>
            <m:r>
              <m:t>a</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w:r>
        <w:rPr>
          <w:rFonts w:hint="eastAsia"/>
        </w:rPr>
        <w:t xml:space="preserve">，且</w:t>
      </w:r>
      <w:r>
        <w:t xml:space="preserve"> </w:t>
      </w:r>
      <m:oMath>
        <m:r>
          <m:t>J</m:t>
        </m:r>
        <m:r>
          <m:rPr>
            <m:sty m:val="p"/>
          </m:rPr>
          <m:t>=</m:t>
        </m:r>
        <m:f>
          <m:fPr>
            <m:type m:val="bar"/>
          </m:fPr>
          <m:num>
            <m:r>
              <m:t>1</m:t>
            </m:r>
          </m:num>
          <m:den>
            <m:r>
              <m:t>2</m:t>
            </m:r>
          </m:den>
        </m:f>
        <m:r>
          <m:rPr>
            <m:sty m:val="p"/>
          </m:rPr>
          <m:t>∑</m:t>
        </m:r>
        <m:r>
          <m:rPr>
            <m:sty m:val="p"/>
          </m:rPr>
          <m:t>(</m:t>
        </m:r>
        <m:r>
          <m:t>y</m:t>
        </m:r>
        <m:r>
          <m:rPr>
            <m:sty m:val="p"/>
          </m:rPr>
          <m:t>−</m:t>
        </m:r>
        <m:sSup>
          <m:e>
            <m:r>
              <m:t>a</m:t>
            </m:r>
          </m:e>
          <m:sup>
            <m:r>
              <m:rPr>
                <m:sty m:val="p"/>
              </m:rPr>
              <m:t>(</m:t>
            </m:r>
            <m:r>
              <m:t>L</m:t>
            </m:r>
            <m:r>
              <m:rPr>
                <m:sty m:val="p"/>
              </m:rPr>
              <m:t>)</m:t>
            </m:r>
          </m:sup>
        </m:sSup>
        <m:sSup>
          <m:e>
            <m:r>
              <m:rPr>
                <m:sty m:val="p"/>
              </m:rPr>
              <m:t>)</m:t>
            </m:r>
          </m:e>
          <m:sup>
            <m:r>
              <m:t>2</m:t>
            </m:r>
          </m:sup>
        </m:sSup>
      </m:oMath>
      <w:r>
        <w:rPr>
          <w:rFonts w:hint="eastAsia"/>
        </w:rPr>
        <w:t xml:space="preserve">，我们可以得到：</w:t>
      </w:r>
    </w:p>
    <w:p>
      <w:pPr>
        <w:pStyle w:val="7"/>
      </w:pPr>
      <m:oMathPara>
        <m:oMathParaPr>
          <m:jc m:val="center"/>
        </m:oMathParaPr>
        <m:oMath>
          <m:sSup>
            <m:e>
              <m:r>
                <m:t>δ</m:t>
              </m:r>
            </m:e>
            <m:sup>
              <m:r>
                <m:rPr>
                  <m:sty m:val="p"/>
                </m:rPr>
                <m:t>(</m:t>
              </m:r>
              <m:r>
                <m:t>L</m:t>
              </m:r>
              <m:r>
                <m:rPr>
                  <m:sty m:val="p"/>
                </m:rPr>
                <m:t>)</m:t>
              </m:r>
            </m:sup>
          </m:sSup>
          <m:r>
            <m:rPr>
              <m:sty m:val="p"/>
            </m:rPr>
            <m:t>=</m:t>
          </m:r>
          <m:r>
            <m:rPr>
              <m:sty m:val="p"/>
            </m:rPr>
            <m:t>(</m:t>
          </m:r>
          <m:sSup>
            <m:e>
              <m:r>
                <m:t>a</m:t>
              </m:r>
            </m:e>
            <m:sup>
              <m:r>
                <m:rPr>
                  <m:sty m:val="p"/>
                </m:rPr>
                <m:t>(</m:t>
              </m:r>
              <m:r>
                <m:t>L</m:t>
              </m:r>
              <m:r>
                <m:rPr>
                  <m:sty m:val="p"/>
                </m:rPr>
                <m:t>)</m:t>
              </m:r>
            </m:sup>
          </m:sSup>
          <m:r>
            <m:rPr>
              <m:sty m:val="p"/>
            </m:rPr>
            <m:t>−</m:t>
          </m:r>
          <m:r>
            <m:t>y</m:t>
          </m:r>
          <m:r>
            <m:rPr>
              <m:sty m:val="p"/>
            </m:rPr>
            <m:t>)</m:t>
          </m:r>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代表哈达玛积（Hadamard</w:t>
      </w:r>
      <w:r>
        <w:t xml:space="preserve"> </w:t>
      </w:r>
      <w:r>
        <w:rPr>
          <w:rFonts w:hint="eastAsia"/>
        </w:rPr>
        <w:t xml:space="preserve">product，即元素对应相乘）。</w:t>
      </w:r>
    </w:p>
    <w:bookmarkEnd w:id="111"/>
    <w:bookmarkStart w:id="112" w:name="步骤-b-隐藏层误差-deltal-2"/>
    <w:p>
      <w:pPr>
        <w:pStyle w:val="5"/>
      </w:pPr>
      <w:r>
        <w:rPr>
          <w:rFonts w:hint="eastAsia"/>
        </w:rPr>
        <w:t xml:space="preserve">步骤</w:t>
      </w:r>
      <w:r>
        <w:t xml:space="preserve"> B: </w:t>
      </w:r>
      <w:r>
        <w:rPr>
          <w:rFonts w:hint="eastAsia"/>
        </w:rPr>
        <w:t xml:space="preserve">隐藏层误差</w:t>
      </w:r>
      <w:r>
        <w:t xml:space="preserve"> </w:t>
      </w:r>
      <m:oMath>
        <m:sSup>
          <m:e>
            <m:r>
              <m:t>δ</m:t>
            </m:r>
          </m:e>
          <m:sup>
            <m:r>
              <m:rPr>
                <m:sty m:val="p"/>
              </m:rPr>
              <m:t>(</m:t>
            </m:r>
            <m:r>
              <m:t>l</m:t>
            </m:r>
            <m:r>
              <m:rPr>
                <m:sty m:val="p"/>
              </m:rPr>
              <m:t>)</m:t>
            </m:r>
          </m:sup>
        </m:sSup>
      </m:oMath>
    </w:p>
    <w:p>
      <w:pPr>
        <w:pStyle w:val="FirstParagraph"/>
      </w:pPr>
      <w:r>
        <w:rPr>
          <w:rFonts w:hint="eastAsia"/>
        </w:rPr>
        <w:t xml:space="preserve">利用后一层</w:t>
      </w:r>
      <w:r>
        <w:t xml:space="preserve"> </w:t>
      </w:r>
      <m:oMath>
        <m:r>
          <m:t>l</m:t>
        </m:r>
        <m:r>
          <m:rPr>
            <m:sty m:val="p"/>
          </m:rPr>
          <m:t>+</m:t>
        </m:r>
        <m:r>
          <m:t>1</m:t>
        </m:r>
      </m:oMath>
      <w:r>
        <w:t xml:space="preserve"> </w:t>
      </w:r>
      <w:r>
        <w:rPr>
          <w:rFonts w:hint="eastAsia"/>
        </w:rPr>
        <w:t xml:space="preserve">的误差推导当前层</w:t>
      </w:r>
      <w:r>
        <w:t xml:space="preserve"> </w:t>
      </w:r>
      <m:oMath>
        <m:r>
          <m:t>l</m:t>
        </m:r>
      </m:oMath>
      <w:r>
        <w:t xml:space="preserve"> </w:t>
      </w:r>
      <w:r>
        <w:rPr>
          <w:rFonts w:hint="eastAsia"/>
        </w:rPr>
        <w:t xml:space="preserve">的误差：</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z</m:t>
                  </m:r>
                </m:e>
                <m:sub>
                  <m:r>
                    <m:t>j</m:t>
                  </m:r>
                </m:sub>
                <m:sup>
                  <m:r>
                    <m:rPr>
                      <m:sty m:val="p"/>
                    </m:rPr>
                    <m:t>(</m:t>
                  </m:r>
                  <m:r>
                    <m:t>l</m:t>
                  </m:r>
                  <m:r>
                    <m:rPr>
                      <m:sty m:val="p"/>
                    </m:rPr>
                    <m:t>)</m:t>
                  </m:r>
                </m:sup>
              </m:sSubSup>
            </m:den>
          </m:f>
          <m:r>
            <m:rPr>
              <m:sty m:val="p"/>
            </m:rPr>
            <m:t>=</m:t>
          </m:r>
          <m:nary>
            <m:naryPr>
              <m:chr m:val="∑"/>
              <m:limLoc m:val="undOvr"/>
              <m:subHide m:val="off"/>
              <m:supHide m:val="on"/>
            </m:naryPr>
            <m:sub>
              <m:r>
                <m:t>k</m:t>
              </m:r>
            </m:sub>
            <m:sup>
              <m:r>
                <m:t>​</m:t>
              </m:r>
            </m:sup>
            <m:e>
              <m:f>
                <m:fPr>
                  <m:type m:val="bar"/>
                </m:fPr>
                <m:num>
                  <m:r>
                    <m:rPr>
                      <m:sty m:val="p"/>
                    </m:rPr>
                    <m:t>∂</m:t>
                  </m:r>
                  <m:r>
                    <m:t>J</m:t>
                  </m:r>
                </m:num>
                <m:den>
                  <m:r>
                    <m:rPr>
                      <m:sty m:val="p"/>
                    </m:rPr>
                    <m:t>∂</m:t>
                  </m:r>
                  <m:sSubSup>
                    <m:e>
                      <m:r>
                        <m:t>z</m:t>
                      </m:r>
                    </m:e>
                    <m:sub>
                      <m:r>
                        <m:t>k</m:t>
                      </m:r>
                    </m:sub>
                    <m:sup>
                      <m:r>
                        <m:rPr>
                          <m:sty m:val="p"/>
                        </m:rPr>
                        <m:t>(</m:t>
                      </m:r>
                      <m:r>
                        <m:t>l</m:t>
                      </m:r>
                      <m:r>
                        <m:rPr>
                          <m:sty m:val="p"/>
                        </m:rPr>
                        <m:t>+</m:t>
                      </m:r>
                      <m:r>
                        <m:t>1</m:t>
                      </m:r>
                      <m:r>
                        <m:rPr>
                          <m:sty m:val="p"/>
                        </m:rPr>
                        <m:t>)</m:t>
                      </m:r>
                    </m:sup>
                  </m:sSubSup>
                </m:den>
              </m:f>
            </m:e>
          </m:nary>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r>
            <m:rPr>
              <m:sty m:val="p"/>
            </m:rPr>
            <m:t>=</m:t>
          </m:r>
          <m:nary>
            <m:naryPr>
              <m:chr m:val="∑"/>
              <m:limLoc m:val="undOvr"/>
              <m:subHide m:val="off"/>
              <m:supHide m:val="on"/>
            </m:naryPr>
            <m:sub>
              <m:r>
                <m:t>k</m:t>
              </m:r>
            </m:sub>
            <m:sup>
              <m:r>
                <m:t>​</m:t>
              </m:r>
            </m:sup>
            <m:e>
              <m:sSubSup>
                <m:e>
                  <m:r>
                    <m:t>δ</m:t>
                  </m:r>
                </m:e>
                <m:sub>
                  <m:r>
                    <m:t>k</m:t>
                  </m:r>
                </m:sub>
                <m:sup>
                  <m:r>
                    <m:rPr>
                      <m:sty m:val="p"/>
                    </m:rPr>
                    <m:t>(</m:t>
                  </m:r>
                  <m:r>
                    <m:t>l</m:t>
                  </m:r>
                  <m:r>
                    <m:rPr>
                      <m:sty m:val="p"/>
                    </m:rPr>
                    <m:t>+</m:t>
                  </m:r>
                  <m:r>
                    <m:t>1</m:t>
                  </m:r>
                  <m:r>
                    <m:rPr>
                      <m:sty m:val="p"/>
                    </m:rPr>
                    <m:t>)</m:t>
                  </m:r>
                </m:sup>
              </m:sSubSup>
            </m:e>
          </m:nary>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oMath>
      </m:oMathPara>
    </w:p>
    <w:p>
      <w:pPr>
        <w:pStyle w:val="FirstParagraph"/>
      </w:pPr>
      <w:r>
        <w:rPr>
          <w:rFonts w:hint="eastAsia"/>
        </w:rPr>
        <w:t xml:space="preserve">因为</w:t>
      </w:r>
      <w:r>
        <w:t xml:space="preserve"> </w:t>
      </w:r>
      <m:oMath>
        <m:sSubSup>
          <m:e>
            <m:r>
              <m:t>z</m:t>
            </m:r>
          </m:e>
          <m:sub>
            <m:r>
              <m:t>k</m:t>
            </m:r>
          </m:sub>
          <m:sup>
            <m:r>
              <m:rPr>
                <m:sty m:val="p"/>
              </m:rPr>
              <m:t>(</m:t>
            </m:r>
            <m:r>
              <m:t>l</m:t>
            </m:r>
            <m:r>
              <m:rPr>
                <m:sty m:val="p"/>
              </m:rPr>
              <m:t>+</m:t>
            </m:r>
            <m:r>
              <m:t>1</m:t>
            </m:r>
            <m:r>
              <m:rPr>
                <m:sty m:val="p"/>
              </m:rPr>
              <m:t>)</m:t>
            </m:r>
          </m:sup>
        </m:sSubSup>
        <m:r>
          <m:rPr>
            <m:sty m:val="p"/>
          </m:rPr>
          <m:t>=</m:t>
        </m:r>
        <m:nary>
          <m:naryPr>
            <m:chr m:val="∑"/>
            <m:limLoc m:val="undOvr"/>
            <m:subHide m:val="off"/>
            <m:supHide m:val="on"/>
          </m:naryPr>
          <m:sub>
            <m:r>
              <m:t>j</m:t>
            </m:r>
          </m:sub>
          <m:sup>
            <m:r>
              <m:t>​</m:t>
            </m:r>
          </m:sup>
          <m:e>
            <m:sSubSup>
              <m:e>
                <m:r>
                  <m:t>w</m:t>
                </m:r>
              </m:e>
              <m:sub>
                <m:r>
                  <m:t>k</m:t>
                </m:r>
                <m:r>
                  <m:t>j</m:t>
                </m:r>
              </m:sub>
              <m:sup>
                <m:r>
                  <m:rPr>
                    <m:sty m:val="p"/>
                  </m:rPr>
                  <m:t>(</m:t>
                </m:r>
                <m:r>
                  <m:t>l</m:t>
                </m:r>
                <m:r>
                  <m:rPr>
                    <m:sty m:val="p"/>
                  </m:rPr>
                  <m:t>+</m:t>
                </m:r>
                <m:r>
                  <m:t>1</m:t>
                </m:r>
                <m:r>
                  <m:rPr>
                    <m:sty m:val="p"/>
                  </m:rPr>
                  <m:t>)</m:t>
                </m:r>
              </m:sup>
            </m:sSubSup>
          </m:e>
        </m:nary>
        <m:r>
          <m:t>σ</m:t>
        </m:r>
        <m:r>
          <m:rPr>
            <m:sty m:val="p"/>
          </m:rPr>
          <m:t>(</m:t>
        </m:r>
        <m:sSubSup>
          <m:e>
            <m:r>
              <m:t>z</m:t>
            </m:r>
          </m:e>
          <m:sub>
            <m:r>
              <m:t>j</m:t>
            </m:r>
          </m:sub>
          <m:sup>
            <m:r>
              <m:rPr>
                <m:sty m:val="p"/>
              </m:rPr>
              <m:t>(</m:t>
            </m:r>
            <m:r>
              <m:t>l</m:t>
            </m:r>
            <m:r>
              <m:rPr>
                <m:sty m:val="p"/>
              </m:rPr>
              <m:t>)</m:t>
            </m:r>
          </m:sup>
        </m:sSubSup>
        <m:r>
          <m:rPr>
            <m:sty m:val="p"/>
          </m:rPr>
          <m:t>)</m:t>
        </m:r>
        <m:r>
          <m:rPr>
            <m:sty m:val="p"/>
          </m:rPr>
          <m:t>+</m:t>
        </m:r>
        <m:sSubSup>
          <m:e>
            <m:r>
              <m:t>b</m:t>
            </m:r>
          </m:e>
          <m:sub>
            <m:r>
              <m:t>k</m:t>
            </m:r>
          </m:sub>
          <m:sup>
            <m:r>
              <m:rPr>
                <m:sty m:val="p"/>
              </m:rPr>
              <m:t>(</m:t>
            </m:r>
            <m:r>
              <m:t>l</m:t>
            </m:r>
            <m:r>
              <m:rPr>
                <m:sty m:val="p"/>
              </m:rPr>
              <m:t>+</m:t>
            </m:r>
            <m:r>
              <m:t>1</m:t>
            </m:r>
            <m:r>
              <m:rPr>
                <m:sty m:val="p"/>
              </m:rPr>
              <m:t>)</m:t>
            </m:r>
          </m:sup>
        </m:sSubSup>
      </m:oMath>
      <w:r>
        <w:rPr>
          <w:rFonts w:hint="eastAsia"/>
        </w:rPr>
        <w:t xml:space="preserve">，所以：</w:t>
      </w:r>
    </w:p>
    <w:p>
      <w:pPr>
        <w:pStyle w:val="7"/>
      </w:pPr>
      <m:oMathPara>
        <m:oMathParaPr>
          <m:jc m:val="center"/>
        </m:oMathParaPr>
        <m:oMath>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r>
            <m:rPr>
              <m:sty m:val="p"/>
            </m:rPr>
            <m:t>=</m:t>
          </m:r>
          <m:sSubSup>
            <m:e>
              <m:r>
                <m:t>w</m:t>
              </m:r>
            </m:e>
            <m:sub>
              <m:r>
                <m:t>k</m:t>
              </m:r>
              <m:r>
                <m:t>j</m:t>
              </m:r>
            </m:sub>
            <m:sup>
              <m:r>
                <m:rPr>
                  <m:sty m:val="p"/>
                </m:rPr>
                <m:t>(</m:t>
              </m:r>
              <m:r>
                <m:t>l</m:t>
              </m:r>
              <m:r>
                <m:rPr>
                  <m:sty m:val="p"/>
                </m:rPr>
                <m:t>+</m:t>
              </m:r>
              <m:r>
                <m:t>1</m:t>
              </m:r>
              <m:r>
                <m:rPr>
                  <m:sty m:val="p"/>
                </m:rPr>
                <m:t>)</m:t>
              </m:r>
            </m:sup>
          </m:sSubSup>
          <m:sSup>
            <m:e>
              <m:r>
                <m:t>σ</m:t>
              </m:r>
            </m:e>
            <m:sup>
              <m:r>
                <m:rPr>
                  <m:sty m:val="p"/>
                </m:rPr>
                <m:t>′</m:t>
              </m:r>
            </m:sup>
          </m:sSup>
          <m:r>
            <m:rPr>
              <m:sty m:val="p"/>
            </m:rPr>
            <m:t>(</m:t>
          </m:r>
          <m:sSubSup>
            <m:e>
              <m:r>
                <m:t>z</m:t>
              </m:r>
            </m:e>
            <m:sub>
              <m:r>
                <m:t>j</m:t>
              </m:r>
            </m:sub>
            <m:sup>
              <m:r>
                <m:rPr>
                  <m:sty m:val="p"/>
                </m:rPr>
                <m:t>(</m:t>
              </m:r>
              <m:r>
                <m:t>l</m:t>
              </m:r>
              <m:r>
                <m:rPr>
                  <m:sty m:val="p"/>
                </m:rPr>
                <m:t>)</m:t>
              </m:r>
            </m:sup>
          </m:sSubSup>
          <m:r>
            <m:rPr>
              <m:sty m:val="p"/>
            </m:rPr>
            <m:t>)</m:t>
          </m:r>
        </m:oMath>
      </m:oMathPara>
    </w:p>
    <w:p>
      <w:pPr>
        <w:pStyle w:val="FirstParagraph"/>
      </w:pPr>
      <w:r>
        <w:rPr>
          <w:rFonts w:hint="eastAsia"/>
        </w:rPr>
        <w:t xml:space="preserve">代入后得到向量化公式：</w:t>
      </w:r>
    </w:p>
    <w:p>
      <w:pPr>
        <w:pStyle w:val="7"/>
      </w:pPr>
      <m:oMathPara>
        <m:oMathParaPr>
          <m:jc m:val="center"/>
        </m:oMathParaPr>
        <m:oMath>
          <m:sSup>
            <m:e>
              <m:r>
                <m:t>δ</m:t>
              </m:r>
            </m:e>
            <m:sup>
              <m:r>
                <m:rPr>
                  <m:sty m:val="p"/>
                </m:rPr>
                <m:t>(</m:t>
              </m:r>
              <m:r>
                <m:t>l</m:t>
              </m:r>
              <m:r>
                <m:rPr>
                  <m:sty m:val="p"/>
                </m:rPr>
                <m:t>)</m:t>
              </m:r>
            </m:sup>
          </m:sSup>
          <m:r>
            <m:rPr>
              <m:sty m:val="p"/>
            </m:rPr>
            <m:t>=</m:t>
          </m:r>
          <m:d>
            <m:dPr>
              <m:begChr m:val="("/>
              <m:sepChr m:val=""/>
              <m:endChr m:val=")"/>
              <m:grow/>
            </m:dPr>
            <m:e>
              <m:r>
                <m:rPr>
                  <m:sty m:val="p"/>
                </m:rPr>
                <m:t>(</m:t>
              </m:r>
              <m:sSup>
                <m:e>
                  <m:r>
                    <m:t>W</m:t>
                  </m:r>
                </m:e>
                <m:sup>
                  <m:r>
                    <m:rPr>
                      <m:sty m:val="p"/>
                    </m:rPr>
                    <m:t>(</m:t>
                  </m:r>
                  <m:r>
                    <m:t>l</m:t>
                  </m:r>
                  <m:r>
                    <m:rPr>
                      <m:sty m:val="p"/>
                    </m:rPr>
                    <m:t>+</m:t>
                  </m:r>
                  <m:r>
                    <m:t>1</m:t>
                  </m:r>
                  <m:r>
                    <m:rPr>
                      <m:sty m:val="p"/>
                    </m:rPr>
                    <m:t>)</m:t>
                  </m:r>
                </m:sup>
              </m:sSup>
              <m:sSup>
                <m:e>
                  <m:r>
                    <m:rPr>
                      <m:sty m:val="p"/>
                    </m:rPr>
                    <m:t>)</m:t>
                  </m:r>
                </m:e>
                <m:sup>
                  <m:r>
                    <m:t>T</m:t>
                  </m:r>
                </m:sup>
              </m:sSup>
              <m:sSup>
                <m:e>
                  <m:r>
                    <m:t>δ</m:t>
                  </m:r>
                </m:e>
                <m:sup>
                  <m:r>
                    <m:rPr>
                      <m:sty m:val="p"/>
                    </m:rPr>
                    <m:t>(</m:t>
                  </m:r>
                  <m:r>
                    <m:t>l</m:t>
                  </m:r>
                  <m:r>
                    <m:rPr>
                      <m:sty m:val="p"/>
                    </m:rPr>
                    <m:t>+</m:t>
                  </m:r>
                  <m:r>
                    <m:t>1</m:t>
                  </m:r>
                  <m:r>
                    <m:rPr>
                      <m:sty m:val="p"/>
                    </m:rPr>
                    <m:t>)</m:t>
                  </m:r>
                </m:sup>
              </m:sSup>
            </m:e>
          </m:d>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bookmarkEnd w:id="112"/>
    <w:bookmarkStart w:id="113" w:name="步骤-c-计算梯度-2"/>
    <w:p>
      <w:pPr>
        <w:pStyle w:val="5"/>
      </w:pPr>
      <w:r>
        <w:rPr>
          <w:rFonts w:hint="eastAsia"/>
        </w:rPr>
        <w:t xml:space="preserve">步骤</w:t>
      </w:r>
      <w:r>
        <w:t xml:space="preserve"> C: </w:t>
      </w:r>
      <w:r>
        <w:rPr>
          <w:rFonts w:hint="eastAsia"/>
        </w:rPr>
        <w:t xml:space="preserve">计算梯度</w:t>
      </w:r>
    </w:p>
    <w:p>
      <w:pPr>
        <w:pStyle w:val="FirstParagraph"/>
      </w:pPr>
      <w:r>
        <w:rPr>
          <w:rFonts w:hint="eastAsia"/>
        </w:rPr>
        <w:t xml:space="preserve">最后，我们可以得到参数的梯度：</w:t>
      </w:r>
    </w:p>
    <w:p>
      <w:pPr>
        <w:numPr>
          <w:ilvl w:val="0"/>
          <w:numId w:val="1036"/>
        </w:numPr>
      </w:pPr>
      <w:r>
        <w:rPr>
          <w:rFonts w:hint="eastAsia"/>
          <w:b/>
          <w:bCs/>
        </w:rPr>
        <w:t xml:space="preserve">权重的梯度</w:t>
      </w:r>
      <w:r>
        <w:rPr>
          <w:rFonts w:hint="eastAsia"/>
        </w:rPr>
        <w:t xml:space="preserve">：</w:t>
      </w:r>
    </w:p>
    <w:p>
      <w:pPr>
        <w:pStyle w:val="7"/>
      </w:pPr>
      <m:oMathPara>
        <m:oMathParaPr>
          <m:jc m:val="center"/>
        </m:oMathParaPr>
        <m:oMath>
          <m:f>
            <m:fPr>
              <m:type m:val="bar"/>
            </m:fPr>
            <m:num>
              <m:r>
                <m:rPr>
                  <m:sty m:val="p"/>
                </m:rPr>
                <m:t>∂</m:t>
              </m:r>
              <m:r>
                <m:t>J</m:t>
              </m:r>
            </m:num>
            <m:den>
              <m:r>
                <m:rPr>
                  <m:sty m:val="p"/>
                </m:rPr>
                <m:t>∂</m:t>
              </m:r>
              <m:sSubSup>
                <m:e>
                  <m:r>
                    <m:t>w</m:t>
                  </m:r>
                </m:e>
                <m:sub>
                  <m:r>
                    <m:t>j</m:t>
                  </m:r>
                  <m:r>
                    <m:t>k</m:t>
                  </m:r>
                </m:sub>
                <m:sup>
                  <m:r>
                    <m:rPr>
                      <m:sty m:val="p"/>
                    </m:rPr>
                    <m:t>(</m:t>
                  </m:r>
                  <m:r>
                    <m:t>l</m:t>
                  </m:r>
                  <m:r>
                    <m:rPr>
                      <m:sty m:val="p"/>
                    </m:rPr>
                    <m:t>)</m:t>
                  </m:r>
                </m:sup>
              </m:sSubSup>
            </m:den>
          </m:f>
          <m:r>
            <m:rPr>
              <m:sty m:val="p"/>
            </m:rPr>
            <m:t>=</m:t>
          </m:r>
          <m:sSubSup>
            <m:e>
              <m:r>
                <m:t>a</m:t>
              </m:r>
            </m:e>
            <m:sub>
              <m:r>
                <m:t>k</m:t>
              </m:r>
            </m:sub>
            <m:sup>
              <m:r>
                <m:rPr>
                  <m:sty m:val="p"/>
                </m:rPr>
                <m:t>(</m:t>
              </m:r>
              <m:r>
                <m:t>l</m:t>
              </m:r>
              <m:r>
                <m:rPr>
                  <m:sty m:val="p"/>
                </m:rPr>
                <m:t>−</m:t>
              </m:r>
              <m:r>
                <m:t>1</m:t>
              </m:r>
              <m:r>
                <m:rPr>
                  <m:sty m:val="p"/>
                </m:rPr>
                <m:t>)</m:t>
              </m:r>
            </m:sup>
          </m:sSubSup>
          <m:sSubSup>
            <m:e>
              <m:r>
                <m:t>δ</m:t>
              </m:r>
            </m:e>
            <m:sub>
              <m:r>
                <m:t>j</m:t>
              </m:r>
            </m:sub>
            <m:sup>
              <m:r>
                <m:rPr>
                  <m:sty m:val="p"/>
                </m:rPr>
                <m:t>(</m:t>
              </m:r>
              <m:r>
                <m:t>l</m:t>
              </m:r>
              <m:r>
                <m:rPr>
                  <m:sty m:val="p"/>
                </m:rPr>
                <m:t>)</m:t>
              </m:r>
            </m:sup>
          </m:sSubSup>
        </m:oMath>
      </m:oMathPara>
    </w:p>
    <w:p>
      <w:pPr>
        <w:numPr>
          <w:ilvl w:val="0"/>
          <w:numId w:val="1036"/>
        </w:numPr>
      </w:pPr>
      <w:r>
        <w:rPr>
          <w:rFonts w:hint="eastAsia"/>
          <w:b/>
          <w:bCs/>
        </w:rPr>
        <w:t xml:space="preserve">偏置的梯度</w:t>
      </w:r>
      <w:r>
        <w:rPr>
          <w:rFonts w:hint="eastAsia"/>
        </w:rPr>
        <w:t xml:space="preserve">：</w:t>
      </w:r>
    </w:p>
    <w:p>
      <w:pPr>
        <w:pStyle w:val="7"/>
      </w:pPr>
      <m:oMathPara>
        <m:oMathParaPr>
          <m:jc m:val="center"/>
        </m:oMathParaPr>
        <m:oMath>
          <m:f>
            <m:fPr>
              <m:type m:val="bar"/>
            </m:fPr>
            <m:num>
              <m:r>
                <m:rPr>
                  <m:sty m:val="p"/>
                </m:rPr>
                <m:t>∂</m:t>
              </m:r>
              <m:r>
                <m:t>J</m:t>
              </m:r>
            </m:num>
            <m:den>
              <m:r>
                <m:rPr>
                  <m:sty m:val="p"/>
                </m:rPr>
                <m:t>∂</m:t>
              </m:r>
              <m:sSubSup>
                <m:e>
                  <m:r>
                    <m:t>b</m:t>
                  </m:r>
                </m:e>
                <m:sub>
                  <m:r>
                    <m:t>j</m:t>
                  </m:r>
                </m:sub>
                <m:sup>
                  <m:r>
                    <m:rPr>
                      <m:sty m:val="p"/>
                    </m:rPr>
                    <m:t>(</m:t>
                  </m:r>
                  <m:r>
                    <m:t>l</m:t>
                  </m:r>
                  <m:r>
                    <m:rPr>
                      <m:sty m:val="p"/>
                    </m:rPr>
                    <m:t>)</m:t>
                  </m:r>
                </m:sup>
              </m:sSubSup>
            </m:den>
          </m:f>
          <m:r>
            <m:rPr>
              <m:sty m:val="p"/>
            </m:rPr>
            <m:t>=</m:t>
          </m:r>
          <m:sSubSup>
            <m:e>
              <m:r>
                <m:t>δ</m:t>
              </m:r>
            </m:e>
            <m:sub>
              <m:r>
                <m:t>j</m:t>
              </m:r>
            </m:sub>
            <m:sup>
              <m:r>
                <m:rPr>
                  <m:sty m:val="p"/>
                </m:rPr>
                <m:t>(</m:t>
              </m:r>
              <m:r>
                <m:t>l</m:t>
              </m:r>
              <m:r>
                <m:rPr>
                  <m:sty m:val="p"/>
                </m:rPr>
                <m:t>)</m:t>
              </m:r>
            </m:sup>
          </m:sSubSup>
        </m:oMath>
      </m:oMathPara>
    </w:p>
    <w:bookmarkEnd w:id="113"/>
    <w:bookmarkEnd w:id="114"/>
    <w:bookmarkStart w:id="115" w:name="总结-2"/>
    <w:p>
      <w:pPr>
        <w:pStyle w:val="4"/>
      </w:pPr>
      <w:r>
        <w:t xml:space="preserve">5. </w:t>
      </w:r>
      <w:r>
        <w:rPr>
          <w:rFonts w:hint="eastAsia"/>
        </w:rPr>
        <w:t xml:space="preserve">总结</w:t>
      </w:r>
    </w:p>
    <w:p>
      <w:pPr>
        <w:pStyle w:val="FirstParagraph"/>
      </w:pPr>
      <w:r>
        <w:rPr>
          <w:rFonts w:hint="eastAsia"/>
        </w:rPr>
        <w:t xml:space="preserve">反向传播的核心在于计算每一层的</w:t>
      </w:r>
      <w:r>
        <w:t xml:space="preserve"> </w:t>
      </w:r>
      <m:oMath>
        <m:sSup>
          <m:e>
            <m:r>
              <m:t>δ</m:t>
            </m:r>
          </m:e>
          <m:sup>
            <m:r>
              <m:rPr>
                <m:sty m:val="p"/>
              </m:rPr>
              <m:t>(</m:t>
            </m:r>
            <m:r>
              <m:t>l</m:t>
            </m:r>
            <m:r>
              <m:rPr>
                <m:sty m:val="p"/>
              </m:rPr>
              <m:t>)</m:t>
            </m:r>
          </m:sup>
        </m:sSup>
      </m:oMath>
      <w:r>
        <w:rPr>
          <w:rFonts w:hint="eastAsia"/>
        </w:rPr>
        <w:t xml:space="preserve">：</w:t>
      </w:r>
    </w:p>
    <w:p>
      <w:pPr>
        <w:pStyle w:val="7"/>
      </w:pPr>
      <m:oMathPara>
        <m:oMathParaPr>
          <m:jc m:val="center"/>
        </m:oMathParaPr>
        <m:oMath>
          <m:sSub>
            <m:e>
              <m:r>
                <m:rPr>
                  <m:sty m:val="p"/>
                </m:rPr>
                <m:t>∇</m:t>
              </m:r>
            </m:e>
            <m:sub>
              <m:sSup>
                <m:e>
                  <m:r>
                    <m:t>b</m:t>
                  </m:r>
                </m:e>
                <m:sup>
                  <m:r>
                    <m:rPr>
                      <m:sty m:val="p"/>
                    </m:rPr>
                    <m:t>(</m:t>
                  </m:r>
                  <m:r>
                    <m:t>l</m:t>
                  </m:r>
                  <m:r>
                    <m:rPr>
                      <m:sty m:val="p"/>
                    </m:rPr>
                    <m:t>)</m:t>
                  </m:r>
                </m:sup>
              </m:sSup>
            </m:sub>
          </m:sSub>
          <m:r>
            <m:t>J</m:t>
          </m:r>
          <m:r>
            <m:rPr>
              <m:sty m:val="p"/>
            </m:rPr>
            <m:t>=</m:t>
          </m:r>
          <m:sSup>
            <m:e>
              <m:r>
                <m:t>δ</m:t>
              </m:r>
            </m:e>
            <m:sup>
              <m:r>
                <m:rPr>
                  <m:sty m:val="p"/>
                </m:rPr>
                <m:t>(</m:t>
              </m:r>
              <m:r>
                <m:t>l</m:t>
              </m:r>
              <m:r>
                <m:rPr>
                  <m:sty m:val="p"/>
                </m:rPr>
                <m:t>)</m:t>
              </m:r>
            </m:sup>
          </m:sSup>
          <m:r>
            <m:t>反</m:t>
          </m:r>
          <m:r>
            <m:t>向</m:t>
          </m:r>
          <m:r>
            <m:t>传</m:t>
          </m:r>
          <m:r>
            <m:t>播</m:t>
          </m:r>
          <m:r>
            <m:t>的</m:t>
          </m:r>
          <m:r>
            <m:t>核</m:t>
          </m:r>
          <m:r>
            <m:t>心</m:t>
          </m:r>
          <m:r>
            <m:t>在</m:t>
          </m:r>
          <m:r>
            <m:t>于</m:t>
          </m:r>
          <m:r>
            <m:t>计</m:t>
          </m:r>
          <m:r>
            <m:t>算</m:t>
          </m:r>
          <m:r>
            <m:t>每</m:t>
          </m:r>
          <m:r>
            <m:t>一</m:t>
          </m:r>
          <m:r>
            <m:t>层</m:t>
          </m:r>
          <m:r>
            <m:t>的</m:t>
          </m:r>
        </m:oMath>
      </m:oMathPara>
    </w:p>
    <w:p>
      <w:pPr>
        <w:pStyle w:val="FirstParagraph"/>
      </w:pPr>
      <m:oMathPara>
        <m:oMathParaPr>
          <m:jc m:val="center"/>
        </m:oMathParaPr>
        <m:oMath>
          <m:sSub>
            <m:e>
              <m:r>
                <m:rPr>
                  <m:sty m:val="p"/>
                </m:rPr>
                <m:t>∇</m:t>
              </m:r>
            </m:e>
            <m:sub>
              <m:sSup>
                <m:e>
                  <m:r>
                    <m:t>W</m:t>
                  </m:r>
                </m:e>
                <m:sup>
                  <m:r>
                    <m:rPr>
                      <m:sty m:val="p"/>
                    </m:rPr>
                    <m:t>(</m:t>
                  </m:r>
                  <m:r>
                    <m:t>l</m:t>
                  </m:r>
                  <m:r>
                    <m:rPr>
                      <m:sty m:val="p"/>
                    </m:rPr>
                    <m:t>)</m:t>
                  </m:r>
                </m:sup>
              </m:sSup>
            </m:sub>
          </m:sSub>
          <m:r>
            <m:t>J</m:t>
          </m:r>
          <m:r>
            <m:rPr>
              <m:sty m:val="p"/>
            </m:rPr>
            <m:t>=</m:t>
          </m:r>
          <m:sSup>
            <m:e>
              <m:r>
                <m:t>δ</m:t>
              </m:r>
            </m:e>
            <m:sup>
              <m:r>
                <m:rPr>
                  <m:sty m:val="p"/>
                </m:rPr>
                <m:t>(</m:t>
              </m:r>
              <m:r>
                <m:t>l</m:t>
              </m:r>
              <m:r>
                <m:rPr>
                  <m:sty m:val="p"/>
                </m:rPr>
                <m:t>)</m:t>
              </m:r>
            </m:sup>
          </m:sSup>
          <m:r>
            <m:rPr>
              <m:sty m:val="p"/>
            </m:rPr>
            <m:t>(</m:t>
          </m:r>
          <m:sSup>
            <m:e>
              <m:r>
                <m:t>a</m:t>
              </m:r>
            </m:e>
            <m:sup>
              <m:r>
                <m:rPr>
                  <m:sty m:val="p"/>
                </m:rPr>
                <m:t>(</m:t>
              </m:r>
              <m:r>
                <m:t>l</m:t>
              </m:r>
              <m:r>
                <m:rPr>
                  <m:sty m:val="p"/>
                </m:rPr>
                <m:t>−</m:t>
              </m:r>
              <m:r>
                <m:t>1</m:t>
              </m:r>
              <m:r>
                <m:rPr>
                  <m:sty m:val="p"/>
                </m:rPr>
                <m:t>)</m:t>
              </m:r>
            </m:sup>
          </m:sSup>
          <m:sSup>
            <m:e>
              <m:r>
                <m:rPr>
                  <m:sty m:val="p"/>
                </m:rPr>
                <m:t>)</m:t>
              </m:r>
            </m:e>
            <m:sup>
              <m:r>
                <m:t>T</m:t>
              </m:r>
            </m:sup>
          </m:sSup>
        </m:oMath>
      </m:oMathPara>
    </w:p>
    <w:p>
      <w:pPr>
        <w:pStyle w:val="FirstParagraph"/>
      </w:pPr>
      <m:oMath>
        <m:f>
          <m:fPr>
            <m:type m:val="bar"/>
          </m:fPr>
          <m:num>
            <m:sSub>
              <m:e>
                <m:r>
                  <m:t>d</m:t>
                </m:r>
              </m:e>
              <m:sub>
                <m:r>
                  <m:t>y</m:t>
                </m:r>
              </m:sub>
            </m:sSub>
          </m:num>
          <m:den>
            <m:sSub>
              <m:e>
                <m:r>
                  <m:t>d</m:t>
                </m:r>
              </m:e>
              <m:sub>
                <m:r>
                  <m:t>x</m:t>
                </m:r>
              </m:sub>
            </m:sSub>
          </m:den>
        </m:f>
      </m:oMath>
    </w:p>
    <w:p>
      <w:pPr>
        <w:pStyle w:val="7"/>
      </w:pPr>
      <w:r>
        <w:rPr>
          <w:rFonts w:hint="eastAsia"/>
        </w:rPr>
        <w:t xml:space="preserve">我们定义一个多层感知机（MLP），其中</w:t>
      </w:r>
      <w:r>
        <w:t xml:space="preserve"> </w:t>
      </w:r>
      <m:oMath>
        <m:r>
          <m:t>L</m:t>
        </m:r>
      </m:oMath>
      <w:r>
        <w:t xml:space="preserve"> </w:t>
      </w:r>
      <w:r>
        <w:rPr>
          <w:rFonts w:hint="eastAsia"/>
        </w:rPr>
        <w:t xml:space="preserve">表示总层数，</w:t>
      </w:r>
      <m:oMath>
        <m:r>
          <m:t>l</m:t>
        </m:r>
      </m:oMath>
      <w:r>
        <w:t xml:space="preserve"> </w:t>
      </w:r>
      <w:r>
        <w:rPr>
          <w:rFonts w:hint="eastAsia"/>
        </w:rPr>
        <w:t xml:space="preserve">表示当前层。</w:t>
      </w:r>
    </w:p>
    <w:bookmarkEnd w:id="115"/>
    <w:bookmarkStart w:id="116" w:name="符号定义-3"/>
    <w:p>
      <w:pPr>
        <w:pStyle w:val="4"/>
      </w:pPr>
      <w:r>
        <w:t xml:space="preserve">1. </w:t>
      </w:r>
      <w:r>
        <w:rPr>
          <w:rFonts w:hint="eastAsia"/>
        </w:rPr>
        <w:t xml:space="preserve">符号定义</w:t>
      </w:r>
    </w:p>
    <w:p>
      <w:pPr>
        <w:pStyle w:val="Compact"/>
        <w:numPr>
          <w:ilvl w:val="0"/>
          <w:numId w:val="1037"/>
        </w:numPr>
      </w:pPr>
      <m:oMath>
        <m:sSubSup>
          <m:e>
            <m:r>
              <m:t>w</m:t>
            </m:r>
          </m:e>
          <m:sub>
            <m:r>
              <m:t>j</m:t>
            </m:r>
            <m:r>
              <m:t>k</m:t>
            </m:r>
          </m:sub>
          <m:sup>
            <m:r>
              <m:rPr>
                <m:sty m:val="p"/>
              </m:rPr>
              <m:t>(</m:t>
            </m:r>
            <m:r>
              <m:t>l</m:t>
            </m:r>
            <m:r>
              <m:rPr>
                <m:sty m:val="p"/>
              </m:rPr>
              <m:t>)</m:t>
            </m:r>
          </m:sup>
        </m:sSubSup>
      </m:oMath>
      <w:r>
        <w:rPr>
          <w:rFonts w:hint="eastAsia"/>
        </w:rPr>
        <w:t xml:space="preserve">：从第</w:t>
      </w:r>
      <w:r>
        <w:t xml:space="preserve"> </w:t>
      </w:r>
      <m:oMath>
        <m:r>
          <m:t>l</m:t>
        </m:r>
        <m:r>
          <m:rPr>
            <m:sty m:val="p"/>
          </m:rPr>
          <m:t>−</m:t>
        </m:r>
        <m:r>
          <m:t>1</m:t>
        </m:r>
      </m:oMath>
      <w:r>
        <w:t xml:space="preserve"> </w:t>
      </w:r>
      <w:r>
        <w:rPr>
          <w:rFonts w:hint="eastAsia"/>
        </w:rPr>
        <w:t xml:space="preserve">层的第</w:t>
      </w:r>
      <w:r>
        <w:t xml:space="preserve"> </w:t>
      </w:r>
      <m:oMath>
        <m:r>
          <m:t>k</m:t>
        </m:r>
      </m:oMath>
      <w:r>
        <w:t xml:space="preserve"> </w:t>
      </w:r>
      <w:r>
        <w:rPr>
          <w:rFonts w:hint="eastAsia"/>
        </w:rPr>
        <w:t xml:space="preserve">个神经元到第</w:t>
      </w:r>
      <w:r>
        <w:t xml:space="preserve"> </w:t>
      </w:r>
      <m:oMath>
        <m:r>
          <m:t>l</m:t>
        </m:r>
      </m:oMath>
      <w:r>
        <w:t xml:space="preserve"> </w:t>
      </w:r>
      <w:r>
        <w:rPr>
          <w:rFonts w:hint="eastAsia"/>
        </w:rPr>
        <w:t xml:space="preserve">层的第</w:t>
      </w:r>
      <w:r>
        <w:t xml:space="preserve"> </w:t>
      </w:r>
      <m:oMath>
        <m:r>
          <m:t>j</m:t>
        </m:r>
      </m:oMath>
      <w:r>
        <w:t xml:space="preserve"> </w:t>
      </w:r>
      <w:r>
        <w:rPr>
          <w:rFonts w:hint="eastAsia"/>
        </w:rPr>
        <w:t xml:space="preserve">个神经元的权重。</w:t>
      </w:r>
    </w:p>
    <w:p>
      <w:pPr>
        <w:pStyle w:val="Compact"/>
        <w:numPr>
          <w:ilvl w:val="0"/>
          <w:numId w:val="1037"/>
        </w:numPr>
      </w:pPr>
      <m:oMath>
        <m:sSubSup>
          <m:e>
            <m:r>
              <m:t>b</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个神经元的偏置。</w:t>
      </w:r>
    </w:p>
    <w:p>
      <w:pPr>
        <w:pStyle w:val="Compact"/>
        <w:numPr>
          <w:ilvl w:val="0"/>
          <w:numId w:val="1037"/>
        </w:numPr>
      </w:pPr>
      <m:oMath>
        <m:sSubSup>
          <m:e>
            <m:r>
              <m:t>z</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个神经元的加权输入。</w:t>
      </w:r>
    </w:p>
    <w:p>
      <w:pPr>
        <w:pStyle w:val="Compact"/>
        <w:numPr>
          <w:ilvl w:val="0"/>
          <w:numId w:val="1037"/>
        </w:numPr>
      </w:pPr>
      <m:oMath>
        <m:sSubSup>
          <m:e>
            <m:r>
              <m:t>a</m:t>
            </m:r>
          </m:e>
          <m:sub>
            <m:r>
              <m:t>j</m:t>
            </m:r>
          </m:sub>
          <m:sup>
            <m:r>
              <m:rPr>
                <m:sty m:val="p"/>
              </m:rPr>
              <m:t>(</m:t>
            </m:r>
            <m:r>
              <m:t>l</m:t>
            </m:r>
            <m:r>
              <m:rPr>
                <m:sty m:val="p"/>
              </m:rPr>
              <m:t>)</m:t>
            </m:r>
          </m:sup>
        </m:sSubSup>
      </m:oMath>
      <w:r>
        <w:rPr>
          <w:rFonts w:hint="eastAsia"/>
        </w:rPr>
        <w:t xml:space="preserve">：第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个神经元的激活输出，其中</w:t>
      </w:r>
      <w:r>
        <w:t xml:space="preserve"> </w:t>
      </w:r>
      <m:oMath>
        <m:sSubSup>
          <m:e>
            <m:r>
              <m:t>a</m:t>
            </m:r>
          </m:e>
          <m:sub>
            <m:r>
              <m:t>j</m:t>
            </m:r>
          </m:sub>
          <m:sup>
            <m:r>
              <m:rPr>
                <m:sty m:val="p"/>
              </m:rPr>
              <m:t>(</m:t>
            </m:r>
            <m:r>
              <m:t>l</m:t>
            </m:r>
            <m:r>
              <m:rPr>
                <m:sty m:val="p"/>
              </m:rPr>
              <m:t>)</m:t>
            </m:r>
          </m:sup>
        </m:sSubSup>
        <m:r>
          <m:rPr>
            <m:sty m:val="p"/>
          </m:rPr>
          <m:t>=</m:t>
        </m:r>
        <m:r>
          <m:t>σ</m:t>
        </m:r>
        <m:r>
          <m:rPr>
            <m:sty m:val="p"/>
          </m:rPr>
          <m:t>(</m:t>
        </m:r>
        <m:sSubSup>
          <m:e>
            <m:r>
              <m:t>z</m:t>
            </m:r>
          </m:e>
          <m:sub>
            <m:r>
              <m:t>j</m:t>
            </m:r>
          </m:sub>
          <m:sup>
            <m:r>
              <m:rPr>
                <m:sty m:val="p"/>
              </m:rPr>
              <m:t>(</m:t>
            </m:r>
            <m:r>
              <m:t>l</m:t>
            </m:r>
            <m:r>
              <m:rPr>
                <m:sty m:val="p"/>
              </m:rPr>
              <m:t>)</m:t>
            </m:r>
          </m:sup>
        </m:sSubSup>
        <m:r>
          <m:rPr>
            <m:sty m:val="p"/>
          </m:rPr>
          <m:t>)</m:t>
        </m:r>
      </m:oMath>
      <w:r>
        <w:t xml:space="preserve">。</w:t>
      </w:r>
    </w:p>
    <w:bookmarkEnd w:id="116"/>
    <w:bookmarkStart w:id="117" w:name="前向传播-forward-propagation-3"/>
    <w:p>
      <w:pPr>
        <w:pStyle w:val="4"/>
      </w:pPr>
      <w:r>
        <w:t xml:space="preserve">2. </w:t>
      </w:r>
      <w:r>
        <w:rPr>
          <w:rFonts w:hint="eastAsia"/>
        </w:rPr>
        <w:t xml:space="preserve">前向传播</w:t>
      </w:r>
      <w:r>
        <w:t xml:space="preserve"> (Forward Propagation)</w:t>
      </w:r>
    </w:p>
    <w:p>
      <w:pPr>
        <w:pStyle w:val="FirstParagraph"/>
      </w:pPr>
      <w:r>
        <w:rPr>
          <w:rFonts w:hint="eastAsia"/>
        </w:rPr>
        <w:t xml:space="preserve">对于第</w:t>
      </w:r>
      <w:r>
        <w:t xml:space="preserve"> </w:t>
      </w:r>
      <m:oMath>
        <m:r>
          <m:t>l</m:t>
        </m:r>
      </m:oMath>
      <w:r>
        <w:t xml:space="preserve"> </w:t>
      </w:r>
      <w:r>
        <w:rPr>
          <w:rFonts w:hint="eastAsia"/>
        </w:rPr>
        <w:t xml:space="preserve">层的第</w:t>
      </w:r>
      <w:r>
        <w:t xml:space="preserve"> </w:t>
      </w:r>
      <m:oMath>
        <m:r>
          <m:t>j</m:t>
        </m:r>
      </m:oMath>
      <w:r>
        <w:t xml:space="preserve"> </w:t>
      </w:r>
      <w:r>
        <w:rPr>
          <w:rFonts w:hint="eastAsia"/>
        </w:rPr>
        <w:t xml:space="preserve">个神经元，其聚合输入为：</w:t>
      </w:r>
    </w:p>
    <w:p>
      <w:pPr>
        <w:pStyle w:val="7"/>
      </w:pPr>
      <m:oMathPara>
        <m:oMathParaPr>
          <m:jc m:val="center"/>
        </m:oMathParaPr>
        <m:oMath>
          <m:sSubSup>
            <m:e>
              <m:r>
                <m:t>z</m:t>
              </m:r>
            </m:e>
            <m:sub>
              <m:r>
                <m:t>j</m:t>
              </m:r>
            </m:sub>
            <m:sup>
              <m:r>
                <m:rPr>
                  <m:sty m:val="p"/>
                </m:rPr>
                <m:t>(</m:t>
              </m:r>
              <m:r>
                <m:t>l</m:t>
              </m:r>
              <m:r>
                <m:rPr>
                  <m:sty m:val="p"/>
                </m:rPr>
                <m:t>)</m:t>
              </m:r>
            </m:sup>
          </m:sSubSup>
          <m:r>
            <m:rPr>
              <m:sty m:val="p"/>
            </m:rPr>
            <m:t>=</m:t>
          </m:r>
          <m:nary>
            <m:naryPr>
              <m:chr m:val="∑"/>
              <m:limLoc m:val="undOvr"/>
              <m:subHide m:val="off"/>
              <m:supHide m:val="on"/>
            </m:naryPr>
            <m:sub>
              <m:r>
                <m:t>k</m:t>
              </m:r>
            </m:sub>
            <m:sup>
              <m:r>
                <m:t>​</m:t>
              </m:r>
            </m:sup>
            <m:e>
              <m:sSubSup>
                <m:e>
                  <m:r>
                    <m:t>w</m:t>
                  </m:r>
                </m:e>
                <m:sub>
                  <m:r>
                    <m:t>j</m:t>
                  </m:r>
                  <m:r>
                    <m:t>k</m:t>
                  </m:r>
                </m:sub>
                <m:sup>
                  <m:r>
                    <m:rPr>
                      <m:sty m:val="p"/>
                    </m:rPr>
                    <m:t>(</m:t>
                  </m:r>
                  <m:r>
                    <m:t>l</m:t>
                  </m:r>
                  <m:r>
                    <m:rPr>
                      <m:sty m:val="p"/>
                    </m:rPr>
                    <m:t>)</m:t>
                  </m:r>
                </m:sup>
              </m:sSubSup>
            </m:e>
          </m:nary>
          <m:sSubSup>
            <m:e>
              <m:r>
                <m:t>a</m:t>
              </m:r>
            </m:e>
            <m:sub>
              <m:r>
                <m:t>k</m:t>
              </m:r>
            </m:sub>
            <m:sup>
              <m:r>
                <m:rPr>
                  <m:sty m:val="p"/>
                </m:rPr>
                <m:t>(</m:t>
              </m:r>
              <m:r>
                <m:t>l</m:t>
              </m:r>
              <m:r>
                <m:rPr>
                  <m:sty m:val="p"/>
                </m:rPr>
                <m:t>−</m:t>
              </m:r>
              <m:r>
                <m:t>1</m:t>
              </m:r>
              <m:r>
                <m:rPr>
                  <m:sty m:val="p"/>
                </m:rPr>
                <m:t>)</m:t>
              </m:r>
            </m:sup>
          </m:sSubSup>
          <m:r>
            <m:rPr>
              <m:sty m:val="p"/>
            </m:rPr>
            <m:t>+</m:t>
          </m:r>
          <m:sSubSup>
            <m:e>
              <m:r>
                <m:t>b</m:t>
              </m:r>
            </m:e>
            <m:sub>
              <m:r>
                <m:t>j</m:t>
              </m:r>
            </m:sub>
            <m:sup>
              <m:r>
                <m:rPr>
                  <m:sty m:val="p"/>
                </m:rPr>
                <m:t>(</m:t>
              </m:r>
              <m:r>
                <m:t>l</m:t>
              </m:r>
              <m:r>
                <m:rPr>
                  <m:sty m:val="p"/>
                </m:rPr>
                <m:t>)</m:t>
              </m:r>
            </m:sup>
          </m:sSubSup>
        </m:oMath>
      </m:oMathPara>
    </w:p>
    <w:p>
      <w:pPr>
        <w:pStyle w:val="FirstParagraph"/>
      </w:pPr>
      <w:r>
        <w:rPr>
          <w:rFonts w:hint="eastAsia"/>
        </w:rPr>
        <w:t xml:space="preserve">向量化形式为：</w:t>
      </w:r>
    </w:p>
    <w:p>
      <w:pPr>
        <w:pStyle w:val="7"/>
      </w:pPr>
      <m:oMathPara>
        <m:oMathParaPr>
          <m:jc m:val="center"/>
        </m:oMathParaPr>
        <m:oMath>
          <m:sSup>
            <m:e>
              <m:r>
                <m:t>z</m:t>
              </m:r>
            </m:e>
            <m:sup>
              <m:r>
                <m:rPr>
                  <m:sty m:val="p"/>
                </m:rPr>
                <m:t>(</m:t>
              </m:r>
              <m:r>
                <m:t>l</m:t>
              </m:r>
              <m:r>
                <m:rPr>
                  <m:sty m:val="p"/>
                </m:rPr>
                <m:t>)</m:t>
              </m:r>
            </m:sup>
          </m:sSup>
          <m:r>
            <m:rPr>
              <m:sty m:val="p"/>
            </m:rPr>
            <m:t>=</m:t>
          </m:r>
          <m:sSup>
            <m:e>
              <m:r>
                <m:t>W</m:t>
              </m:r>
            </m:e>
            <m:sup>
              <m:r>
                <m:rPr>
                  <m:sty m:val="p"/>
                </m:rPr>
                <m:t>(</m:t>
              </m:r>
              <m:r>
                <m:t>l</m:t>
              </m:r>
              <m:r>
                <m:rPr>
                  <m:sty m:val="p"/>
                </m:rPr>
                <m:t>)</m:t>
              </m:r>
            </m:sup>
          </m:sSup>
          <m:sSup>
            <m:e>
              <m:r>
                <m:t>a</m:t>
              </m:r>
            </m:e>
            <m:sup>
              <m:r>
                <m:rPr>
                  <m:sty m:val="p"/>
                </m:rPr>
                <m:t>(</m:t>
              </m:r>
              <m:r>
                <m:t>l</m:t>
              </m:r>
              <m:r>
                <m:rPr>
                  <m:sty m:val="p"/>
                </m:rPr>
                <m:t>−</m:t>
              </m:r>
              <m:r>
                <m:t>1</m:t>
              </m:r>
              <m:r>
                <m:rPr>
                  <m:sty m:val="p"/>
                </m:rPr>
                <m:t>)</m:t>
              </m:r>
            </m:sup>
          </m:sSup>
          <m:r>
            <m:rPr>
              <m:sty m:val="p"/>
            </m:rPr>
            <m:t>+</m:t>
          </m:r>
          <m:sSup>
            <m:e>
              <m:r>
                <m:t>b</m:t>
              </m:r>
            </m:e>
            <m:sup>
              <m:r>
                <m:rPr>
                  <m:sty m:val="p"/>
                </m:rPr>
                <m:t>(</m:t>
              </m:r>
              <m:r>
                <m:t>l</m:t>
              </m:r>
              <m:r>
                <m:rPr>
                  <m:sty m:val="p"/>
                </m:rPr>
                <m:t>)</m:t>
              </m:r>
            </m:sup>
          </m:sSup>
        </m:oMath>
      </m:oMathPara>
    </w:p>
    <w:p>
      <w:pPr>
        <w:pStyle w:val="FirstParagraph"/>
      </w:pPr>
      <m:oMathPara>
        <m:oMathParaPr>
          <m:jc m:val="center"/>
        </m:oMathParaPr>
        <m:oMath>
          <m:sSup>
            <m:e>
              <m:r>
                <m:t>a</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m:oMathPara>
    </w:p>
    <w:bookmarkEnd w:id="117"/>
    <w:bookmarkStart w:id="118" w:name="代价函数-cost-function-3"/>
    <w:p>
      <w:pPr>
        <w:pStyle w:val="4"/>
      </w:pPr>
      <w:r>
        <w:t xml:space="preserve">3. </w:t>
      </w:r>
      <w:r>
        <w:rPr>
          <w:rFonts w:hint="eastAsia"/>
        </w:rPr>
        <w:t xml:space="preserve">代价函数</w:t>
      </w:r>
      <w:r>
        <w:t xml:space="preserve"> (Cost Function)</w:t>
      </w:r>
    </w:p>
    <w:p>
      <w:pPr>
        <w:pStyle w:val="FirstParagraph"/>
      </w:pPr>
      <w:r>
        <w:rPr>
          <w:rFonts w:hint="eastAsia"/>
        </w:rPr>
        <w:t xml:space="preserve">假设使用二次代价函数（MSE），对于单个训练样本</w:t>
      </w:r>
      <w:r>
        <w:t xml:space="preserve"> </w:t>
      </w:r>
      <m:oMath>
        <m:r>
          <m:t>x</m:t>
        </m:r>
      </m:oMath>
      <w:r>
        <w:rPr>
          <w:rFonts w:hint="eastAsia"/>
        </w:rPr>
        <w:t xml:space="preserve">，其代价为：</w:t>
      </w:r>
    </w:p>
    <w:p>
      <w:pPr>
        <w:pStyle w:val="7"/>
      </w:pPr>
      <m:oMathPara>
        <m:oMathParaPr>
          <m:jc m:val="center"/>
        </m:oMathParaPr>
        <m:oMath>
          <m:r>
            <m:t>J</m:t>
          </m:r>
          <m:r>
            <m:rPr>
              <m:sty m:val="p"/>
            </m:rPr>
            <m:t>=</m:t>
          </m:r>
          <m:f>
            <m:fPr>
              <m:type m:val="bar"/>
            </m:fPr>
            <m:num>
              <m:r>
                <m:t>1</m:t>
              </m:r>
            </m:num>
            <m:den>
              <m:r>
                <m:t>2</m:t>
              </m:r>
            </m:den>
          </m:f>
          <m:r>
            <m:rPr>
              <m:sty m:val="p"/>
            </m:rPr>
            <m:t>∥</m:t>
          </m:r>
          <m:r>
            <m:t>y</m:t>
          </m:r>
          <m:r>
            <m:rPr>
              <m:sty m:val="p"/>
            </m:rPr>
            <m:t>−</m:t>
          </m:r>
          <m:sSup>
            <m:e>
              <m:r>
                <m:t>a</m:t>
              </m:r>
            </m:e>
            <m:sup>
              <m:r>
                <m:rPr>
                  <m:sty m:val="p"/>
                </m:rPr>
                <m:t>(</m:t>
              </m:r>
              <m:r>
                <m:t>L</m:t>
              </m:r>
              <m:r>
                <m:rPr>
                  <m:sty m:val="p"/>
                </m:rPr>
                <m:t>)</m:t>
              </m:r>
            </m:sup>
          </m:sSup>
          <m:sSup>
            <m:e>
              <m:r>
                <m:rPr>
                  <m:sty m:val="p"/>
                </m:rPr>
                <m:t>∥</m:t>
              </m:r>
            </m:e>
            <m:sup>
              <m:r>
                <m:t>2</m:t>
              </m:r>
            </m:sup>
          </m:sSup>
          <m:r>
            <m:rPr>
              <m:sty m:val="p"/>
            </m:rPr>
            <m:t>=</m:t>
          </m:r>
          <m:f>
            <m:fPr>
              <m:type m:val="bar"/>
            </m:fPr>
            <m:num>
              <m:r>
                <m:t>1</m:t>
              </m:r>
            </m:num>
            <m:den>
              <m:r>
                <m:t>2</m:t>
              </m:r>
            </m:den>
          </m:f>
          <m:nary>
            <m:naryPr>
              <m:chr m:val="∑"/>
              <m:limLoc m:val="undOvr"/>
              <m:subHide m:val="off"/>
              <m:supHide m:val="on"/>
            </m:naryPr>
            <m:sub>
              <m:r>
                <m:t>j</m:t>
              </m:r>
            </m:sub>
            <m:sup>
              <m:r>
                <m:t>​</m:t>
              </m:r>
            </m:sup>
            <m:e>
              <m:r>
                <m:rPr>
                  <m:sty m:val="p"/>
                </m:rPr>
                <m:t>(</m:t>
              </m:r>
            </m:e>
          </m:nary>
          <m:sSub>
            <m:e>
              <m:r>
                <m:t>y</m:t>
              </m:r>
            </m:e>
            <m:sub>
              <m:r>
                <m:t>j</m:t>
              </m:r>
            </m:sub>
          </m:sSub>
          <m:r>
            <m:rPr>
              <m:sty m:val="p"/>
            </m:rPr>
            <m:t>−</m:t>
          </m:r>
          <m:sSubSup>
            <m:e>
              <m:r>
                <m:t>a</m:t>
              </m:r>
            </m:e>
            <m:sub>
              <m:r>
                <m:t>j</m:t>
              </m:r>
            </m:sub>
            <m:sup>
              <m:r>
                <m:rPr>
                  <m:sty m:val="p"/>
                </m:rPr>
                <m:t>(</m:t>
              </m:r>
              <m:r>
                <m:t>L</m:t>
              </m:r>
              <m:r>
                <m:rPr>
                  <m:sty m:val="p"/>
                </m:rPr>
                <m:t>)</m:t>
              </m:r>
            </m:sup>
          </m:sSubSup>
          <m:sSup>
            <m:e>
              <m:r>
                <m:rPr>
                  <m:sty m:val="p"/>
                </m:rPr>
                <m:t>)</m:t>
              </m:r>
            </m:e>
            <m:sup>
              <m:r>
                <m:t>2</m:t>
              </m:r>
            </m:sup>
          </m:sSup>
        </m:oMath>
      </m:oMathPara>
    </w:p>
    <w:bookmarkEnd w:id="118"/>
    <w:bookmarkStart w:id="122" w:name="反向传播推导-backward-pass-3"/>
    <w:p>
      <w:pPr>
        <w:pStyle w:val="4"/>
      </w:pPr>
      <w:r>
        <w:t xml:space="preserve">4. </w:t>
      </w:r>
      <w:r>
        <w:rPr>
          <w:rFonts w:hint="eastAsia"/>
        </w:rPr>
        <w:t xml:space="preserve">反向传播推导</w:t>
      </w:r>
      <w:r>
        <w:t xml:space="preserve"> (Backward Pass)</w:t>
      </w:r>
    </w:p>
    <w:p>
      <w:pPr>
        <w:pStyle w:val="FirstParagraph"/>
      </w:pPr>
      <w:r>
        <w:rPr>
          <w:rFonts w:hint="eastAsia"/>
        </w:rPr>
        <w:t xml:space="preserve">我们的目标是计算代价函数</w:t>
      </w:r>
      <w:r>
        <w:t xml:space="preserve"> </w:t>
      </w:r>
      <m:oMath>
        <m:r>
          <m:t>J</m:t>
        </m:r>
      </m:oMath>
      <w:r>
        <w:t xml:space="preserve"> </w:t>
      </w:r>
      <w:r>
        <w:rPr>
          <w:rFonts w:hint="eastAsia"/>
        </w:rPr>
        <w:t xml:space="preserve">关于权重</w:t>
      </w:r>
      <w:r>
        <w:t xml:space="preserve"> </w:t>
      </w:r>
      <m:oMath>
        <m:r>
          <m:t>w</m:t>
        </m:r>
      </m:oMath>
      <w:r>
        <w:t xml:space="preserve"> </w:t>
      </w:r>
      <w:r>
        <w:rPr>
          <w:rFonts w:hint="eastAsia"/>
        </w:rPr>
        <w:t xml:space="preserve">和偏置</w:t>
      </w:r>
      <w:r>
        <w:t xml:space="preserve"> </w:t>
      </w:r>
      <m:oMath>
        <m:r>
          <m:t>b</m:t>
        </m:r>
      </m:oMath>
      <w:r>
        <w:t xml:space="preserve"> </w:t>
      </w:r>
      <w:r>
        <w:rPr>
          <w:rFonts w:hint="eastAsia"/>
        </w:rPr>
        <w:t xml:space="preserve">的偏导数。我们定义第</w:t>
      </w:r>
      <w:r>
        <w:t xml:space="preserve"> </w:t>
      </w:r>
      <m:oMath>
        <m:r>
          <m:t>l</m:t>
        </m:r>
      </m:oMath>
      <w:r>
        <w:t xml:space="preserve"> </w:t>
      </w:r>
      <w:r>
        <w:rPr>
          <w:rFonts w:hint="eastAsia"/>
        </w:rPr>
        <w:t xml:space="preserve">层第</w:t>
      </w:r>
      <w:r>
        <w:t xml:space="preserve"> </w:t>
      </w:r>
      <m:oMath>
        <m:r>
          <m:t>j</m:t>
        </m:r>
      </m:oMath>
      <w:r>
        <w:t xml:space="preserve"> </w:t>
      </w:r>
      <w:r>
        <w:rPr>
          <w:rFonts w:hint="eastAsia"/>
        </w:rPr>
        <w:t xml:space="preserve">个神经元的</w:t>
      </w:r>
      <w:r>
        <w:rPr>
          <w:rFonts w:hint="eastAsia"/>
          <w:b/>
          <w:bCs/>
        </w:rPr>
        <w:t xml:space="preserve">误差项</w:t>
      </w:r>
      <w:r>
        <w:t xml:space="preserve"> </w:t>
      </w:r>
      <m:oMath>
        <m:sSubSup>
          <m:e>
            <m:r>
              <m:t>δ</m:t>
            </m:r>
          </m:e>
          <m:sub>
            <m:r>
              <m:t>j</m:t>
            </m:r>
          </m:sub>
          <m:sup>
            <m:r>
              <m:rPr>
                <m:sty m:val="p"/>
              </m:rPr>
              <m:t>(</m:t>
            </m:r>
            <m:r>
              <m:t>l</m:t>
            </m:r>
            <m:r>
              <m:rPr>
                <m:sty m:val="p"/>
              </m:rPr>
              <m:t>)</m:t>
            </m:r>
          </m:sup>
        </m:sSubSup>
      </m:oMath>
      <w:r>
        <w:t xml:space="preserve"> </w:t>
      </w:r>
      <w:r>
        <w:rPr>
          <w:rFonts w:hint="eastAsia"/>
        </w:rPr>
        <w:t xml:space="preserve">为：</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z</m:t>
                  </m:r>
                </m:e>
                <m:sub>
                  <m:r>
                    <m:t>j</m:t>
                  </m:r>
                </m:sub>
                <m:sup>
                  <m:r>
                    <m:rPr>
                      <m:sty m:val="p"/>
                    </m:rPr>
                    <m:t>(</m:t>
                  </m:r>
                  <m:r>
                    <m:t>l</m:t>
                  </m:r>
                  <m:r>
                    <m:rPr>
                      <m:sty m:val="p"/>
                    </m:rPr>
                    <m:t>)</m:t>
                  </m:r>
                </m:sup>
              </m:sSubSup>
            </m:den>
          </m:f>
        </m:oMath>
      </m:oMathPara>
    </w:p>
    <w:bookmarkStart w:id="119" w:name="步骤-a-输出层误差-deltal-3"/>
    <w:p>
      <w:pPr>
        <w:pStyle w:val="5"/>
      </w:pPr>
      <w:r>
        <w:rPr>
          <w:rFonts w:hint="eastAsia"/>
        </w:rPr>
        <w:t xml:space="preserve">步骤</w:t>
      </w:r>
      <w:r>
        <w:t xml:space="preserve"> A: </w:t>
      </w:r>
      <w:r>
        <w:rPr>
          <w:rFonts w:hint="eastAsia"/>
        </w:rPr>
        <w:t xml:space="preserve">输出层误差</w:t>
      </w:r>
      <w:r>
        <w:t xml:space="preserve"> </w:t>
      </w:r>
      <m:oMath>
        <m:sSup>
          <m:e>
            <m:r>
              <m:t>δ</m:t>
            </m:r>
          </m:e>
          <m:sup>
            <m:r>
              <m:rPr>
                <m:sty m:val="p"/>
              </m:rPr>
              <m:t>(</m:t>
            </m:r>
            <m:r>
              <m:t>L</m:t>
            </m:r>
            <m:r>
              <m:rPr>
                <m:sty m:val="p"/>
              </m:rPr>
              <m:t>)</m:t>
            </m:r>
          </m:sup>
        </m:sSup>
      </m:oMath>
    </w:p>
    <w:p>
      <w:pPr>
        <w:pStyle w:val="FirstParagraph"/>
      </w:pPr>
      <w:r>
        <w:rPr>
          <w:rFonts w:hint="eastAsia"/>
        </w:rPr>
        <w:t xml:space="preserve">根据链式法则：</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a</m:t>
                  </m:r>
                </m:e>
                <m:sub>
                  <m:r>
                    <m:t>j</m:t>
                  </m:r>
                </m:sub>
                <m:sup>
                  <m:r>
                    <m:rPr>
                      <m:sty m:val="p"/>
                    </m:rPr>
                    <m:t>(</m:t>
                  </m:r>
                  <m:r>
                    <m:t>L</m:t>
                  </m:r>
                  <m:r>
                    <m:rPr>
                      <m:sty m:val="p"/>
                    </m:rPr>
                    <m:t>)</m:t>
                  </m:r>
                </m:sup>
              </m:sSubSup>
            </m:den>
          </m:f>
          <m:r>
            <m:rPr>
              <m:sty m:val="p"/>
            </m:rPr>
            <m:t>⋅</m:t>
          </m:r>
          <m:f>
            <m:fPr>
              <m:type m:val="bar"/>
            </m:fPr>
            <m:num>
              <m:r>
                <m:rPr>
                  <m:sty m:val="p"/>
                </m:rPr>
                <m:t>∂</m:t>
              </m:r>
              <m:sSubSup>
                <m:e>
                  <m:r>
                    <m:t>a</m:t>
                  </m:r>
                </m:e>
                <m:sub>
                  <m:r>
                    <m:t>j</m:t>
                  </m:r>
                </m:sub>
                <m:sup>
                  <m:r>
                    <m:rPr>
                      <m:sty m:val="p"/>
                    </m:rPr>
                    <m:t>(</m:t>
                  </m:r>
                  <m:r>
                    <m:t>L</m:t>
                  </m:r>
                  <m:r>
                    <m:rPr>
                      <m:sty m:val="p"/>
                    </m:rPr>
                    <m:t>)</m:t>
                  </m:r>
                </m:sup>
              </m:sSubSup>
            </m:num>
            <m:den>
              <m:r>
                <m:rPr>
                  <m:sty m:val="p"/>
                </m:rPr>
                <m:t>∂</m:t>
              </m:r>
              <m:sSubSup>
                <m:e>
                  <m:r>
                    <m:t>z</m:t>
                  </m:r>
                </m:e>
                <m:sub>
                  <m:r>
                    <m:t>j</m:t>
                  </m:r>
                </m:sub>
                <m:sup>
                  <m:r>
                    <m:rPr>
                      <m:sty m:val="p"/>
                    </m:rPr>
                    <m:t>(</m:t>
                  </m:r>
                  <m:r>
                    <m:t>L</m:t>
                  </m:r>
                  <m:r>
                    <m:rPr>
                      <m:sty m:val="p"/>
                    </m:rPr>
                    <m:t>)</m:t>
                  </m:r>
                </m:sup>
              </m:sSubSup>
            </m:den>
          </m:f>
        </m:oMath>
      </m:oMathPara>
    </w:p>
    <w:p>
      <w:pPr>
        <w:pStyle w:val="FirstParagraph"/>
      </w:pPr>
      <w:r>
        <w:rPr>
          <w:rFonts w:hint="eastAsia"/>
        </w:rPr>
        <w:t xml:space="preserve">由于</w:t>
      </w:r>
      <w:r>
        <w:t xml:space="preserve"> </w:t>
      </w:r>
      <m:oMath>
        <m:sSup>
          <m:e>
            <m:r>
              <m:t>a</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w:r>
        <w:rPr>
          <w:rFonts w:hint="eastAsia"/>
        </w:rPr>
        <w:t xml:space="preserve">，且</w:t>
      </w:r>
      <w:r>
        <w:t xml:space="preserve"> </w:t>
      </w:r>
      <m:oMath>
        <m:r>
          <m:t>J</m:t>
        </m:r>
        <m:r>
          <m:rPr>
            <m:sty m:val="p"/>
          </m:rPr>
          <m:t>=</m:t>
        </m:r>
        <m:f>
          <m:fPr>
            <m:type m:val="bar"/>
          </m:fPr>
          <m:num>
            <m:r>
              <m:t>1</m:t>
            </m:r>
          </m:num>
          <m:den>
            <m:r>
              <m:t>2</m:t>
            </m:r>
          </m:den>
        </m:f>
        <m:r>
          <m:rPr>
            <m:sty m:val="p"/>
          </m:rPr>
          <m:t>∑</m:t>
        </m:r>
        <m:r>
          <m:rPr>
            <m:sty m:val="p"/>
          </m:rPr>
          <m:t>(</m:t>
        </m:r>
        <m:r>
          <m:t>y</m:t>
        </m:r>
        <m:r>
          <m:rPr>
            <m:sty m:val="p"/>
          </m:rPr>
          <m:t>−</m:t>
        </m:r>
        <m:sSup>
          <m:e>
            <m:r>
              <m:t>a</m:t>
            </m:r>
          </m:e>
          <m:sup>
            <m:r>
              <m:rPr>
                <m:sty m:val="p"/>
              </m:rPr>
              <m:t>(</m:t>
            </m:r>
            <m:r>
              <m:t>L</m:t>
            </m:r>
            <m:r>
              <m:rPr>
                <m:sty m:val="p"/>
              </m:rPr>
              <m:t>)</m:t>
            </m:r>
          </m:sup>
        </m:sSup>
        <m:sSup>
          <m:e>
            <m:r>
              <m:rPr>
                <m:sty m:val="p"/>
              </m:rPr>
              <m:t>)</m:t>
            </m:r>
          </m:e>
          <m:sup>
            <m:r>
              <m:t>2</m:t>
            </m:r>
          </m:sup>
        </m:sSup>
      </m:oMath>
      <w:r>
        <w:rPr>
          <w:rFonts w:hint="eastAsia"/>
        </w:rPr>
        <w:t xml:space="preserve">，我们可以得到：</w:t>
      </w:r>
    </w:p>
    <w:p>
      <w:pPr>
        <w:pStyle w:val="7"/>
      </w:pPr>
      <m:oMathPara>
        <m:oMathParaPr>
          <m:jc m:val="center"/>
        </m:oMathParaPr>
        <m:oMath>
          <m:sSup>
            <m:e>
              <m:r>
                <m:t>δ</m:t>
              </m:r>
            </m:e>
            <m:sup>
              <m:r>
                <m:rPr>
                  <m:sty m:val="p"/>
                </m:rPr>
                <m:t>(</m:t>
              </m:r>
              <m:r>
                <m:t>L</m:t>
              </m:r>
              <m:r>
                <m:rPr>
                  <m:sty m:val="p"/>
                </m:rPr>
                <m:t>)</m:t>
              </m:r>
            </m:sup>
          </m:sSup>
          <m:r>
            <m:rPr>
              <m:sty m:val="p"/>
            </m:rPr>
            <m:t>=</m:t>
          </m:r>
          <m:r>
            <m:rPr>
              <m:sty m:val="p"/>
            </m:rPr>
            <m:t>(</m:t>
          </m:r>
          <m:sSup>
            <m:e>
              <m:r>
                <m:t>a</m:t>
              </m:r>
            </m:e>
            <m:sup>
              <m:r>
                <m:rPr>
                  <m:sty m:val="p"/>
                </m:rPr>
                <m:t>(</m:t>
              </m:r>
              <m:r>
                <m:t>L</m:t>
              </m:r>
              <m:r>
                <m:rPr>
                  <m:sty m:val="p"/>
                </m:rPr>
                <m:t>)</m:t>
              </m:r>
            </m:sup>
          </m:sSup>
          <m:r>
            <m:rPr>
              <m:sty m:val="p"/>
            </m:rPr>
            <m:t>−</m:t>
          </m:r>
          <m:r>
            <m:t>y</m:t>
          </m:r>
          <m:r>
            <m:rPr>
              <m:sty m:val="p"/>
            </m:rPr>
            <m:t>)</m:t>
          </m:r>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代表哈达玛积（Hadamard</w:t>
      </w:r>
      <w:r>
        <w:t xml:space="preserve"> </w:t>
      </w:r>
      <w:r>
        <w:rPr>
          <w:rFonts w:hint="eastAsia"/>
        </w:rPr>
        <w:t xml:space="preserve">product，即元素对应相乘）。</w:t>
      </w:r>
    </w:p>
    <w:bookmarkEnd w:id="119"/>
    <w:bookmarkStart w:id="120" w:name="步骤-b-隐藏层误差-deltal-3"/>
    <w:p>
      <w:pPr>
        <w:pStyle w:val="5"/>
      </w:pPr>
      <w:r>
        <w:rPr>
          <w:rFonts w:hint="eastAsia"/>
        </w:rPr>
        <w:t xml:space="preserve">步骤</w:t>
      </w:r>
      <w:r>
        <w:t xml:space="preserve"> B: </w:t>
      </w:r>
      <w:r>
        <w:rPr>
          <w:rFonts w:hint="eastAsia"/>
        </w:rPr>
        <w:t xml:space="preserve">隐藏层误差</w:t>
      </w:r>
      <w:r>
        <w:t xml:space="preserve"> </w:t>
      </w:r>
      <m:oMath>
        <m:sSup>
          <m:e>
            <m:r>
              <m:t>δ</m:t>
            </m:r>
          </m:e>
          <m:sup>
            <m:r>
              <m:rPr>
                <m:sty m:val="p"/>
              </m:rPr>
              <m:t>(</m:t>
            </m:r>
            <m:r>
              <m:t>l</m:t>
            </m:r>
            <m:r>
              <m:rPr>
                <m:sty m:val="p"/>
              </m:rPr>
              <m:t>)</m:t>
            </m:r>
          </m:sup>
        </m:sSup>
      </m:oMath>
    </w:p>
    <w:p>
      <w:pPr>
        <w:pStyle w:val="FirstParagraph"/>
      </w:pPr>
      <w:r>
        <w:rPr>
          <w:rFonts w:hint="eastAsia"/>
        </w:rPr>
        <w:t xml:space="preserve">利用后一层</w:t>
      </w:r>
      <w:r>
        <w:t xml:space="preserve"> </w:t>
      </w:r>
      <m:oMath>
        <m:r>
          <m:t>l</m:t>
        </m:r>
        <m:r>
          <m:rPr>
            <m:sty m:val="p"/>
          </m:rPr>
          <m:t>+</m:t>
        </m:r>
        <m:r>
          <m:t>1</m:t>
        </m:r>
      </m:oMath>
      <w:r>
        <w:t xml:space="preserve"> </w:t>
      </w:r>
      <w:r>
        <w:rPr>
          <w:rFonts w:hint="eastAsia"/>
        </w:rPr>
        <w:t xml:space="preserve">的误差推导当前层</w:t>
      </w:r>
      <w:r>
        <w:t xml:space="preserve"> </w:t>
      </w:r>
      <m:oMath>
        <m:r>
          <m:t>l</m:t>
        </m:r>
      </m:oMath>
      <w:r>
        <w:t xml:space="preserve"> </w:t>
      </w:r>
      <w:r>
        <w:rPr>
          <w:rFonts w:hint="eastAsia"/>
        </w:rPr>
        <w:t xml:space="preserve">的误差：</w:t>
      </w:r>
    </w:p>
    <w:p>
      <w:pPr>
        <w:pStyle w:val="7"/>
      </w:pPr>
      <m:oMathPara>
        <m:oMathParaPr>
          <m:jc m:val="center"/>
        </m:oMathParaPr>
        <m:oMath>
          <m:sSubSup>
            <m:e>
              <m:r>
                <m:t>δ</m:t>
              </m:r>
            </m:e>
            <m:sub>
              <m:r>
                <m:t>j</m:t>
              </m:r>
            </m:sub>
            <m:sup>
              <m:r>
                <m:rPr>
                  <m:sty m:val="p"/>
                </m:rPr>
                <m:t>(</m:t>
              </m:r>
              <m:r>
                <m:t>l</m:t>
              </m:r>
              <m:r>
                <m:rPr>
                  <m:sty m:val="p"/>
                </m:rPr>
                <m:t>)</m:t>
              </m:r>
            </m:sup>
          </m:sSubSup>
          <m:r>
            <m:rPr>
              <m:sty m:val="p"/>
            </m:rPr>
            <m:t>=</m:t>
          </m:r>
          <m:f>
            <m:fPr>
              <m:type m:val="bar"/>
            </m:fPr>
            <m:num>
              <m:r>
                <m:rPr>
                  <m:sty m:val="p"/>
                </m:rPr>
                <m:t>∂</m:t>
              </m:r>
              <m:r>
                <m:t>J</m:t>
              </m:r>
            </m:num>
            <m:den>
              <m:r>
                <m:rPr>
                  <m:sty m:val="p"/>
                </m:rPr>
                <m:t>∂</m:t>
              </m:r>
              <m:sSubSup>
                <m:e>
                  <m:r>
                    <m:t>z</m:t>
                  </m:r>
                </m:e>
                <m:sub>
                  <m:r>
                    <m:t>j</m:t>
                  </m:r>
                </m:sub>
                <m:sup>
                  <m:r>
                    <m:rPr>
                      <m:sty m:val="p"/>
                    </m:rPr>
                    <m:t>(</m:t>
                  </m:r>
                  <m:r>
                    <m:t>l</m:t>
                  </m:r>
                  <m:r>
                    <m:rPr>
                      <m:sty m:val="p"/>
                    </m:rPr>
                    <m:t>)</m:t>
                  </m:r>
                </m:sup>
              </m:sSubSup>
            </m:den>
          </m:f>
          <m:r>
            <m:rPr>
              <m:sty m:val="p"/>
            </m:rPr>
            <m:t>=</m:t>
          </m:r>
          <m:nary>
            <m:naryPr>
              <m:chr m:val="∑"/>
              <m:limLoc m:val="undOvr"/>
              <m:subHide m:val="off"/>
              <m:supHide m:val="on"/>
            </m:naryPr>
            <m:sub>
              <m:r>
                <m:t>k</m:t>
              </m:r>
            </m:sub>
            <m:sup>
              <m:r>
                <m:t>​</m:t>
              </m:r>
            </m:sup>
            <m:e>
              <m:f>
                <m:fPr>
                  <m:type m:val="bar"/>
                </m:fPr>
                <m:num>
                  <m:r>
                    <m:rPr>
                      <m:sty m:val="p"/>
                    </m:rPr>
                    <m:t>∂</m:t>
                  </m:r>
                  <m:r>
                    <m:t>J</m:t>
                  </m:r>
                </m:num>
                <m:den>
                  <m:r>
                    <m:rPr>
                      <m:sty m:val="p"/>
                    </m:rPr>
                    <m:t>∂</m:t>
                  </m:r>
                  <m:sSubSup>
                    <m:e>
                      <m:r>
                        <m:t>z</m:t>
                      </m:r>
                    </m:e>
                    <m:sub>
                      <m:r>
                        <m:t>k</m:t>
                      </m:r>
                    </m:sub>
                    <m:sup>
                      <m:r>
                        <m:rPr>
                          <m:sty m:val="p"/>
                        </m:rPr>
                        <m:t>(</m:t>
                      </m:r>
                      <m:r>
                        <m:t>l</m:t>
                      </m:r>
                      <m:r>
                        <m:rPr>
                          <m:sty m:val="p"/>
                        </m:rPr>
                        <m:t>+</m:t>
                      </m:r>
                      <m:r>
                        <m:t>1</m:t>
                      </m:r>
                      <m:r>
                        <m:rPr>
                          <m:sty m:val="p"/>
                        </m:rPr>
                        <m:t>)</m:t>
                      </m:r>
                    </m:sup>
                  </m:sSubSup>
                </m:den>
              </m:f>
            </m:e>
          </m:nary>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r>
            <m:rPr>
              <m:sty m:val="p"/>
            </m:rPr>
            <m:t>=</m:t>
          </m:r>
          <m:nary>
            <m:naryPr>
              <m:chr m:val="∑"/>
              <m:limLoc m:val="undOvr"/>
              <m:subHide m:val="off"/>
              <m:supHide m:val="on"/>
            </m:naryPr>
            <m:sub>
              <m:r>
                <m:t>k</m:t>
              </m:r>
            </m:sub>
            <m:sup>
              <m:r>
                <m:t>​</m:t>
              </m:r>
            </m:sup>
            <m:e>
              <m:sSubSup>
                <m:e>
                  <m:r>
                    <m:t>δ</m:t>
                  </m:r>
                </m:e>
                <m:sub>
                  <m:r>
                    <m:t>k</m:t>
                  </m:r>
                </m:sub>
                <m:sup>
                  <m:r>
                    <m:rPr>
                      <m:sty m:val="p"/>
                    </m:rPr>
                    <m:t>(</m:t>
                  </m:r>
                  <m:r>
                    <m:t>l</m:t>
                  </m:r>
                  <m:r>
                    <m:rPr>
                      <m:sty m:val="p"/>
                    </m:rPr>
                    <m:t>+</m:t>
                  </m:r>
                  <m:r>
                    <m:t>1</m:t>
                  </m:r>
                  <m:r>
                    <m:rPr>
                      <m:sty m:val="p"/>
                    </m:rPr>
                    <m:t>)</m:t>
                  </m:r>
                </m:sup>
              </m:sSubSup>
            </m:e>
          </m:nary>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oMath>
      </m:oMathPara>
    </w:p>
    <w:p>
      <w:pPr>
        <w:pStyle w:val="FirstParagraph"/>
      </w:pPr>
      <w:r>
        <w:rPr>
          <w:rFonts w:hint="eastAsia"/>
        </w:rPr>
        <w:t xml:space="preserve">因为</w:t>
      </w:r>
      <w:r>
        <w:t xml:space="preserve"> </w:t>
      </w:r>
      <m:oMath>
        <m:sSubSup>
          <m:e>
            <m:r>
              <m:t>z</m:t>
            </m:r>
          </m:e>
          <m:sub>
            <m:r>
              <m:t>k</m:t>
            </m:r>
          </m:sub>
          <m:sup>
            <m:r>
              <m:rPr>
                <m:sty m:val="p"/>
              </m:rPr>
              <m:t>(</m:t>
            </m:r>
            <m:r>
              <m:t>l</m:t>
            </m:r>
            <m:r>
              <m:rPr>
                <m:sty m:val="p"/>
              </m:rPr>
              <m:t>+</m:t>
            </m:r>
            <m:r>
              <m:t>1</m:t>
            </m:r>
            <m:r>
              <m:rPr>
                <m:sty m:val="p"/>
              </m:rPr>
              <m:t>)</m:t>
            </m:r>
          </m:sup>
        </m:sSubSup>
        <m:r>
          <m:rPr>
            <m:sty m:val="p"/>
          </m:rPr>
          <m:t>=</m:t>
        </m:r>
        <m:nary>
          <m:naryPr>
            <m:chr m:val="∑"/>
            <m:limLoc m:val="undOvr"/>
            <m:subHide m:val="off"/>
            <m:supHide m:val="on"/>
          </m:naryPr>
          <m:sub>
            <m:r>
              <m:t>j</m:t>
            </m:r>
          </m:sub>
          <m:sup>
            <m:r>
              <m:t>​</m:t>
            </m:r>
          </m:sup>
          <m:e>
            <m:sSubSup>
              <m:e>
                <m:r>
                  <m:t>w</m:t>
                </m:r>
              </m:e>
              <m:sub>
                <m:r>
                  <m:t>k</m:t>
                </m:r>
                <m:r>
                  <m:t>j</m:t>
                </m:r>
              </m:sub>
              <m:sup>
                <m:r>
                  <m:rPr>
                    <m:sty m:val="p"/>
                  </m:rPr>
                  <m:t>(</m:t>
                </m:r>
                <m:r>
                  <m:t>l</m:t>
                </m:r>
                <m:r>
                  <m:rPr>
                    <m:sty m:val="p"/>
                  </m:rPr>
                  <m:t>+</m:t>
                </m:r>
                <m:r>
                  <m:t>1</m:t>
                </m:r>
                <m:r>
                  <m:rPr>
                    <m:sty m:val="p"/>
                  </m:rPr>
                  <m:t>)</m:t>
                </m:r>
              </m:sup>
            </m:sSubSup>
          </m:e>
        </m:nary>
        <m:r>
          <m:t>σ</m:t>
        </m:r>
        <m:r>
          <m:rPr>
            <m:sty m:val="p"/>
          </m:rPr>
          <m:t>(</m:t>
        </m:r>
        <m:sSubSup>
          <m:e>
            <m:r>
              <m:t>z</m:t>
            </m:r>
          </m:e>
          <m:sub>
            <m:r>
              <m:t>j</m:t>
            </m:r>
          </m:sub>
          <m:sup>
            <m:r>
              <m:rPr>
                <m:sty m:val="p"/>
              </m:rPr>
              <m:t>(</m:t>
            </m:r>
            <m:r>
              <m:t>l</m:t>
            </m:r>
            <m:r>
              <m:rPr>
                <m:sty m:val="p"/>
              </m:rPr>
              <m:t>)</m:t>
            </m:r>
          </m:sup>
        </m:sSubSup>
        <m:r>
          <m:rPr>
            <m:sty m:val="p"/>
          </m:rPr>
          <m:t>)</m:t>
        </m:r>
        <m:r>
          <m:rPr>
            <m:sty m:val="p"/>
          </m:rPr>
          <m:t>+</m:t>
        </m:r>
        <m:sSubSup>
          <m:e>
            <m:r>
              <m:t>b</m:t>
            </m:r>
          </m:e>
          <m:sub>
            <m:r>
              <m:t>k</m:t>
            </m:r>
          </m:sub>
          <m:sup>
            <m:r>
              <m:rPr>
                <m:sty m:val="p"/>
              </m:rPr>
              <m:t>(</m:t>
            </m:r>
            <m:r>
              <m:t>l</m:t>
            </m:r>
            <m:r>
              <m:rPr>
                <m:sty m:val="p"/>
              </m:rPr>
              <m:t>+</m:t>
            </m:r>
            <m:r>
              <m:t>1</m:t>
            </m:r>
            <m:r>
              <m:rPr>
                <m:sty m:val="p"/>
              </m:rPr>
              <m:t>)</m:t>
            </m:r>
          </m:sup>
        </m:sSubSup>
      </m:oMath>
      <w:r>
        <w:rPr>
          <w:rFonts w:hint="eastAsia"/>
        </w:rPr>
        <w:t xml:space="preserve">，所以：</w:t>
      </w:r>
    </w:p>
    <w:p>
      <w:pPr>
        <w:pStyle w:val="7"/>
      </w:pPr>
      <m:oMathPara>
        <m:oMathParaPr>
          <m:jc m:val="center"/>
        </m:oMathParaPr>
        <m:oMath>
          <m:f>
            <m:fPr>
              <m:type m:val="bar"/>
            </m:fPr>
            <m:num>
              <m:r>
                <m:rPr>
                  <m:sty m:val="p"/>
                </m:rPr>
                <m:t>∂</m:t>
              </m:r>
              <m:sSubSup>
                <m:e>
                  <m:r>
                    <m:t>z</m:t>
                  </m:r>
                </m:e>
                <m:sub>
                  <m:r>
                    <m:t>k</m:t>
                  </m:r>
                </m:sub>
                <m:sup>
                  <m:r>
                    <m:rPr>
                      <m:sty m:val="p"/>
                    </m:rPr>
                    <m:t>(</m:t>
                  </m:r>
                  <m:r>
                    <m:t>l</m:t>
                  </m:r>
                  <m:r>
                    <m:rPr>
                      <m:sty m:val="p"/>
                    </m:rPr>
                    <m:t>+</m:t>
                  </m:r>
                  <m:r>
                    <m:t>1</m:t>
                  </m:r>
                  <m:r>
                    <m:rPr>
                      <m:sty m:val="p"/>
                    </m:rPr>
                    <m:t>)</m:t>
                  </m:r>
                </m:sup>
              </m:sSubSup>
            </m:num>
            <m:den>
              <m:r>
                <m:rPr>
                  <m:sty m:val="p"/>
                </m:rPr>
                <m:t>∂</m:t>
              </m:r>
              <m:sSubSup>
                <m:e>
                  <m:r>
                    <m:t>z</m:t>
                  </m:r>
                </m:e>
                <m:sub>
                  <m:r>
                    <m:t>j</m:t>
                  </m:r>
                </m:sub>
                <m:sup>
                  <m:r>
                    <m:rPr>
                      <m:sty m:val="p"/>
                    </m:rPr>
                    <m:t>(</m:t>
                  </m:r>
                  <m:r>
                    <m:t>l</m:t>
                  </m:r>
                  <m:r>
                    <m:rPr>
                      <m:sty m:val="p"/>
                    </m:rPr>
                    <m:t>)</m:t>
                  </m:r>
                </m:sup>
              </m:sSubSup>
            </m:den>
          </m:f>
          <m:r>
            <m:rPr>
              <m:sty m:val="p"/>
            </m:rPr>
            <m:t>=</m:t>
          </m:r>
          <m:sSubSup>
            <m:e>
              <m:r>
                <m:t>w</m:t>
              </m:r>
            </m:e>
            <m:sub>
              <m:r>
                <m:t>k</m:t>
              </m:r>
              <m:r>
                <m:t>j</m:t>
              </m:r>
            </m:sub>
            <m:sup>
              <m:r>
                <m:rPr>
                  <m:sty m:val="p"/>
                </m:rPr>
                <m:t>(</m:t>
              </m:r>
              <m:r>
                <m:t>l</m:t>
              </m:r>
              <m:r>
                <m:rPr>
                  <m:sty m:val="p"/>
                </m:rPr>
                <m:t>+</m:t>
              </m:r>
              <m:r>
                <m:t>1</m:t>
              </m:r>
              <m:r>
                <m:rPr>
                  <m:sty m:val="p"/>
                </m:rPr>
                <m:t>)</m:t>
              </m:r>
            </m:sup>
          </m:sSubSup>
          <m:sSup>
            <m:e>
              <m:r>
                <m:t>σ</m:t>
              </m:r>
            </m:e>
            <m:sup>
              <m:r>
                <m:rPr>
                  <m:sty m:val="p"/>
                </m:rPr>
                <m:t>′</m:t>
              </m:r>
            </m:sup>
          </m:sSup>
          <m:r>
            <m:rPr>
              <m:sty m:val="p"/>
            </m:rPr>
            <m:t>(</m:t>
          </m:r>
          <m:sSubSup>
            <m:e>
              <m:r>
                <m:t>z</m:t>
              </m:r>
            </m:e>
            <m:sub>
              <m:r>
                <m:t>j</m:t>
              </m:r>
            </m:sub>
            <m:sup>
              <m:r>
                <m:rPr>
                  <m:sty m:val="p"/>
                </m:rPr>
                <m:t>(</m:t>
              </m:r>
              <m:r>
                <m:t>l</m:t>
              </m:r>
              <m:r>
                <m:rPr>
                  <m:sty m:val="p"/>
                </m:rPr>
                <m:t>)</m:t>
              </m:r>
            </m:sup>
          </m:sSubSup>
          <m:r>
            <m:rPr>
              <m:sty m:val="p"/>
            </m:rPr>
            <m:t>)</m:t>
          </m:r>
        </m:oMath>
      </m:oMathPara>
    </w:p>
    <w:p>
      <w:pPr>
        <w:pStyle w:val="FirstParagraph"/>
      </w:pPr>
      <w:r>
        <w:rPr>
          <w:rFonts w:hint="eastAsia"/>
        </w:rPr>
        <w:t xml:space="preserve">代入后得到向量化公式：</w:t>
      </w:r>
    </w:p>
    <w:p>
      <w:pPr>
        <w:pStyle w:val="7"/>
      </w:pPr>
      <m:oMathPara>
        <m:oMathParaPr>
          <m:jc m:val="center"/>
        </m:oMathParaPr>
        <m:oMath>
          <m:sSup>
            <m:e>
              <m:r>
                <m:t>δ</m:t>
              </m:r>
            </m:e>
            <m:sup>
              <m:r>
                <m:rPr>
                  <m:sty m:val="p"/>
                </m:rPr>
                <m:t>(</m:t>
              </m:r>
              <m:r>
                <m:t>l</m:t>
              </m:r>
              <m:r>
                <m:rPr>
                  <m:sty m:val="p"/>
                </m:rPr>
                <m:t>)</m:t>
              </m:r>
            </m:sup>
          </m:sSup>
          <m:r>
            <m:rPr>
              <m:sty m:val="p"/>
            </m:rPr>
            <m:t>=</m:t>
          </m:r>
          <m:d>
            <m:dPr>
              <m:begChr m:val="("/>
              <m:sepChr m:val=""/>
              <m:endChr m:val=")"/>
              <m:grow/>
            </m:dPr>
            <m:e>
              <m:r>
                <m:rPr>
                  <m:sty m:val="p"/>
                </m:rPr>
                <m:t>(</m:t>
              </m:r>
              <m:sSup>
                <m:e>
                  <m:r>
                    <m:t>W</m:t>
                  </m:r>
                </m:e>
                <m:sup>
                  <m:r>
                    <m:rPr>
                      <m:sty m:val="p"/>
                    </m:rPr>
                    <m:t>(</m:t>
                  </m:r>
                  <m:r>
                    <m:t>l</m:t>
                  </m:r>
                  <m:r>
                    <m:rPr>
                      <m:sty m:val="p"/>
                    </m:rPr>
                    <m:t>+</m:t>
                  </m:r>
                  <m:r>
                    <m:t>1</m:t>
                  </m:r>
                  <m:r>
                    <m:rPr>
                      <m:sty m:val="p"/>
                    </m:rPr>
                    <m:t>)</m:t>
                  </m:r>
                </m:sup>
              </m:sSup>
              <m:sSup>
                <m:e>
                  <m:r>
                    <m:rPr>
                      <m:sty m:val="p"/>
                    </m:rPr>
                    <m:t>)</m:t>
                  </m:r>
                </m:e>
                <m:sup>
                  <m:r>
                    <m:t>T</m:t>
                  </m:r>
                </m:sup>
              </m:sSup>
              <m:sSup>
                <m:e>
                  <m:r>
                    <m:t>δ</m:t>
                  </m:r>
                </m:e>
                <m:sup>
                  <m:r>
                    <m:rPr>
                      <m:sty m:val="p"/>
                    </m:rPr>
                    <m:t>(</m:t>
                  </m:r>
                  <m:r>
                    <m:t>l</m:t>
                  </m:r>
                  <m:r>
                    <m:rPr>
                      <m:sty m:val="p"/>
                    </m:rPr>
                    <m:t>+</m:t>
                  </m:r>
                  <m:r>
                    <m:t>1</m:t>
                  </m:r>
                  <m:r>
                    <m:rPr>
                      <m:sty m:val="p"/>
                    </m:rPr>
                    <m:t>)</m:t>
                  </m:r>
                </m:sup>
              </m:sSup>
            </m:e>
          </m:d>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bookmarkEnd w:id="120"/>
    <w:bookmarkStart w:id="121" w:name="步骤-c-计算梯度-3"/>
    <w:p>
      <w:pPr>
        <w:pStyle w:val="5"/>
      </w:pPr>
      <w:r>
        <w:rPr>
          <w:rFonts w:hint="eastAsia"/>
        </w:rPr>
        <w:t xml:space="preserve">步骤</w:t>
      </w:r>
      <w:r>
        <w:t xml:space="preserve"> C: </w:t>
      </w:r>
      <w:r>
        <w:rPr>
          <w:rFonts w:hint="eastAsia"/>
        </w:rPr>
        <w:t xml:space="preserve">计算梯度</w:t>
      </w:r>
    </w:p>
    <w:p>
      <w:pPr>
        <w:pStyle w:val="FirstParagraph"/>
      </w:pPr>
      <w:r>
        <w:rPr>
          <w:rFonts w:hint="eastAsia"/>
        </w:rPr>
        <w:t xml:space="preserve">最后，我们可以得到参数的梯度：</w:t>
      </w:r>
    </w:p>
    <w:p>
      <w:pPr>
        <w:numPr>
          <w:ilvl w:val="0"/>
          <w:numId w:val="1038"/>
        </w:numPr>
      </w:pPr>
      <w:r>
        <w:rPr>
          <w:rFonts w:hint="eastAsia"/>
          <w:b/>
          <w:bCs/>
        </w:rPr>
        <w:t xml:space="preserve">权重的梯度</w:t>
      </w:r>
      <w:r>
        <w:rPr>
          <w:rFonts w:hint="eastAsia"/>
        </w:rPr>
        <w:t xml:space="preserve">：</w:t>
      </w:r>
    </w:p>
    <w:p>
      <w:pPr>
        <w:pStyle w:val="7"/>
      </w:pPr>
      <m:oMathPara>
        <m:oMathParaPr>
          <m:jc m:val="center"/>
        </m:oMathParaPr>
        <m:oMath>
          <m:f>
            <m:fPr>
              <m:type m:val="bar"/>
            </m:fPr>
            <m:num>
              <m:r>
                <m:rPr>
                  <m:sty m:val="p"/>
                </m:rPr>
                <m:t>∂</m:t>
              </m:r>
              <m:r>
                <m:t>J</m:t>
              </m:r>
            </m:num>
            <m:den>
              <m:r>
                <m:rPr>
                  <m:sty m:val="p"/>
                </m:rPr>
                <m:t>∂</m:t>
              </m:r>
              <m:sSubSup>
                <m:e>
                  <m:r>
                    <m:t>w</m:t>
                  </m:r>
                </m:e>
                <m:sub>
                  <m:r>
                    <m:t>j</m:t>
                  </m:r>
                  <m:r>
                    <m:t>k</m:t>
                  </m:r>
                </m:sub>
                <m:sup>
                  <m:r>
                    <m:rPr>
                      <m:sty m:val="p"/>
                    </m:rPr>
                    <m:t>(</m:t>
                  </m:r>
                  <m:r>
                    <m:t>l</m:t>
                  </m:r>
                  <m:r>
                    <m:rPr>
                      <m:sty m:val="p"/>
                    </m:rPr>
                    <m:t>)</m:t>
                  </m:r>
                </m:sup>
              </m:sSubSup>
            </m:den>
          </m:f>
          <m:r>
            <m:rPr>
              <m:sty m:val="p"/>
            </m:rPr>
            <m:t>=</m:t>
          </m:r>
          <m:sSubSup>
            <m:e>
              <m:r>
                <m:t>a</m:t>
              </m:r>
            </m:e>
            <m:sub>
              <m:r>
                <m:t>k</m:t>
              </m:r>
            </m:sub>
            <m:sup>
              <m:r>
                <m:rPr>
                  <m:sty m:val="p"/>
                </m:rPr>
                <m:t>(</m:t>
              </m:r>
              <m:r>
                <m:t>l</m:t>
              </m:r>
              <m:r>
                <m:rPr>
                  <m:sty m:val="p"/>
                </m:rPr>
                <m:t>−</m:t>
              </m:r>
              <m:r>
                <m:t>1</m:t>
              </m:r>
              <m:r>
                <m:rPr>
                  <m:sty m:val="p"/>
                </m:rPr>
                <m:t>)</m:t>
              </m:r>
            </m:sup>
          </m:sSubSup>
          <m:sSubSup>
            <m:e>
              <m:r>
                <m:t>δ</m:t>
              </m:r>
            </m:e>
            <m:sub>
              <m:r>
                <m:t>j</m:t>
              </m:r>
            </m:sub>
            <m:sup>
              <m:r>
                <m:rPr>
                  <m:sty m:val="p"/>
                </m:rPr>
                <m:t>(</m:t>
              </m:r>
              <m:r>
                <m:t>l</m:t>
              </m:r>
              <m:r>
                <m:rPr>
                  <m:sty m:val="p"/>
                </m:rPr>
                <m:t>)</m:t>
              </m:r>
            </m:sup>
          </m:sSubSup>
        </m:oMath>
      </m:oMathPara>
    </w:p>
    <w:p>
      <w:pPr>
        <w:numPr>
          <w:ilvl w:val="0"/>
          <w:numId w:val="1038"/>
        </w:numPr>
      </w:pPr>
      <w:r>
        <w:rPr>
          <w:rFonts w:hint="eastAsia"/>
          <w:b/>
          <w:bCs/>
        </w:rPr>
        <w:t xml:space="preserve">偏置的梯度</w:t>
      </w:r>
      <w:r>
        <w:rPr>
          <w:rFonts w:hint="eastAsia"/>
        </w:rPr>
        <w:t xml:space="preserve">：</w:t>
      </w:r>
    </w:p>
    <w:p>
      <w:pPr>
        <w:pStyle w:val="7"/>
      </w:pPr>
      <m:oMathPara>
        <m:oMathParaPr>
          <m:jc m:val="center"/>
        </m:oMathParaPr>
        <m:oMath>
          <m:f>
            <m:fPr>
              <m:type m:val="bar"/>
            </m:fPr>
            <m:num>
              <m:r>
                <m:rPr>
                  <m:sty m:val="p"/>
                </m:rPr>
                <m:t>∂</m:t>
              </m:r>
              <m:r>
                <m:t>J</m:t>
              </m:r>
            </m:num>
            <m:den>
              <m:r>
                <m:rPr>
                  <m:sty m:val="p"/>
                </m:rPr>
                <m:t>∂</m:t>
              </m:r>
              <m:sSubSup>
                <m:e>
                  <m:r>
                    <m:t>b</m:t>
                  </m:r>
                </m:e>
                <m:sub>
                  <m:r>
                    <m:t>j</m:t>
                  </m:r>
                </m:sub>
                <m:sup>
                  <m:r>
                    <m:rPr>
                      <m:sty m:val="p"/>
                    </m:rPr>
                    <m:t>(</m:t>
                  </m:r>
                  <m:r>
                    <m:t>l</m:t>
                  </m:r>
                  <m:r>
                    <m:rPr>
                      <m:sty m:val="p"/>
                    </m:rPr>
                    <m:t>)</m:t>
                  </m:r>
                </m:sup>
              </m:sSubSup>
            </m:den>
          </m:f>
          <m:r>
            <m:rPr>
              <m:sty m:val="p"/>
            </m:rPr>
            <m:t>=</m:t>
          </m:r>
          <m:sSubSup>
            <m:e>
              <m:r>
                <m:t>δ</m:t>
              </m:r>
            </m:e>
            <m:sub>
              <m:r>
                <m:t>j</m:t>
              </m:r>
            </m:sub>
            <m:sup>
              <m:r>
                <m:rPr>
                  <m:sty m:val="p"/>
                </m:rPr>
                <m:t>(</m:t>
              </m:r>
              <m:r>
                <m:t>l</m:t>
              </m:r>
              <m:r>
                <m:rPr>
                  <m:sty m:val="p"/>
                </m:rPr>
                <m:t>)</m:t>
              </m:r>
            </m:sup>
          </m:sSubSup>
        </m:oMath>
      </m:oMathPara>
    </w:p>
    <w:bookmarkEnd w:id="121"/>
    <w:bookmarkEnd w:id="122"/>
    <w:bookmarkStart w:id="123" w:name="总结-3"/>
    <w:p>
      <w:pPr>
        <w:pStyle w:val="4"/>
      </w:pPr>
      <w:r>
        <w:t xml:space="preserve">5. </w:t>
      </w:r>
      <w:r>
        <w:rPr>
          <w:rFonts w:hint="eastAsia"/>
        </w:rPr>
        <w:t xml:space="preserve">总结</w:t>
      </w:r>
    </w:p>
    <w:p>
      <w:pPr>
        <w:pStyle w:val="FirstParagraph"/>
      </w:pPr>
      <w:r>
        <w:rPr>
          <w:rFonts w:hint="eastAsia"/>
        </w:rPr>
        <w:t xml:space="preserve">反向传播的核心在于计算每一层的</w:t>
      </w:r>
      <w:r>
        <w:t xml:space="preserve"> </w:t>
      </w:r>
      <m:oMath>
        <m:sSup>
          <m:e>
            <m:r>
              <m:t>δ</m:t>
            </m:r>
          </m:e>
          <m:sup>
            <m:r>
              <m:rPr>
                <m:sty m:val="p"/>
              </m:rPr>
              <m:t>(</m:t>
            </m:r>
            <m:r>
              <m:t>l</m:t>
            </m:r>
            <m:r>
              <m:rPr>
                <m:sty m:val="p"/>
              </m:rPr>
              <m:t>)</m:t>
            </m:r>
          </m:sup>
        </m:sSup>
      </m:oMath>
      <w:r>
        <w:rPr>
          <w:rFonts w:hint="eastAsia"/>
        </w:rPr>
        <w:t xml:space="preserve">：</w:t>
      </w:r>
    </w:p>
    <w:p>
      <w:pPr>
        <w:pStyle w:val="7"/>
      </w:pPr>
      <m:oMathPara>
        <m:oMathParaPr>
          <m:jc m:val="center"/>
        </m:oMathParaPr>
        <m:oMath>
          <m:sSub>
            <m:e>
              <m:r>
                <m:rPr>
                  <m:sty m:val="p"/>
                </m:rPr>
                <m:t>∇</m:t>
              </m:r>
            </m:e>
            <m:sub>
              <m:sSup>
                <m:e>
                  <m:r>
                    <m:t>b</m:t>
                  </m:r>
                </m:e>
                <m:sup>
                  <m:r>
                    <m:rPr>
                      <m:sty m:val="p"/>
                    </m:rPr>
                    <m:t>(</m:t>
                  </m:r>
                  <m:r>
                    <m:t>l</m:t>
                  </m:r>
                  <m:r>
                    <m:rPr>
                      <m:sty m:val="p"/>
                    </m:rPr>
                    <m:t>)</m:t>
                  </m:r>
                </m:sup>
              </m:sSup>
            </m:sub>
          </m:sSub>
          <m:r>
            <m:t>J</m:t>
          </m:r>
          <m:r>
            <m:rPr>
              <m:sty m:val="p"/>
            </m:rPr>
            <m:t>=</m:t>
          </m:r>
          <m:sSup>
            <m:e>
              <m:r>
                <m:t>δ</m:t>
              </m:r>
            </m:e>
            <m:sup>
              <m:r>
                <m:rPr>
                  <m:sty m:val="p"/>
                </m:rPr>
                <m:t>(</m:t>
              </m:r>
              <m:r>
                <m:t>l</m:t>
              </m:r>
              <m:r>
                <m:rPr>
                  <m:sty m:val="p"/>
                </m:rPr>
                <m:t>)</m:t>
              </m:r>
            </m:sup>
          </m:sSup>
        </m:oMath>
      </m:oMathPara>
    </w:p>
    <w:p>
      <w:pPr>
        <w:pStyle w:val="FirstParagraph"/>
      </w:pPr>
      <m:oMathPara>
        <m:oMathParaPr>
          <m:jc m:val="center"/>
        </m:oMathParaPr>
        <m:oMath>
          <m:sSub>
            <m:e>
              <m:r>
                <m:rPr>
                  <m:sty m:val="p"/>
                </m:rPr>
                <m:t>∇</m:t>
              </m:r>
            </m:e>
            <m:sub>
              <m:sSup>
                <m:e>
                  <m:r>
                    <m:t>W</m:t>
                  </m:r>
                </m:e>
                <m:sup>
                  <m:r>
                    <m:rPr>
                      <m:sty m:val="p"/>
                    </m:rPr>
                    <m:t>(</m:t>
                  </m:r>
                  <m:r>
                    <m:t>l</m:t>
                  </m:r>
                  <m:r>
                    <m:rPr>
                      <m:sty m:val="p"/>
                    </m:rPr>
                    <m:t>)</m:t>
                  </m:r>
                </m:sup>
              </m:sSup>
            </m:sub>
          </m:sSub>
          <m:r>
            <m:t>J</m:t>
          </m:r>
          <m:r>
            <m:rPr>
              <m:sty m:val="p"/>
            </m:rPr>
            <m:t>=</m:t>
          </m:r>
          <m:sSup>
            <m:e>
              <m:r>
                <m:t>δ</m:t>
              </m:r>
            </m:e>
            <m:sup>
              <m:r>
                <m:rPr>
                  <m:sty m:val="p"/>
                </m:rPr>
                <m:t>(</m:t>
              </m:r>
              <m:r>
                <m:t>l</m:t>
              </m:r>
              <m:r>
                <m:rPr>
                  <m:sty m:val="p"/>
                </m:rPr>
                <m:t>)</m:t>
              </m:r>
            </m:sup>
          </m:sSup>
          <m:r>
            <m:rPr>
              <m:sty m:val="p"/>
            </m:rPr>
            <m:t>(</m:t>
          </m:r>
          <m:sSup>
            <m:e>
              <m:r>
                <m:t>a</m:t>
              </m:r>
            </m:e>
            <m:sup>
              <m:r>
                <m:rPr>
                  <m:sty m:val="p"/>
                </m:rPr>
                <m:t>(</m:t>
              </m:r>
              <m:r>
                <m:t>l</m:t>
              </m:r>
              <m:r>
                <m:rPr>
                  <m:sty m:val="p"/>
                </m:rPr>
                <m:t>−</m:t>
              </m:r>
              <m:r>
                <m:t>1</m:t>
              </m:r>
              <m:r>
                <m:rPr>
                  <m:sty m:val="p"/>
                </m:rPr>
                <m:t>)</m:t>
              </m:r>
            </m:sup>
          </m:sSup>
          <m:sSup>
            <m:e>
              <m:r>
                <m:rPr>
                  <m:sty m:val="p"/>
                </m:rPr>
                <m:t>)</m:t>
              </m:r>
            </m:e>
            <m:sup>
              <m:r>
                <m:t>T</m:t>
              </m:r>
            </m:sup>
          </m:sSup>
        </m:oMath>
      </m:oMathPara>
    </w:p>
    <w:bookmarkEnd w:id="123"/>
    <w:bookmarkEnd w:id="124"/>
    <w:bookmarkEnd w:id="125"/>
    <w:sectPr>
      <w:footerReference r:id="rId5" w:type="default"/>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C65A5">
    <w:pPr>
      <w:pStyle w:val="19"/>
      <w:jc w:val="center"/>
    </w:pPr>
  </w:p>
  <w:p w14:paraId="60C434E5">
    <w:pPr>
      <w:pStyle w:val="1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bordersDoNotSurroundHeader w:val="1"/>
  <w:bordersDoNotSurroundFooter w:val="1"/>
  <w:proofState w:grammar="clean" w:spelling="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85B"/>
    <w:rsid w:val="002C5CDE"/>
    <w:rsid w:val="00377025"/>
    <w:rsid w:val="004276F3"/>
    <w:rsid w:val="0051685B"/>
    <w:rsid w:val="006452E8"/>
    <w:rsid w:val="00970A3B"/>
    <w:rsid w:val="00BD72EF"/>
    <w:rsid w:val="00D85068"/>
    <w:rsid w:val="00F77E3D"/>
    <w:rsid w:val="03455684"/>
    <w:rsid w:val="1683496B"/>
    <w:rsid w:val="2AA21119"/>
    <w:rsid w:val="3CC87937"/>
    <w:rsid w:val="48A959DF"/>
    <w:rsid w:val="539D4F05"/>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0"/>
    <w:lsdException w:name="heading 6" w:qFormat="1" w:semiHidden="0" w:uiPriority="0"/>
    <w:lsdException w:name="heading 7" w:qFormat="1" w:semiHidden="0" w:uiPriority="0"/>
    <w:lsdException w:name="heading 8" w:qFormat="1" w:semiHidden="0" w:uiPriority="0"/>
    <w:lsdException w:name="heading 9" w:qFormat="1" w:semiHidden="0" w:uiPriority="0"/>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0" w:unhideWhenUsed="0"/>
    <w:lsdException w:name="toc 2" w:qFormat="1" w:semiHidden="0" w:uiPriority="0" w:unhideWhenUsed="0"/>
    <w:lsdException w:name="toc 3" w:qFormat="1" w:semiHidden="0" w:uiPriority="0" w:unhideWhenUsed="0"/>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0" w:unhideWhenUsed="0"/>
    <w:lsdException w:name="index heading" w:uiPriority="99"/>
    <w:lsdException w:name="caption" w:qFormat="1" w:semiHidden="0" w:uiPriority="0"/>
    <w:lsdException w:name="table of figures" w:uiPriority="99"/>
    <w:lsdException w:name="envelope address" w:uiPriority="99"/>
    <w:lsdException w:name="envelope return" w:uiPriority="99"/>
    <w:lsdException w:name="footnote reference" w:qFormat="1" w:semiHidden="0" w:uiPriority="0" w:unhideWhenUsed="0"/>
    <w:lsdException w:name="annotation reference" w:qFormat="1" w:semiHidden="0" w:uiPriority="0" w:unhideWhenUsed="0"/>
    <w:lsdException w:name="line number" w:uiPriority="99"/>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0" w:unhideWhenUsed="0"/>
    <w:lsdException w:name="Closing" w:uiPriority="99"/>
    <w:lsdException w:name="Signature" w:qFormat="1" w:semiHidden="0" w:uiPriority="0" w:unhideWhenUsed="0"/>
    <w:lsdException w:name="Default Paragraph Font" w:qFormat="1" w:uiPriority="0" w:unhideWhenUsed="0"/>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0" w:unhideWhenUsed="0"/>
    <w:lsdException w:name="Salutation" w:qFormat="1" w:semiHidden="0" w:uiPriority="0" w:unhideWhenUsed="0"/>
    <w:lsdException w:name="Date" w:qFormat="1" w:semiHidden="0" w:uiPriority="0" w:unhideWhenUsed="0"/>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0"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uiPriority="99"/>
    <w:lsdException w:name="Plain Text" w:uiPriority="99"/>
    <w:lsdException w:name="E-mail Signature" w:uiPriority="99"/>
    <w:lsdException w:name="Normal (Web)" w:qFormat="1" w:semiHidden="0" w:uiPriority="0" w:unhideWhenUsed="0"/>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qFormat="1" w:semiHidden="0" w:uiPriority="0" w:unhideWhenUsed="0"/>
    <w:lsdException w:name="HTML Sample" w:uiPriority="99"/>
    <w:lsdException w:name="HTML Typewriter" w:uiPriority="99"/>
    <w:lsdException w:name="HTML Variable" w:uiPriority="99"/>
    <w:lsdException w:name="Normal Table" w:qFormat="1" w:uiPriority="99"/>
    <w:lsdException w:name="annotation subject" w:qFormat="1" w:semiHidden="0" w:uiPriority="0" w:unhideWhenUsed="0"/>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semiHidden="0" w:uiPriority="0" w:unhideWhenUsed="0"/>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djustRightInd w:val="0"/>
      <w:snapToGrid w:val="0"/>
      <w:spacing w:after="20" w:afterLines="20" w:line="288" w:lineRule="auto"/>
      <w:jc w:val="both"/>
    </w:pPr>
    <w:rPr>
      <w:rFonts w:asciiTheme="minorAscii" w:cstheme="minorBidi" w:eastAsiaTheme="minorEastAsia" w:hAnsiTheme="minorAscii"/>
      <w:kern w:val="2"/>
      <w:sz w:val="24"/>
      <w:szCs w:val="24"/>
      <w:lang w:bidi="ar-SA" w:eastAsia="zh-CN" w:val="en-US"/>
    </w:rPr>
  </w:style>
  <w:style w:styleId="2" w:type="paragraph">
    <w:name w:val="heading 1"/>
    <w:basedOn w:val="1"/>
    <w:next w:val="1"/>
    <w:link w:val="42"/>
    <w:qFormat/>
    <w:uiPriority w:val="0"/>
    <w:pPr>
      <w:keepNext/>
      <w:keepLines/>
      <w:adjustRightInd w:val="0"/>
      <w:snapToGrid w:val="0"/>
      <w:spacing w:after="80" w:afterAutospacing="0" w:afterLines="80" w:beforeAutospacing="0" w:beforeLines="0" w:line="288" w:lineRule="auto"/>
      <w:outlineLvl w:val="0"/>
    </w:pPr>
    <w:rPr>
      <w:b/>
      <w:bCs/>
      <w:kern w:val="44"/>
      <w:sz w:val="36"/>
      <w:szCs w:val="36"/>
    </w:rPr>
  </w:style>
  <w:style w:styleId="3" w:type="paragraph">
    <w:name w:val="heading 2"/>
    <w:basedOn w:val="1"/>
    <w:next w:val="1"/>
    <w:link w:val="43"/>
    <w:unhideWhenUsed/>
    <w:qFormat/>
    <w:uiPriority w:val="0"/>
    <w:pPr>
      <w:keepNext/>
      <w:keepLines/>
      <w:spacing w:after="80" w:afterAutospacing="0" w:afterLines="80" w:before="120" w:beforeAutospacing="0" w:beforeLines="120" w:line="288" w:lineRule="auto"/>
      <w:outlineLvl w:val="1"/>
    </w:pPr>
    <w:rPr>
      <w:b/>
      <w:bCs/>
      <w:sz w:val="32"/>
      <w:szCs w:val="32"/>
    </w:rPr>
  </w:style>
  <w:style w:styleId="4" w:type="paragraph">
    <w:name w:val="heading 3"/>
    <w:basedOn w:val="1"/>
    <w:next w:val="1"/>
    <w:link w:val="44"/>
    <w:unhideWhenUsed/>
    <w:qFormat/>
    <w:uiPriority w:val="0"/>
    <w:pPr>
      <w:keepNext/>
      <w:keepLines/>
      <w:spacing w:after="80" w:afterAutospacing="0" w:afterLines="80" w:before="120" w:beforeAutospacing="0" w:beforeLines="120" w:line="288" w:lineRule="auto"/>
      <w:outlineLvl w:val="2"/>
    </w:pPr>
    <w:rPr>
      <w:b/>
      <w:bCs/>
      <w:sz w:val="30"/>
      <w:szCs w:val="30"/>
    </w:rPr>
  </w:style>
  <w:style w:styleId="5" w:type="paragraph">
    <w:name w:val="heading 4"/>
    <w:basedOn w:val="1"/>
    <w:next w:val="1"/>
    <w:link w:val="45"/>
    <w:unhideWhenUsed/>
    <w:qFormat/>
    <w:uiPriority w:val="0"/>
    <w:pPr>
      <w:keepNext/>
      <w:keepLines/>
      <w:spacing w:after="80" w:afterAutospacing="0" w:afterLines="80" w:before="120" w:beforeAutospacing="0" w:beforeLines="120" w:line="288" w:lineRule="auto"/>
      <w:outlineLvl w:val="3"/>
    </w:pPr>
    <w:rPr>
      <w:b/>
      <w:bCs/>
      <w:sz w:val="28"/>
      <w:szCs w:val="28"/>
    </w:rPr>
  </w:style>
  <w:style w:styleId="6" w:type="paragraph">
    <w:name w:val="heading 5"/>
    <w:basedOn w:val="1"/>
    <w:next w:val="7"/>
    <w:link w:val="46"/>
    <w:unhideWhenUsed/>
    <w:qFormat/>
    <w:uiPriority w:val="0"/>
    <w:pPr>
      <w:keepNext/>
      <w:keepLines/>
      <w:spacing w:after="80" w:afterAutospacing="0" w:afterLines="80" w:before="120" w:beforeAutospacing="0" w:beforeLines="120" w:line="288" w:lineRule="auto"/>
      <w:outlineLvl w:val="4"/>
    </w:pPr>
    <w:rPr>
      <w:b/>
      <w:bCs/>
    </w:rPr>
  </w:style>
  <w:style w:styleId="8" w:type="paragraph">
    <w:name w:val="heading 6"/>
    <w:basedOn w:val="1"/>
    <w:next w:val="7"/>
    <w:link w:val="47"/>
    <w:unhideWhenUsed/>
    <w:qFormat/>
    <w:uiPriority w:val="0"/>
    <w:pPr>
      <w:keepNext/>
      <w:keepLines/>
      <w:spacing w:after="80" w:afterAutospacing="0" w:afterLines="80" w:before="120" w:beforeAutospacing="0" w:beforeLines="120" w:line="288" w:lineRule="auto"/>
      <w:outlineLvl w:val="5"/>
    </w:pPr>
    <w:rPr>
      <w:rFonts w:asciiTheme="minorAscii" w:eastAsiaTheme="minorEastAsia" w:hAnsiTheme="minorAscii"/>
      <w:b/>
      <w:bCs/>
    </w:rPr>
  </w:style>
  <w:style w:styleId="9" w:type="paragraph">
    <w:name w:val="heading 7"/>
    <w:basedOn w:val="1"/>
    <w:next w:val="7"/>
    <w:link w:val="48"/>
    <w:unhideWhenUsed/>
    <w:qFormat/>
    <w:uiPriority w:val="0"/>
    <w:pPr>
      <w:keepNext/>
      <w:keepLines/>
      <w:spacing w:after="80" w:afterAutospacing="0" w:afterLines="80" w:before="120" w:beforeAutospacing="0" w:beforeLines="120" w:line="288" w:lineRule="auto"/>
      <w:outlineLvl w:val="6"/>
    </w:pPr>
    <w:rPr>
      <w:rFonts w:asciiTheme="minorAscii" w:eastAsiaTheme="minorEastAsia" w:hAnsiTheme="minorAscii"/>
      <w:b/>
      <w:bCs/>
    </w:rPr>
  </w:style>
  <w:style w:styleId="10" w:type="paragraph">
    <w:name w:val="heading 8"/>
    <w:basedOn w:val="1"/>
    <w:next w:val="7"/>
    <w:link w:val="49"/>
    <w:unhideWhenUsed/>
    <w:qFormat/>
    <w:uiPriority w:val="0"/>
    <w:pPr>
      <w:keepNext/>
      <w:keepLines/>
      <w:spacing w:after="80" w:afterAutospacing="0" w:afterLines="80" w:before="120" w:beforeAutospacing="0" w:beforeLines="120" w:line="288" w:lineRule="auto"/>
      <w:outlineLvl w:val="7"/>
    </w:pPr>
    <w:rPr>
      <w:rFonts w:asciiTheme="minorAscii" w:eastAsiaTheme="minorEastAsia" w:hAnsiTheme="minorAscii"/>
      <w:b/>
      <w:bCs/>
    </w:rPr>
  </w:style>
  <w:style w:styleId="11" w:type="paragraph">
    <w:name w:val="heading 9"/>
    <w:basedOn w:val="1"/>
    <w:next w:val="7"/>
    <w:link w:val="50"/>
    <w:unhideWhenUsed/>
    <w:qFormat/>
    <w:uiPriority w:val="0"/>
    <w:pPr>
      <w:keepNext/>
      <w:keepLines/>
      <w:spacing w:after="80" w:afterAutospacing="0" w:afterLines="80" w:before="120" w:beforeAutospacing="0" w:beforeLines="120" w:line="288" w:lineRule="auto"/>
      <w:outlineLvl w:val="8"/>
    </w:pPr>
    <w:rPr>
      <w:rFonts w:asciiTheme="minorAscii" w:eastAsiaTheme="minorEastAsia" w:hAnsiTheme="minorAscii"/>
      <w:b/>
      <w:bCs/>
      <w:sz w:val="24"/>
    </w:rPr>
  </w:style>
  <w:style w:default="1" w:styleId="32" w:type="character">
    <w:name w:val="Default Paragraph Font"/>
    <w:semiHidden/>
    <w:qFormat/>
    <w:uiPriority w:val="0"/>
  </w:style>
  <w:style w:default="1" w:styleId="30" w:type="table">
    <w:name w:val="Normal Table"/>
    <w:semiHidden/>
    <w:unhideWhenUsed/>
    <w:qFormat/>
    <w:uiPriority w:val="99"/>
    <w:tblPr>
      <w:tblCellMar>
        <w:top w:type="dxa" w:w="0"/>
        <w:left w:type="dxa" w:w="108"/>
        <w:bottom w:type="dxa" w:w="0"/>
        <w:right w:type="dxa" w:w="108"/>
      </w:tblCellMar>
    </w:tblPr>
  </w:style>
  <w:style w:styleId="7" w:type="paragraph">
    <w:name w:val="Body Text"/>
    <w:basedOn w:val="1"/>
    <w:qFormat/>
    <w:uiPriority w:val="0"/>
    <w:pPr>
      <w:spacing w:after="120" w:afterAutospacing="0" w:afterLines="0"/>
    </w:pPr>
  </w:style>
  <w:style w:styleId="12" w:type="paragraph">
    <w:name w:val="caption"/>
    <w:basedOn w:val="1"/>
    <w:next w:val="1"/>
    <w:unhideWhenUsed/>
    <w:qFormat/>
    <w:uiPriority w:val="0"/>
    <w:pPr>
      <w:ind w:firstLine="0" w:firstLineChars="0"/>
    </w:pPr>
    <w:rPr>
      <w:rFonts w:asciiTheme="minorAscii" w:cs="Times New Roman" w:eastAsiaTheme="minorEastAsia" w:hAnsiTheme="minorAscii"/>
      <w:sz w:val="24"/>
    </w:rPr>
  </w:style>
  <w:style w:styleId="13" w:type="paragraph">
    <w:name w:val="annotation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4" w:type="paragraph">
    <w:name w:val="Salutation"/>
    <w:basedOn w:val="1"/>
    <w:next w:val="1"/>
    <w:qFormat/>
    <w:uiPriority w:val="0"/>
  </w:style>
  <w:style w:styleId="15" w:type="paragraph">
    <w:name w:val="toc 3"/>
    <w:basedOn w:val="1"/>
    <w:next w:val="1"/>
    <w:qFormat/>
    <w:uiPriority w:val="0"/>
    <w:pPr>
      <w:ind w:left="840" w:leftChars="400"/>
    </w:pPr>
  </w:style>
  <w:style w:styleId="16" w:type="paragraph">
    <w:name w:val="Date"/>
    <w:basedOn w:val="1"/>
    <w:next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17" w:type="paragraph">
    <w:name w:val="endnote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8" w:type="paragraph">
    <w:name w:val="Balloon Text"/>
    <w:basedOn w:val="1"/>
    <w:qFormat/>
    <w:uiPriority w:val="0"/>
    <w:rPr>
      <w:sz w:val="18"/>
      <w:szCs w:val="18"/>
    </w:rPr>
  </w:style>
  <w:style w:styleId="19" w:type="paragraph">
    <w:name w:val="footer"/>
    <w:basedOn w:val="1"/>
    <w:qFormat/>
    <w:uiPriority w:val="0"/>
    <w:pPr>
      <w:tabs>
        <w:tab w:pos="4153" w:val="center"/>
        <w:tab w:pos="8306" w:val="right"/>
      </w:tabs>
      <w:ind w:firstLine="0" w:firstLineChars="0"/>
      <w:jc w:val="left"/>
    </w:pPr>
    <w:rPr>
      <w:sz w:val="18"/>
      <w:szCs w:val="18"/>
    </w:rPr>
  </w:style>
  <w:style w:styleId="20"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pacing w:line="240" w:lineRule="auto"/>
    </w:pPr>
    <w:rPr>
      <w:sz w:val="18"/>
      <w:szCs w:val="18"/>
    </w:rPr>
  </w:style>
  <w:style w:styleId="21" w:type="paragraph">
    <w:name w:val="Signature"/>
    <w:basedOn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22" w:type="paragraph">
    <w:name w:val="toc 1"/>
    <w:basedOn w:val="1"/>
    <w:next w:val="1"/>
    <w:qFormat/>
    <w:uiPriority w:val="0"/>
  </w:style>
  <w:style w:styleId="23" w:type="paragraph">
    <w:name w:val="Subtitle"/>
    <w:basedOn w:val="1"/>
    <w:next w:val="7"/>
    <w:link w:val="52"/>
    <w:qFormat/>
    <w:uiPriority w:val="0"/>
    <w:pPr>
      <w:spacing w:after="60" w:afterAutospacing="0" w:afterLines="0" w:before="240" w:beforeAutospacing="0" w:beforeLines="0" w:line="312" w:lineRule="auto"/>
      <w:jc w:val="center"/>
      <w:outlineLvl w:val="1"/>
    </w:pPr>
    <w:rPr>
      <w:rFonts w:asciiTheme="majorAscii" w:eastAsiaTheme="majorEastAsia" w:hAnsiTheme="majorAscii"/>
      <w:b/>
      <w:kern w:val="28"/>
      <w:sz w:val="32"/>
      <w:szCs w:val="32"/>
    </w:rPr>
  </w:style>
  <w:style w:styleId="24" w:type="paragraph">
    <w:name w:val="footnote text"/>
    <w:basedOn w:val="1"/>
    <w:qFormat/>
    <w:uiPriority w:val="0"/>
    <w:pPr>
      <w:jc w:val="left"/>
    </w:pPr>
    <w:rPr>
      <w:rFonts w:asciiTheme="minorAscii" w:eastAsiaTheme="minorEastAsia" w:hAnsiTheme="minorAscii"/>
      <w:sz w:val="24"/>
      <w:szCs w:val="24"/>
    </w:rPr>
  </w:style>
  <w:style w:styleId="25" w:type="paragraph">
    <w:name w:val="toc 2"/>
    <w:basedOn w:val="1"/>
    <w:next w:val="1"/>
    <w:qFormat/>
    <w:uiPriority w:val="0"/>
    <w:pPr>
      <w:ind w:left="420" w:leftChars="200"/>
    </w:pPr>
  </w:style>
  <w:style w:styleId="26" w:type="paragraph">
    <w:name w:val="HTML Preformatted"/>
    <w:basedOn w:val="1"/>
    <w:qFormat/>
    <w:uiPriority w:val="0"/>
    <w:rPr>
      <w:rFonts w:ascii="Courier New" w:hAnsi="Courier New"/>
      <w:sz w:val="20"/>
    </w:rPr>
  </w:style>
  <w:style w:styleId="27" w:type="paragraph">
    <w:name w:val="Normal (Web)"/>
    <w:basedOn w:val="1"/>
    <w:qFormat/>
    <w:uiPriority w:val="0"/>
    <w:rPr>
      <w:sz w:val="24"/>
    </w:rPr>
  </w:style>
  <w:style w:styleId="28" w:type="paragraph">
    <w:name w:val="Title"/>
    <w:basedOn w:val="1"/>
    <w:link w:val="51"/>
    <w:qFormat/>
    <w:uiPriority w:val="0"/>
    <w:pPr>
      <w:adjustRightInd w:val="0"/>
      <w:snapToGrid w:val="0"/>
      <w:spacing w:after="100" w:afterAutospacing="0" w:afterLines="100" w:beforeAutospacing="0" w:beforeLines="0"/>
      <w:jc w:val="center"/>
      <w:outlineLvl w:val="0"/>
    </w:pPr>
    <w:rPr>
      <w:rFonts w:asciiTheme="majorAscii" w:eastAsiaTheme="majorEastAsia" w:hAnsiTheme="majorAscii"/>
      <w:b/>
      <w:bCs/>
      <w:sz w:val="44"/>
      <w:szCs w:val="44"/>
    </w:rPr>
  </w:style>
  <w:style w:styleId="29" w:type="paragraph">
    <w:name w:val="annotation subject"/>
    <w:basedOn w:val="13"/>
    <w:next w:val="13"/>
    <w:qFormat/>
    <w:uiPriority w:val="0"/>
    <w:rPr>
      <w:b/>
      <w:color w:themeColor="text1" w:themeTint="D9" w:val="262626"/>
      <w14:textFill>
        <w14:solidFill>
          <w14:schemeClr w14:val="tx1">
            <w14:lumMod w14:val="85000"/>
            <w14:lumOff w14:val="15000"/>
          </w14:schemeClr>
        </w14:solidFill>
      </w14:textFill>
    </w:rPr>
  </w:style>
  <w:style w:styleId="31" w:type="table">
    <w:name w:val="Table Grid"/>
    <w:basedOn w:val="30"/>
    <w:qFormat/>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33" w:type="character">
    <w:name w:val="Strong"/>
    <w:basedOn w:val="32"/>
    <w:qFormat/>
    <w:uiPriority w:val="0"/>
    <w:rPr>
      <w:rFonts w:asciiTheme="minorAscii" w:eastAsiaTheme="minorEastAsia" w:hAnsiTheme="minorAscii"/>
      <w:b/>
    </w:rPr>
  </w:style>
  <w:style w:styleId="34" w:type="character">
    <w:name w:val="endnote reference"/>
    <w:basedOn w:val="32"/>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styleId="35" w:type="character">
    <w:name w:val="page number"/>
    <w:qFormat/>
    <w:uiPriority w:val="0"/>
    <w:rPr>
      <w:rFonts w:asciiTheme="minorAscii" w:cs="Times New Roman" w:eastAsiaTheme="minorEastAsia" w:hAnsiTheme="minorAscii"/>
      <w:color w:themeColor="text1" w:themeTint="D9" w:val="262626"/>
      <w:spacing w:val="-6"/>
      <w:kern w:val="2"/>
      <w:sz w:val="28"/>
      <w:szCs w:val="28"/>
      <w:lang w:bidi="ar-SA" w:eastAsia="zh-CN" w:val="en-US"/>
      <w14:textFill>
        <w14:solidFill>
          <w14:schemeClr w14:val="tx1">
            <w14:lumMod w14:val="85000"/>
            <w14:lumOff w14:val="15000"/>
          </w14:schemeClr>
        </w14:solidFill>
      </w14:textFill>
    </w:rPr>
  </w:style>
  <w:style w:styleId="36" w:type="character">
    <w:name w:val="FollowedHyperlink"/>
    <w:basedOn w:val="32"/>
    <w:qFormat/>
    <w:uiPriority w:val="0"/>
    <w:rPr>
      <w:rFonts w:asciiTheme="minorAscii" w:cs="Times New Roman" w:eastAsiaTheme="minorEastAsia" w:hAnsiTheme="minorAscii"/>
      <w:color w:val="800080"/>
      <w:spacing w:val="-6"/>
      <w:kern w:val="2"/>
      <w:sz w:val="24"/>
      <w:szCs w:val="24"/>
      <w:u w:val="single"/>
      <w:lang w:bidi="ar-SA" w:eastAsia="zh-CN" w:val="en-US"/>
    </w:rPr>
  </w:style>
  <w:style w:styleId="37" w:type="character">
    <w:name w:val="Emphasis"/>
    <w:basedOn w:val="32"/>
    <w:qFormat/>
    <w:uiPriority w:val="0"/>
    <w:rPr>
      <w:i/>
    </w:rPr>
  </w:style>
  <w:style w:styleId="38" w:type="character">
    <w:name w:val="Hyperlink"/>
    <w:basedOn w:val="32"/>
    <w:qFormat/>
    <w:uiPriority w:val="0"/>
    <w:rPr>
      <w:rFonts w:asciiTheme="minorAscii" w:cs="Times New Roman" w:eastAsiaTheme="minorEastAsia" w:hAnsiTheme="minorAscii"/>
      <w:caps/>
      <w:color w:val="0000FF"/>
      <w:spacing w:val="-6"/>
      <w:kern w:val="2"/>
      <w:sz w:val="24"/>
      <w:szCs w:val="24"/>
      <w:u w:val="single"/>
      <w:lang w:bidi="ar-SA" w:eastAsia="zh-CN" w:val="en-US"/>
    </w:rPr>
  </w:style>
  <w:style w:styleId="39" w:type="character">
    <w:name w:val="annotation reference"/>
    <w:basedOn w:val="32"/>
    <w:qFormat/>
    <w:uiPriority w:val="0"/>
    <w:rPr>
      <w:rFonts w:asciiTheme="minorAscii" w:eastAsiaTheme="minorEastAsia" w:hAnsiTheme="minorAscii"/>
      <w:color w:themeColor="text1" w:themeTint="D9" w:val="262626"/>
      <w:sz w:val="21"/>
      <w:szCs w:val="21"/>
      <w14:textFill>
        <w14:solidFill>
          <w14:schemeClr w14:val="tx1">
            <w14:lumMod w14:val="85000"/>
            <w14:lumOff w14:val="15000"/>
          </w14:schemeClr>
        </w14:solidFill>
      </w14:textFill>
    </w:rPr>
  </w:style>
  <w:style w:styleId="40" w:type="character">
    <w:name w:val="footnote reference"/>
    <w:basedOn w:val="32"/>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customStyle="1" w:styleId="41" w:type="paragraph">
    <w:name w:val="模板"/>
    <w:basedOn w:val="1"/>
    <w:qFormat/>
    <w:uiPriority w:val="0"/>
    <w:pPr>
      <w:spacing w:line="360" w:lineRule="auto"/>
      <w:ind w:firstLine="440" w:firstLineChars="200"/>
    </w:pPr>
    <w:rPr>
      <w:rFonts w:ascii="Times New Roman" w:eastAsia="宋体" w:hAnsi="Times New Roman" w:hint="default"/>
      <w:color w:themeColor="text1" w:val="000000"/>
      <w:sz w:val="24"/>
      <w14:textFill>
        <w14:solidFill>
          <w14:schemeClr w14:val="tx1"/>
        </w14:solidFill>
      </w14:textFill>
      <w14:ligatures w14:val="standardContextual"/>
    </w:rPr>
  </w:style>
  <w:style w:customStyle="1" w:styleId="42" w:type="character">
    <w:name w:val="标题 1 字符"/>
    <w:link w:val="2"/>
    <w:qFormat/>
    <w:uiPriority w:val="9"/>
    <w:rPr>
      <w:b/>
      <w:bCs/>
      <w:kern w:val="44"/>
      <w:sz w:val="36"/>
      <w:szCs w:val="36"/>
    </w:rPr>
  </w:style>
  <w:style w:customStyle="1" w:styleId="43" w:type="character">
    <w:name w:val="标题 2 字符"/>
    <w:link w:val="3"/>
    <w:semiHidden/>
    <w:qFormat/>
    <w:uiPriority w:val="9"/>
    <w:rPr>
      <w:b/>
      <w:bCs/>
      <w:sz w:val="32"/>
      <w:szCs w:val="32"/>
    </w:rPr>
  </w:style>
  <w:style w:customStyle="1" w:styleId="44" w:type="character">
    <w:name w:val="标题 3 字符"/>
    <w:link w:val="4"/>
    <w:semiHidden/>
    <w:qFormat/>
    <w:uiPriority w:val="9"/>
    <w:rPr>
      <w:b/>
      <w:bCs/>
      <w:sz w:val="30"/>
      <w:szCs w:val="30"/>
    </w:rPr>
  </w:style>
  <w:style w:customStyle="1" w:styleId="45" w:type="character">
    <w:name w:val="标题 4 字符"/>
    <w:link w:val="5"/>
    <w:semiHidden/>
    <w:qFormat/>
    <w:uiPriority w:val="9"/>
    <w:rPr>
      <w:b/>
      <w:bCs/>
      <w:sz w:val="28"/>
      <w:szCs w:val="28"/>
    </w:rPr>
  </w:style>
  <w:style w:customStyle="1" w:styleId="46" w:type="character">
    <w:name w:val="标题 5 字符"/>
    <w:link w:val="6"/>
    <w:semiHidden/>
    <w:qFormat/>
    <w:uiPriority w:val="9"/>
    <w:rPr>
      <w:b/>
      <w:bCs/>
    </w:rPr>
  </w:style>
  <w:style w:customStyle="1" w:styleId="47" w:type="character">
    <w:name w:val="标题 6 字符"/>
    <w:link w:val="8"/>
    <w:semiHidden/>
    <w:qFormat/>
    <w:uiPriority w:val="9"/>
    <w:rPr>
      <w:rFonts w:asciiTheme="minorAscii" w:eastAsiaTheme="minorEastAsia" w:hAnsiTheme="minorAscii"/>
      <w:b/>
      <w:bCs/>
    </w:rPr>
  </w:style>
  <w:style w:customStyle="1" w:styleId="48" w:type="character">
    <w:name w:val="标题 7 字符"/>
    <w:link w:val="9"/>
    <w:semiHidden/>
    <w:qFormat/>
    <w:uiPriority w:val="9"/>
    <w:rPr>
      <w:rFonts w:asciiTheme="minorAscii" w:eastAsiaTheme="minorEastAsia" w:hAnsiTheme="minorAscii"/>
      <w:b/>
      <w:bCs/>
    </w:rPr>
  </w:style>
  <w:style w:customStyle="1" w:styleId="49" w:type="character">
    <w:name w:val="标题 8 字符"/>
    <w:link w:val="10"/>
    <w:semiHidden/>
    <w:qFormat/>
    <w:uiPriority w:val="9"/>
    <w:rPr>
      <w:rFonts w:asciiTheme="minorAscii" w:eastAsiaTheme="minorEastAsia" w:hAnsiTheme="minorAscii"/>
      <w:b/>
      <w:bCs/>
    </w:rPr>
  </w:style>
  <w:style w:customStyle="1" w:styleId="50" w:type="character">
    <w:name w:val="标题 9 字符"/>
    <w:link w:val="11"/>
    <w:semiHidden/>
    <w:qFormat/>
    <w:uiPriority w:val="9"/>
    <w:rPr>
      <w:rFonts w:asciiTheme="minorAscii" w:eastAsiaTheme="minorEastAsia" w:hAnsiTheme="minorAscii"/>
      <w:b/>
      <w:bCs/>
      <w:sz w:val="24"/>
    </w:rPr>
  </w:style>
  <w:style w:customStyle="1" w:styleId="51" w:type="character">
    <w:name w:val="标题 字符"/>
    <w:link w:val="28"/>
    <w:qFormat/>
    <w:uiPriority w:val="10"/>
    <w:rPr>
      <w:rFonts w:asciiTheme="majorAscii" w:eastAsiaTheme="majorEastAsia" w:hAnsiTheme="majorAscii"/>
      <w:b/>
      <w:bCs/>
      <w:sz w:val="44"/>
      <w:szCs w:val="44"/>
    </w:rPr>
  </w:style>
  <w:style w:customStyle="1" w:styleId="52" w:type="character">
    <w:name w:val="副标题 字符"/>
    <w:link w:val="23"/>
    <w:qFormat/>
    <w:uiPriority w:val="11"/>
    <w:rPr>
      <w:rFonts w:asciiTheme="majorAscii" w:eastAsiaTheme="majorEastAsia" w:hAnsiTheme="majorAscii"/>
      <w:b/>
      <w:kern w:val="28"/>
      <w:sz w:val="32"/>
      <w:szCs w:val="32"/>
    </w:rPr>
  </w:style>
  <w:style w:styleId="53" w:type="paragraph">
    <w:name w:val="Quote"/>
    <w:basedOn w:val="1"/>
    <w:next w:val="1"/>
    <w:link w:val="54"/>
    <w:qFormat/>
    <w:uiPriority w:val="29"/>
    <w:pPr>
      <w:spacing w:before="160"/>
      <w:jc w:val="center"/>
    </w:pPr>
    <w:rPr>
      <w:i/>
      <w:iCs/>
      <w:color w:themeColor="text1" w:themeTint="BF" w:val="404040"/>
      <w14:textFill>
        <w14:solidFill>
          <w14:schemeClr w14:val="tx1">
            <w14:lumMod w14:val="75000"/>
            <w14:lumOff w14:val="25000"/>
          </w14:schemeClr>
        </w14:solidFill>
      </w14:textFill>
    </w:rPr>
  </w:style>
  <w:style w:customStyle="1" w:styleId="54" w:type="character">
    <w:name w:val="引用 字符"/>
    <w:basedOn w:val="32"/>
    <w:link w:val="53"/>
    <w:qFormat/>
    <w:uiPriority w:val="29"/>
    <w:rPr>
      <w:i/>
      <w:iCs/>
      <w:color w:themeColor="text1" w:themeTint="BF" w:val="404040"/>
      <w14:textFill>
        <w14:solidFill>
          <w14:schemeClr w14:val="tx1">
            <w14:lumMod w14:val="75000"/>
            <w14:lumOff w14:val="25000"/>
          </w14:schemeClr>
        </w14:solidFill>
      </w14:textFill>
    </w:rPr>
  </w:style>
  <w:style w:styleId="55" w:type="paragraph">
    <w:name w:val="List Paragraph"/>
    <w:basedOn w:val="1"/>
    <w:qFormat/>
    <w:uiPriority w:val="34"/>
    <w:pPr>
      <w:ind w:left="720"/>
      <w:contextualSpacing/>
    </w:pPr>
  </w:style>
  <w:style w:customStyle="1" w:styleId="56" w:type="character">
    <w:name w:val="Intense Emphasis"/>
    <w:basedOn w:val="32"/>
    <w:qFormat/>
    <w:uiPriority w:val="21"/>
    <w:rPr>
      <w:i/>
      <w:iCs/>
      <w:color w:themeColor="accent1" w:themeShade="BF" w:val="2F5597"/>
    </w:rPr>
  </w:style>
  <w:style w:styleId="57" w:type="paragraph">
    <w:name w:val="Intense Quote"/>
    <w:basedOn w:val="1"/>
    <w:next w:val="1"/>
    <w:link w:val="58"/>
    <w:qFormat/>
    <w:uiPriority w:val="30"/>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597"/>
    </w:rPr>
  </w:style>
  <w:style w:customStyle="1" w:styleId="58" w:type="character">
    <w:name w:val="明显引用 字符"/>
    <w:basedOn w:val="32"/>
    <w:link w:val="57"/>
    <w:qFormat/>
    <w:uiPriority w:val="30"/>
    <w:rPr>
      <w:i/>
      <w:iCs/>
      <w:color w:themeColor="accent1" w:themeShade="BF" w:val="2F5597"/>
    </w:rPr>
  </w:style>
  <w:style w:customStyle="1" w:styleId="59" w:type="character">
    <w:name w:val="Intense Reference"/>
    <w:basedOn w:val="32"/>
    <w:qFormat/>
    <w:uiPriority w:val="32"/>
    <w:rPr>
      <w:b/>
      <w:bCs/>
      <w:smallCaps/>
      <w:color w:themeColor="accent1" w:themeShade="BF" w:val="2F5597"/>
      <w:spacing w:val="5"/>
    </w:rPr>
  </w:style>
  <w:style w:customStyle="1" w:styleId="60" w:type="paragraph">
    <w:name w:val="Source Code"/>
    <w:qFormat/>
    <w:uiPriority w:val="0"/>
    <w:pPr>
      <w:wordWrap w:val="0"/>
      <w:spacing w:after="160" w:line="278" w:lineRule="auto"/>
    </w:pPr>
    <w:rPr>
      <w:rFonts w:asciiTheme="minorHAnsi" w:cstheme="minorBidi" w:eastAsiaTheme="minorEastAsia" w:hAnsiTheme="minorHAnsi"/>
      <w:kern w:val="2"/>
      <w:sz w:val="22"/>
      <w:szCs w:val="24"/>
      <w:lang w:bidi="ar-SA" w:eastAsia="zh-CN" w:val="en-US"/>
      <w14:ligatures w14:val="standardContextual"/>
    </w:rPr>
  </w:style>
  <w:style w:customStyle="1" w:styleId="61" w:type="character">
    <w:name w:val="KeywordTok"/>
    <w:qFormat/>
    <w:uiPriority w:val="0"/>
    <w:rPr>
      <w:b/>
      <w:color w:val="007020"/>
    </w:rPr>
  </w:style>
  <w:style w:customStyle="1" w:styleId="62" w:type="character">
    <w:name w:val="DataTypeTok"/>
    <w:qFormat/>
    <w:uiPriority w:val="0"/>
    <w:rPr>
      <w:color w:val="902000"/>
    </w:rPr>
  </w:style>
  <w:style w:customStyle="1" w:styleId="63" w:type="character">
    <w:name w:val="DecValTok"/>
    <w:qFormat/>
    <w:uiPriority w:val="0"/>
    <w:rPr>
      <w:color w:val="40A070"/>
    </w:rPr>
  </w:style>
  <w:style w:customStyle="1" w:styleId="64" w:type="character">
    <w:name w:val="BaseNTok"/>
    <w:qFormat/>
    <w:uiPriority w:val="0"/>
    <w:rPr>
      <w:color w:val="40A070"/>
    </w:rPr>
  </w:style>
  <w:style w:customStyle="1" w:styleId="65" w:type="character">
    <w:name w:val="FloatTok"/>
    <w:qFormat/>
    <w:uiPriority w:val="0"/>
    <w:rPr>
      <w:color w:val="40A070"/>
    </w:rPr>
  </w:style>
  <w:style w:customStyle="1" w:styleId="66" w:type="character">
    <w:name w:val="ConstantTok"/>
    <w:qFormat/>
    <w:uiPriority w:val="0"/>
    <w:rPr>
      <w:color w:val="880000"/>
    </w:rPr>
  </w:style>
  <w:style w:customStyle="1" w:styleId="67" w:type="character">
    <w:name w:val="CharTok"/>
    <w:qFormat/>
    <w:uiPriority w:val="0"/>
    <w:rPr>
      <w:color w:val="4070A0"/>
    </w:rPr>
  </w:style>
  <w:style w:customStyle="1" w:styleId="68" w:type="character">
    <w:name w:val="SpecialCharTok"/>
    <w:qFormat/>
    <w:uiPriority w:val="0"/>
    <w:rPr>
      <w:color w:val="4070A0"/>
    </w:rPr>
  </w:style>
  <w:style w:customStyle="1" w:styleId="69" w:type="character">
    <w:name w:val="StringTok"/>
    <w:qFormat/>
    <w:uiPriority w:val="0"/>
    <w:rPr>
      <w:color w:val="4070A0"/>
    </w:rPr>
  </w:style>
  <w:style w:customStyle="1" w:styleId="70" w:type="character">
    <w:name w:val="VerbatimStringTok"/>
    <w:qFormat/>
    <w:uiPriority w:val="0"/>
    <w:rPr>
      <w:color w:val="4070A0"/>
    </w:rPr>
  </w:style>
  <w:style w:customStyle="1" w:styleId="71" w:type="character">
    <w:name w:val="SpecialStringTok"/>
    <w:qFormat/>
    <w:uiPriority w:val="0"/>
    <w:rPr>
      <w:color w:val="BB6688"/>
    </w:rPr>
  </w:style>
  <w:style w:customStyle="1" w:styleId="72" w:type="character">
    <w:name w:val="ImportTok"/>
    <w:qFormat/>
    <w:uiPriority w:val="0"/>
    <w:rPr>
      <w:b/>
      <w:color w:val="008000"/>
    </w:rPr>
  </w:style>
  <w:style w:customStyle="1" w:styleId="73" w:type="character">
    <w:name w:val="CommentTok"/>
    <w:qFormat/>
    <w:uiPriority w:val="0"/>
    <w:rPr>
      <w:i/>
      <w:color w:val="60A0B0"/>
    </w:rPr>
  </w:style>
  <w:style w:customStyle="1" w:styleId="74" w:type="character">
    <w:name w:val="DocumentationTok"/>
    <w:qFormat/>
    <w:uiPriority w:val="0"/>
    <w:rPr>
      <w:i/>
      <w:color w:val="BA2121"/>
    </w:rPr>
  </w:style>
  <w:style w:customStyle="1" w:styleId="75" w:type="character">
    <w:name w:val="AnnotationTok"/>
    <w:qFormat/>
    <w:uiPriority w:val="0"/>
    <w:rPr>
      <w:b/>
      <w:i/>
      <w:color w:val="60A0B0"/>
    </w:rPr>
  </w:style>
  <w:style w:customStyle="1" w:styleId="76" w:type="character">
    <w:name w:val="CommentVarTok"/>
    <w:qFormat/>
    <w:uiPriority w:val="0"/>
    <w:rPr>
      <w:b/>
      <w:i/>
      <w:color w:val="60A0B0"/>
    </w:rPr>
  </w:style>
  <w:style w:customStyle="1" w:styleId="77" w:type="character">
    <w:name w:val="OtherTok"/>
    <w:uiPriority w:val="0"/>
    <w:rPr>
      <w:color w:val="007020"/>
    </w:rPr>
  </w:style>
  <w:style w:customStyle="1" w:styleId="78" w:type="character">
    <w:name w:val="FunctionTok"/>
    <w:uiPriority w:val="0"/>
    <w:rPr>
      <w:color w:val="06287E"/>
    </w:rPr>
  </w:style>
  <w:style w:customStyle="1" w:styleId="79" w:type="character">
    <w:name w:val="VariableTok"/>
    <w:uiPriority w:val="0"/>
    <w:rPr>
      <w:color w:val="19177C"/>
    </w:rPr>
  </w:style>
  <w:style w:customStyle="1" w:styleId="80" w:type="character">
    <w:name w:val="ControlFlowTok"/>
    <w:uiPriority w:val="0"/>
    <w:rPr>
      <w:b/>
      <w:color w:val="007020"/>
    </w:rPr>
  </w:style>
  <w:style w:customStyle="1" w:styleId="81" w:type="character">
    <w:name w:val="OperatorTok"/>
    <w:uiPriority w:val="0"/>
    <w:rPr>
      <w:color w:val="666666"/>
    </w:rPr>
  </w:style>
  <w:style w:customStyle="1" w:styleId="82" w:type="character">
    <w:name w:val="BuiltInTok"/>
    <w:qFormat/>
    <w:uiPriority w:val="0"/>
    <w:rPr>
      <w:color w:val="008000"/>
    </w:rPr>
  </w:style>
  <w:style w:customStyle="1" w:styleId="83" w:type="character">
    <w:name w:val="ExtensionTok"/>
    <w:qFormat/>
    <w:uiPriority w:val="0"/>
  </w:style>
  <w:style w:customStyle="1" w:styleId="84" w:type="character">
    <w:name w:val="PreprocessorTok"/>
    <w:qFormat/>
    <w:uiPriority w:val="0"/>
    <w:rPr>
      <w:color w:val="BC7A00"/>
    </w:rPr>
  </w:style>
  <w:style w:customStyle="1" w:styleId="85" w:type="character">
    <w:name w:val="AttributeTok"/>
    <w:qFormat/>
    <w:uiPriority w:val="0"/>
    <w:rPr>
      <w:color w:val="7D9029"/>
    </w:rPr>
  </w:style>
  <w:style w:customStyle="1" w:styleId="86" w:type="character">
    <w:name w:val="RegionMarkerTok"/>
    <w:uiPriority w:val="0"/>
  </w:style>
  <w:style w:customStyle="1" w:styleId="87" w:type="character">
    <w:name w:val="InformationTok"/>
    <w:uiPriority w:val="0"/>
    <w:rPr>
      <w:b/>
      <w:i/>
      <w:color w:val="60A0B0"/>
    </w:rPr>
  </w:style>
  <w:style w:customStyle="1" w:styleId="88" w:type="character">
    <w:name w:val="WarningTok"/>
    <w:uiPriority w:val="0"/>
    <w:rPr>
      <w:b/>
      <w:i/>
      <w:color w:val="60A0B0"/>
    </w:rPr>
  </w:style>
  <w:style w:customStyle="1" w:styleId="89" w:type="character">
    <w:name w:val="AlertTok"/>
    <w:qFormat/>
    <w:uiPriority w:val="0"/>
    <w:rPr>
      <w:b/>
      <w:color w:val="FF0000"/>
    </w:rPr>
  </w:style>
  <w:style w:customStyle="1" w:styleId="90" w:type="character">
    <w:name w:val="ErrorTok"/>
    <w:uiPriority w:val="0"/>
    <w:rPr>
      <w:b/>
      <w:color w:val="FF0000"/>
    </w:rPr>
  </w:style>
  <w:style w:customStyle="1" w:styleId="91" w:type="character">
    <w:name w:val="NormalTok"/>
    <w:uiPriority w:val="0"/>
  </w:style>
  <w:style w:customStyle="1" w:styleId="92" w:type="table">
    <w:name w:val="Table"/>
    <w:basedOn w:val="30"/>
    <w:uiPriority w:val="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 w:customStyle="1" w:styleId="93" w:type="table">
    <w:name w:val="Academic Table"/>
    <w:uiPriority w:val="0"/>
    <w:tblPr>
      <w:tblBorders>
        <w:top w:color="000000" w:space="0" w:sz="6" w:val="single"/>
        <w:left w:color="000000" w:space="0" w:sz="6" w:val="single"/>
        <w:bottom w:color="000000" w:space="0" w:sz="6" w:val="single"/>
        <w:right w:color="000000" w:space="0" w:sz="6" w:val="single"/>
        <w:insideH w:color="666666" w:space="0" w:sz="6" w:val="single"/>
        <w:insideV w:color="666666" w:space="0" w:sz="6" w:val="single"/>
      </w:tblBorders>
      <w:tblCellMar>
        <w:top w:type="dxa" w:w="108"/>
        <w:left w:type="dxa" w:w="108"/>
        <w:bottom w:type="dxa" w:w="108"/>
        <w:right w:type="dxa" w:w="108"/>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webSettings" Target="webSettings.xml"/><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notes" Target="footnotes.xml"/><Relationship Id="rId6" Type="http://schemas.openxmlformats.org/officeDocument/2006/relationships/comments" Target="comments.xml"/><Relationship Id="rId5" Type="http://schemas.openxmlformats.org/officeDocument/2006/relationships/footer" Target="footer1.xml"/><Relationship Id="rId78" Type="http://schemas.openxmlformats.org/officeDocument/2006/relationships/hyperlink" Target="http://ping.guba.sina.com.cn/?s=thread&amp;bid=1462&amp;tid=272161" TargetMode="External"/><Relationship Id="rId41" Type="http://schemas.openxmlformats.org/officeDocument/2006/relationships/hyperlink" Target="http://www.360doc.com/content/25/0228/19/75349947_1147849696.shtml" TargetMode="External"/><Relationship Id="rId18" Type="http://schemas.openxmlformats.org/officeDocument/2006/relationships/hyperlink" Target="http://www.w-testing.com/wenzhang/niaosuanmei.html" TargetMode="External"/><Relationship Id="rId26" Type="http://schemas.openxmlformats.org/officeDocument/2006/relationships/hyperlink" Target="https://analytics.zhihuiya.com/patent-view/abst?patentId=16be4f6f-1b80-497a-b282-1bdfebccb46f" TargetMode="External"/><Relationship Id="rId25" Type="http://schemas.openxmlformats.org/officeDocument/2006/relationships/hyperlink" Target="https://analytics.zhihuiya.com/patent-view/abst?patentId=80ba20b3-a1c4-4228-a25e-a263b41ec30a" TargetMode="External"/><Relationship Id="rId24" Type="http://schemas.openxmlformats.org/officeDocument/2006/relationships/hyperlink" Target="https://analytics.zhihuiya.com/patent-view/abst?patentId=9212fa51-7be8-4f7c-8b03-2e9bc593a596" TargetMode="External"/><Relationship Id="rId91" Type="http://schemas.openxmlformats.org/officeDocument/2006/relationships/hyperlink" Target="https://analytics.zhihuiya.com/patent-view/abst?patentId=9833a2d4-adc1-4746-a1cd-f3af7d187819" TargetMode="External"/><Relationship Id="rId33" Type="http://schemas.openxmlformats.org/officeDocument/2006/relationships/hyperlink" Target="https://doi.org/10.1016/S2665-9913(24)00117-6" TargetMode="External"/><Relationship Id="rId14" Type="http://schemas.openxmlformats.org/officeDocument/2006/relationships/hyperlink" Target="https://doi.org/10.1080/16549716.2021.1874652" TargetMode="External"/><Relationship Id="rId17" Type="http://schemas.openxmlformats.org/officeDocument/2006/relationships/hyperlink" Target="https://doi.org/10.1136/annrheumdis-2016-209707" TargetMode="External"/><Relationship Id="rId49" Type="http://schemas.openxmlformats.org/officeDocument/2006/relationships/hyperlink" Target="https://finance.sina.com.cn/stock/hkstock/ggscyd/2021-03-05/doc-ikftpnnz2654564.shtml" TargetMode="External"/><Relationship Id="rId40" Type="http://schemas.openxmlformats.org/officeDocument/2006/relationships/hyperlink" Target="https://link.springer.com/10.1007/s13346-015-0219-1" TargetMode="External"/><Relationship Id="rId80" Type="http://schemas.openxmlformats.org/officeDocument/2006/relationships/hyperlink" Target="https://link.springer.com/article/10.1007/s11926-023-01128-3" TargetMode="External"/><Relationship Id="rId59" Type="http://schemas.openxmlformats.org/officeDocument/2006/relationships/hyperlink" Target="https://m.zixin.com.cn/doc/2497425.html" TargetMode="External"/><Relationship Id="rId74" Type="http://schemas.openxmlformats.org/officeDocument/2006/relationships/hyperlink" Target="https://max.book118.com/html/2018/1207/7052056052001163.shtm" TargetMode="External"/><Relationship Id="rId83" Type="http://schemas.openxmlformats.org/officeDocument/2006/relationships/hyperlink" Target="https://max.book118.com/html/2021/1208/7154160153004061.shtm" TargetMode="External"/><Relationship Id="rId16" Type="http://schemas.openxmlformats.org/officeDocument/2006/relationships/hyperlink" Target="https://max.book118.com/html/2023/0819/5101123304010312.shtm" TargetMode="External"/><Relationship Id="rId82" Type="http://schemas.openxmlformats.org/officeDocument/2006/relationships/hyperlink" Target="https://max.book118.com/html/2023/1118/8020041116006006.shtm" TargetMode="External"/><Relationship Id="rId69" Type="http://schemas.openxmlformats.org/officeDocument/2006/relationships/hyperlink" Target="https://max.book118.com/html/2024/0112/7062122110006030.shtm" TargetMode="External"/><Relationship Id="rId79" Type="http://schemas.openxmlformats.org/officeDocument/2006/relationships/hyperlink" Target="https://max.book118.com/html/2024/1204/6153202213011004.shtm" TargetMode="External"/><Relationship Id="rId63" Type="http://schemas.openxmlformats.org/officeDocument/2006/relationships/hyperlink" Target="https://max.book118.com/html/2025/0302/6153145231011050.shtm" TargetMode="External"/><Relationship Id="rId66" Type="http://schemas.openxmlformats.org/officeDocument/2006/relationships/hyperlink" Target="https://max.book118.com/html/2025/0321/5023044234012121.shtm" TargetMode="External"/><Relationship Id="rId73" Type="http://schemas.openxmlformats.org/officeDocument/2006/relationships/hyperlink" Target="https://mob.muchong.com/t-12256555-1" TargetMode="External"/><Relationship Id="rId42" Type="http://schemas.openxmlformats.org/officeDocument/2006/relationships/hyperlink" Target="https://mr-gut.cn/discovery/recommend/3d5f34145cf2494bb876df856e336272" TargetMode="External"/><Relationship Id="rId19" Type="http://schemas.openxmlformats.org/officeDocument/2006/relationships/hyperlink" Target="https://readpaper.com/paper/2326355551" TargetMode="External"/><Relationship Id="rId20" Type="http://schemas.openxmlformats.org/officeDocument/2006/relationships/hyperlink" Target="https://stock.hexun.com/2022-01-04/205059065.html" TargetMode="External"/><Relationship Id="rId21" Type="http://schemas.openxmlformats.org/officeDocument/2006/relationships/hyperlink" Target="https://www.163.com/dy/article/GNVV3E3105349C3I.html" TargetMode="External"/><Relationship Id="rId45" Type="http://schemas.openxmlformats.org/officeDocument/2006/relationships/hyperlink" Target="https://www.allenapharma.com/" TargetMode="External"/><Relationship Id="rId55" Type="http://schemas.openxmlformats.org/officeDocument/2006/relationships/hyperlink" Target="https://www.bilibili.com/read/cv23996378" TargetMode="External"/><Relationship Id="rId37" Type="http://schemas.openxmlformats.org/officeDocument/2006/relationships/hyperlink" Target="https://www.biomart.cn/infosupply/11986158.htm" TargetMode="External"/><Relationship Id="rId22" Type="http://schemas.openxmlformats.org/officeDocument/2006/relationships/hyperlink" Target="https://www.cnki.com.cn/Article/CJFDTOTAL-SWTX200806024.htm" TargetMode="External"/><Relationship Id="rId28" Type="http://schemas.openxmlformats.org/officeDocument/2006/relationships/hyperlink" Target="https://www.doc88.com/p-2252516594690.html" TargetMode="External"/><Relationship Id="rId34" Type="http://schemas.openxmlformats.org/officeDocument/2006/relationships/hyperlink" Target="https://www.doc88.com/p-50499622970841.html" TargetMode="External"/><Relationship Id="rId23" Type="http://schemas.openxmlformats.org/officeDocument/2006/relationships/hyperlink" Target="https://www.doc88.com/p-90725312199.html" TargetMode="External"/><Relationship Id="rId30" Type="http://schemas.openxmlformats.org/officeDocument/2006/relationships/hyperlink" Target="https://www.docin.com/p-2209345378.html" TargetMode="External"/><Relationship Id="rId68" Type="http://schemas.openxmlformats.org/officeDocument/2006/relationships/hyperlink" Target="https://www.fwsir.com/Article/html/Article_20160919104256_345603.html" TargetMode="External"/><Relationship Id="rId29" Type="http://schemas.openxmlformats.org/officeDocument/2006/relationships/hyperlink" Target="https://www.medsci.cn/guideline/show_article.do?id=eddb41c0022262ad" TargetMode="External"/><Relationship Id="rId58" Type="http://schemas.openxmlformats.org/officeDocument/2006/relationships/hyperlink" Target="https://www.sohu.com/a/815599454_121779087" TargetMode="External"/><Relationship Id="rId64" Type="http://schemas.openxmlformats.org/officeDocument/2006/relationships/hyperlink" Target="https://www.sohu.com/a/875203871_122006510" TargetMode="External"/><Relationship Id="rId31" Type="http://schemas.openxmlformats.org/officeDocument/2006/relationships/hyperlink" Target="https://www.sohu.com/a/882066133_120762504" TargetMode="External"/><Relationship Id="rId48" Type="http://schemas.openxmlformats.org/officeDocument/2006/relationships/hyperlink" Target="https://www.thepaper.cn/newsDetail_forward_14001099" TargetMode="External"/><Relationship Id="rId27" Type="http://schemas.openxmlformats.org/officeDocument/2006/relationships/hyperlink" Target="https://www.vzkoo.com/question/1743560411595940" TargetMode="External"/><Relationship Id="rId57" Type="http://schemas.openxmlformats.org/officeDocument/2006/relationships/hyperlink" Target="https://www.yaopinnet.com/tools/yibao2024/detail.asp?id=9366" TargetMode="External"/><Relationship Id="rId15" Type="http://schemas.openxmlformats.org/officeDocument/2006/relationships/hyperlink" Target="https://xueqiu.com/3494990516/273576019" TargetMode="External"/></Relationships>
</file>

<file path=word/_rels/footnotes.xml.rels><?xml version='1.0' encoding='UTF-8' standalone='yes'?>
<Relationships xmlns="http://schemas.openxmlformats.org/package/2006/relationships"><Relationship Id="rId78" Type="http://schemas.openxmlformats.org/officeDocument/2006/relationships/hyperlink" Target="http://ping.guba.sina.com.cn/?s=thread&amp;bid=1462&amp;tid=272161" TargetMode="External"/><Relationship Id="rId41" Type="http://schemas.openxmlformats.org/officeDocument/2006/relationships/hyperlink" Target="http://www.360doc.com/content/25/0228/19/75349947_1147849696.shtml" TargetMode="External"/><Relationship Id="rId18" Type="http://schemas.openxmlformats.org/officeDocument/2006/relationships/hyperlink" Target="http://www.w-testing.com/wenzhang/niaosuanmei.html" TargetMode="External"/><Relationship Id="rId26" Type="http://schemas.openxmlformats.org/officeDocument/2006/relationships/hyperlink" Target="https://analytics.zhihuiya.com/patent-view/abst?patentId=16be4f6f-1b80-497a-b282-1bdfebccb46f" TargetMode="External"/><Relationship Id="rId25" Type="http://schemas.openxmlformats.org/officeDocument/2006/relationships/hyperlink" Target="https://analytics.zhihuiya.com/patent-view/abst?patentId=80ba20b3-a1c4-4228-a25e-a263b41ec30a" TargetMode="External"/><Relationship Id="rId24" Type="http://schemas.openxmlformats.org/officeDocument/2006/relationships/hyperlink" Target="https://analytics.zhihuiya.com/patent-view/abst?patentId=9212fa51-7be8-4f7c-8b03-2e9bc593a596" TargetMode="External"/><Relationship Id="rId91" Type="http://schemas.openxmlformats.org/officeDocument/2006/relationships/hyperlink" Target="https://analytics.zhihuiya.com/patent-view/abst?patentId=9833a2d4-adc1-4746-a1cd-f3af7d187819" TargetMode="External"/><Relationship Id="rId33" Type="http://schemas.openxmlformats.org/officeDocument/2006/relationships/hyperlink" Target="https://doi.org/10.1016/S2665-9913(24)00117-6" TargetMode="External"/><Relationship Id="rId14" Type="http://schemas.openxmlformats.org/officeDocument/2006/relationships/hyperlink" Target="https://doi.org/10.1080/16549716.2021.1874652" TargetMode="External"/><Relationship Id="rId17" Type="http://schemas.openxmlformats.org/officeDocument/2006/relationships/hyperlink" Target="https://doi.org/10.1136/annrheumdis-2016-209707" TargetMode="External"/><Relationship Id="rId49" Type="http://schemas.openxmlformats.org/officeDocument/2006/relationships/hyperlink" Target="https://finance.sina.com.cn/stock/hkstock/ggscyd/2021-03-05/doc-ikftpnnz2654564.shtml" TargetMode="External"/><Relationship Id="rId40" Type="http://schemas.openxmlformats.org/officeDocument/2006/relationships/hyperlink" Target="https://link.springer.com/10.1007/s13346-015-0219-1" TargetMode="External"/><Relationship Id="rId80" Type="http://schemas.openxmlformats.org/officeDocument/2006/relationships/hyperlink" Target="https://link.springer.com/article/10.1007/s11926-023-01128-3" TargetMode="External"/><Relationship Id="rId59" Type="http://schemas.openxmlformats.org/officeDocument/2006/relationships/hyperlink" Target="https://m.zixin.com.cn/doc/2497425.html" TargetMode="External"/><Relationship Id="rId74" Type="http://schemas.openxmlformats.org/officeDocument/2006/relationships/hyperlink" Target="https://max.book118.com/html/2018/1207/7052056052001163.shtm" TargetMode="External"/><Relationship Id="rId83" Type="http://schemas.openxmlformats.org/officeDocument/2006/relationships/hyperlink" Target="https://max.book118.com/html/2021/1208/7154160153004061.shtm" TargetMode="External"/><Relationship Id="rId16" Type="http://schemas.openxmlformats.org/officeDocument/2006/relationships/hyperlink" Target="https://max.book118.com/html/2023/0819/5101123304010312.shtm" TargetMode="External"/><Relationship Id="rId82" Type="http://schemas.openxmlformats.org/officeDocument/2006/relationships/hyperlink" Target="https://max.book118.com/html/2023/1118/8020041116006006.shtm" TargetMode="External"/><Relationship Id="rId69" Type="http://schemas.openxmlformats.org/officeDocument/2006/relationships/hyperlink" Target="https://max.book118.com/html/2024/0112/7062122110006030.shtm" TargetMode="External"/><Relationship Id="rId79" Type="http://schemas.openxmlformats.org/officeDocument/2006/relationships/hyperlink" Target="https://max.book118.com/html/2024/1204/6153202213011004.shtm" TargetMode="External"/><Relationship Id="rId63" Type="http://schemas.openxmlformats.org/officeDocument/2006/relationships/hyperlink" Target="https://max.book118.com/html/2025/0302/6153145231011050.shtm" TargetMode="External"/><Relationship Id="rId66" Type="http://schemas.openxmlformats.org/officeDocument/2006/relationships/hyperlink" Target="https://max.book118.com/html/2025/0321/5023044234012121.shtm" TargetMode="External"/><Relationship Id="rId73" Type="http://schemas.openxmlformats.org/officeDocument/2006/relationships/hyperlink" Target="https://mob.muchong.com/t-12256555-1" TargetMode="External"/><Relationship Id="rId42" Type="http://schemas.openxmlformats.org/officeDocument/2006/relationships/hyperlink" Target="https://mr-gut.cn/discovery/recommend/3d5f34145cf2494bb876df856e336272" TargetMode="External"/><Relationship Id="rId19" Type="http://schemas.openxmlformats.org/officeDocument/2006/relationships/hyperlink" Target="https://readpaper.com/paper/2326355551" TargetMode="External"/><Relationship Id="rId20" Type="http://schemas.openxmlformats.org/officeDocument/2006/relationships/hyperlink" Target="https://stock.hexun.com/2022-01-04/205059065.html" TargetMode="External"/><Relationship Id="rId21" Type="http://schemas.openxmlformats.org/officeDocument/2006/relationships/hyperlink" Target="https://www.163.com/dy/article/GNVV3E3105349C3I.html" TargetMode="External"/><Relationship Id="rId45" Type="http://schemas.openxmlformats.org/officeDocument/2006/relationships/hyperlink" Target="https://www.allenapharma.com/" TargetMode="External"/><Relationship Id="rId55" Type="http://schemas.openxmlformats.org/officeDocument/2006/relationships/hyperlink" Target="https://www.bilibili.com/read/cv23996378" TargetMode="External"/><Relationship Id="rId37" Type="http://schemas.openxmlformats.org/officeDocument/2006/relationships/hyperlink" Target="https://www.biomart.cn/infosupply/11986158.htm" TargetMode="External"/><Relationship Id="rId22" Type="http://schemas.openxmlformats.org/officeDocument/2006/relationships/hyperlink" Target="https://www.cnki.com.cn/Article/CJFDTOTAL-SWTX200806024.htm" TargetMode="External"/><Relationship Id="rId28" Type="http://schemas.openxmlformats.org/officeDocument/2006/relationships/hyperlink" Target="https://www.doc88.com/p-2252516594690.html" TargetMode="External"/><Relationship Id="rId34" Type="http://schemas.openxmlformats.org/officeDocument/2006/relationships/hyperlink" Target="https://www.doc88.com/p-50499622970841.html" TargetMode="External"/><Relationship Id="rId23" Type="http://schemas.openxmlformats.org/officeDocument/2006/relationships/hyperlink" Target="https://www.doc88.com/p-90725312199.html" TargetMode="External"/><Relationship Id="rId30" Type="http://schemas.openxmlformats.org/officeDocument/2006/relationships/hyperlink" Target="https://www.docin.com/p-2209345378.html" TargetMode="External"/><Relationship Id="rId68" Type="http://schemas.openxmlformats.org/officeDocument/2006/relationships/hyperlink" Target="https://www.fwsir.com/Article/html/Article_20160919104256_345603.html" TargetMode="External"/><Relationship Id="rId29" Type="http://schemas.openxmlformats.org/officeDocument/2006/relationships/hyperlink" Target="https://www.medsci.cn/guideline/show_article.do?id=eddb41c0022262ad" TargetMode="External"/><Relationship Id="rId58" Type="http://schemas.openxmlformats.org/officeDocument/2006/relationships/hyperlink" Target="https://www.sohu.com/a/815599454_121779087" TargetMode="External"/><Relationship Id="rId64" Type="http://schemas.openxmlformats.org/officeDocument/2006/relationships/hyperlink" Target="https://www.sohu.com/a/875203871_122006510" TargetMode="External"/><Relationship Id="rId31" Type="http://schemas.openxmlformats.org/officeDocument/2006/relationships/hyperlink" Target="https://www.sohu.com/a/882066133_120762504" TargetMode="External"/><Relationship Id="rId48" Type="http://schemas.openxmlformats.org/officeDocument/2006/relationships/hyperlink" Target="https://www.thepaper.cn/newsDetail_forward_14001099" TargetMode="External"/><Relationship Id="rId27" Type="http://schemas.openxmlformats.org/officeDocument/2006/relationships/hyperlink" Target="https://www.vzkoo.com/question/1743560411595940" TargetMode="External"/><Relationship Id="rId57" Type="http://schemas.openxmlformats.org/officeDocument/2006/relationships/hyperlink" Target="https://www.yaopinnet.com/tools/yibao2024/detail.asp?id=9366" TargetMode="External"/><Relationship Id="rId15" Type="http://schemas.openxmlformats.org/officeDocument/2006/relationships/hyperlink" Target="https://xueqiu.com/3494990516/2735760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docx_template.dotx</Template>
  <Pages>1</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2026-02-10T08:04:48Z</dcterms:created>
  <dcterms:modified xsi:type="dcterms:W3CDTF">2026-02-10T08:04:48Z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[DocID]=C932DB35-C63F-40EA-AA68-9F60FC148FD3</vt:lpwstr>
  </op:property>
  <op:property fmtid="{D5CDD505-2E9C-101B-9397-08002B2CF9AE}" pid="3" name="_IPGFLOW_P-CB6C_E-0_CV-88520CEC_CN-9ECC5ACC">
    <vt:lpwstr>DPFPMK|3|50|1|0</vt:lpwstr>
  </op:property>
  <op:property fmtid="{D5CDD505-2E9C-101B-9397-08002B2CF9AE}" pid="4" name="_IPGFLOW_P-CB6C_E-1_FP-1_SP-1_CV-8CBD70E_CN-912330F0">
    <vt:lpwstr>94ZiqnwULukQLNM1XcuVSJ8u8Q80gwdfUMMaDmaVI3+SbyVaI6gzU/Ve6LxK7tVL8nQt4/CEUBV6O8NyBeW9Y3orcQL+9tN//H2VQWbZ80j/B9O5BjPXDyZ9TaTZ4iwel3F2ZBX5goeFQzo0/64ST37Wcr0RfK/SESjlirbRRb5ws6AlxZ+1yJtSUZUjT6Adilu9JApFy1o+te0HbCBB1q4VXx54idiwOgSqY3H5wVJY5QpGS9Brot/poLtTRYV</vt:lpwstr>
  </op:property>
  <op:property fmtid="{D5CDD505-2E9C-101B-9397-08002B2CF9AE}" pid="5" name="_IPGFLOW_P-CB6C_E-1_FP-1_SP-2_CV-9FE9E9E5_CN-C865FE2B">
    <vt:lpwstr>d7b7gcj3RVFgP2jqKjvC6HlOVIoq34mbn/7YDBCeXVoNCqZ8uZDAqZpI1LfgbZTfv/MuyavebbK1lW6l4MgcMZYUhj6O2DWgnegfrv0zDPAiyZW/KkR7PZgt2oyQ6NabI</vt:lpwstr>
  </op:property>
  <op:property fmtid="{D5CDD505-2E9C-101B-9397-08002B2CF9AE}" pid="6" name="_IPGFLOW_P-CB6C_E-0_FP-1_CV-1748F583_CN-F8CAE00">
    <vt:lpwstr>DPSPMK|3|384|2|0</vt:lpwstr>
  </op:property>
  <op:property fmtid="{D5CDD505-2E9C-101B-9397-08002B2CF9AE}" pid="7" name="_IPGLAB_P-CB6C_E-1_CV-3A36BDA0_CN-E91C8A65">
    <vt:lpwstr>2/9pRhkMLT9lUnzf3TDNwwB+6EMXdM6Hih+0tWBfCouR1JNH6JyJXuqEcAGUAYRCCHXbBUivGU5+IYCWYEDsGRycwY+uaQBuHsteDcfNW1O6KHfuksFfwUC8TUJBbOI+DtF87agspY0iLSagGQD//qWCiqd2X0bouvEHH1buDsU=</vt:lpwstr>
  </op:property>
</op:Properties>
</file>