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647"/>
          <w:sz w:val="40"/>
          <w:szCs w:val="40"/>
        </w:rPr>
        <w:t xml:space="preserve">오성철강 2026년 8월 실적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작성일 2026-09-01  ·  대상 기간 2026-08-01 ~ 2026-08-31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1. 요약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300"/>
      </w:tblGrid>
      <w:tr>
        <w:trPr>
          <w:tblHeader/>
        </w:trPr>
        <w:tc>
          <w:tcPr>
            <w:tcW w:type="dxa" w:w="48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3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매출 (그린ERP 8월 작업실적)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55,070,630원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영업비용 (하나·우리은행 8월 출금)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73,371,083원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영업손익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(18,300,453)원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8월은 매출 55,070,630원 대비 비용 73,371,083원이 발생해 영업손익 기준 약 1,830만원의 적자입니다. 다만 매출은 그린ERP상 8월 중 실제 작업(발생주의) 기준이고, 비용은 하나·우리은행 계좌에서 8월 중 실제로 빠져나간 금액(현금주의) 기준이라 두 수치의 인식 시점이 다릅니다. 예를 들어 7월 작업분 대금이 8월에 결제되거나, 8월 카드 사용액이 다음 달에 청구되는 경우 등이 있어 실제 손익과는 차이가 있을 수 있습니다.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2. 매출 분석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작업유형별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700"/>
      </w:tblGrid>
      <w:tr>
        <w:trPr>
          <w:tblHeader/>
        </w:trPr>
        <w:tc>
          <w:tcPr>
            <w:tcW w:type="dxa" w:w="3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작업유형</w:t>
            </w:r>
          </w:p>
        </w:tc>
        <w:tc>
          <w:tcPr>
            <w:tcW w:type="dxa" w:w="3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27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SLITING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29,201,710원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53.0%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SLITING2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22,465,420원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40.8%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LEVELLING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3,403,500원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6.2%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거래처별 (상위 10개사)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700"/>
      </w:tblGrid>
      <w:tr>
        <w:trPr>
          <w:tblHeader/>
        </w:trPr>
        <w:tc>
          <w:tcPr>
            <w:tcW w:type="dxa" w:w="3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거래처</w:t>
            </w:r>
          </w:p>
        </w:tc>
        <w:tc>
          <w:tcPr>
            <w:tcW w:type="dxa" w:w="3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27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(주)대한강재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31,852,300원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57.8%</w:t>
            </w:r>
          </w:p>
        </w:tc>
      </w:tr>
      <w:tr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(주)유창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10,514,730원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19.1%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강진밴드산업(주)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2,440,600원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4.4%</w:t>
            </w:r>
          </w:p>
        </w:tc>
      </w:tr>
      <w:tr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태경스틸(주)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2,070,150원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3.8%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(주)미래이엔아이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1,472,200원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2.7%</w:t>
            </w:r>
          </w:p>
        </w:tc>
      </w:tr>
      <w:tr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(주)대한에스엔디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1,255,800원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2.3%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서울내장(주)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1,020,000원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1.9%</w:t>
            </w:r>
          </w:p>
        </w:tc>
      </w:tr>
      <w:tr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(주)수창스틸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919,200원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1.7%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정현철강(주)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733,000원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1.3%</w:t>
            </w:r>
          </w:p>
        </w:tc>
      </w:tr>
      <w:tr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(주)신신강업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635,100원</w:t>
            </w:r>
          </w:p>
        </w:tc>
        <w:tc>
          <w:tcPr>
            <w:tcW w:type="dxa" w:w="27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5개사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1,746,950원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3.2%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상위 2개사((주)대한강재, (주)유창)가 전체 매출의 76.9%를 차지해 특정 거래처 의존도가 높은 편입니다. 특히 (주)대한강재 한 곳이 전체 매출의 57.8%를 차지하고 있어, 해당 거래처向 물량 변동이 전체 실적에 미치는 영향이 클 것으로 보입니다.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3. 비용 분석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은행 출금 내역을 카테고리별로 집계한 결과이며, 상세 원본 거래 88건은 별첨 엑셀(오성철강_2026년_8월_실적정리.xlsx)의 '비용_거래내역' 시트에서 확인할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900"/>
      </w:tblGrid>
      <w:tr>
        <w:trPr>
          <w:tblHeader/>
        </w:trPr>
        <w:tc>
          <w:tcPr>
            <w:tcW w:type="dxa" w:w="5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 항목</w:t>
            </w:r>
          </w:p>
        </w:tc>
        <w:tc>
          <w:tcPr>
            <w:tcW w:type="dxa" w:w="39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인건비-급여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37,079,710원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이자비용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7,170,714원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수도광열비-전기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5,671,350원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인건비-4대보험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4,611,730원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카드대금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4,274,664원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복리후생비-식대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3,196,050원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외주가공비/자재비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2,871,961원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무형자산-개발비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2,200,000원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수선비/광고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2,200,000원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기타(확인필요)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968,000원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복리후생비-단체보험(추정)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870,600원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세금과공과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593,750원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지급수수료-환경측정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400,000원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인건비-퇴직연금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341,940원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기타-노란우산공제(대표자)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250,000원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지급수수료-세무기장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165,000원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보험료-일반(화재/차량 등)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139,664원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통신비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125,620원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수도광열비-수도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102,000원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임차료-렌탈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80,580원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지급수수료-ERP구독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44,000원</w:t>
            </w:r>
          </w:p>
        </w:tc>
      </w:tr>
      <w:tr>
        <w:tc>
          <w:tcPr>
            <w:tcW w:type="dxa" w:w="5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복리후생비-건강검진</w:t>
            </w:r>
          </w:p>
        </w:tc>
        <w:tc>
          <w:tcPr>
            <w:tcW w:type="dxa" w:w="3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13,750원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큰 비중은 인건비-급여(37,079,710원, 전체 비용의 50.5%)이며, 이자비용(7,170,714원)과 전기요금(5,671,350원), 4대보험(4,611,730원), 카드대금(4,274,664원)이 뒤를 잇습니다. 상위 5개 항목이 전체 비용의 80% 이상을 차지합니다.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영업비용에서 제외한 항목 (참고)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100"/>
      </w:tblGrid>
      <w:tr>
        <w:trPr>
          <w:tblHeader/>
        </w:trPr>
        <w:tc>
          <w:tcPr>
            <w:tcW w:type="dxa" w:w="26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41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설비투자(CAPEX)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29,480,000원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대홍엔지니어링 레벨링기계 잔금 — 비용이 아닌 자산 취득으로 처리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매출채권 회수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66,159,599원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고객 입금 — 이미 그린ERP 매출로 인식된 금액의 현금 회수분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계좌간 자금이체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20,000,000원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우리은행 계좌로의 내부 이체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잡수익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0원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확인된 항목 없음 — 모든 입금이 매출채권 회수 또는 계좌간 이체</w:t>
            </w:r>
          </w:p>
        </w:tc>
      </w:tr>
    </w:tbl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4. 확인이 필요한 항목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 항목은 적요만으로 정확한 계정과목을 특정하기 어려워 별도 확인을 권장합니다.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기타(확인필요) 7건, 합계 968,000원 — 위드환경보건(5월 누락분) 200,000원, 윤영기(스키드=33) 330,000원, GIRO S1(N2328731) 121,000원, 우리은행 타행자동 4건(신한-한만규, 기업-현대전기, 기업-한국산업안전관리, 농협-한성) 합계 517,000원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복리후생비-단체보험(추정) 870,600원 — "SAMSUN"으로 시작하는 CMS 자동이체 5건, 직원 개인 단체보험료로 추정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기타-노란우산공제(대표자) 250,000원 — 대표자 개인 공제성 납입으로 추정, 회사 비용 처리 여부 확인 필요</w:t>
      </w:r>
    </w:p>
    <w:p>
      <w:pPr>
        <w:pStyle w:val="Heading1"/>
        <w:pBdr>
          <w:bottom w:val="single" w:color="0F2647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0F2647"/>
          <w:sz w:val="26"/>
          <w:szCs w:val="26"/>
        </w:rPr>
        <w:t xml:space="preserve">5. 결론 및 제언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- 8월은 영업손실(약 1,830만원)이 발생했습니다. 급여·이자비용·전기요금 등 고정비 성격 비용이 매출 대비 높은 비중을 차지하고 있어, 매출 확대와 병행해 이 비중을 지속적으로 관리할 필요가 있습니다.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(주)대한강재 의존도(57.8%)가 높아, 동 거래처의 물량 변동이 실적에 미치는 영향을 별도로 모니터링하는 것을 권장합니다.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- 4장의 미확인 항목(총 2,088,600원)은 담당 부서 확인 후 정확한 계정과목으로 재분류가 필요합니다.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본 보고서는 매출(발생주의)과 비용(현금주의)의 인식 기준이 달라 참고용 추정치이며, 확정 손익은 세무/회계 처리 후 별도 확인이 필요합니다.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2026-09-01T01:15:07.828Z</dcterms:created>
  <dcterms:modified xsi:type="dcterms:W3CDTF">2026-09-01T01:15:07.829Z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