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98E2B"/>
          <w:sz w:val="20"/>
          <w:szCs w:val="20"/>
        </w:rPr>
        <w:t xml:space="preserve">Ohsung Steel ERP 2.0 · Production Floor Tools</w:t>
      </w:r>
    </w:p>
    <w:p>
      <w:pPr>
        <w:spacing w:after="60"/>
      </w:pPr>
      <w:r>
        <w:rPr>
          <w:b/>
          <w:bCs/>
          <w:color w:val="0F2A4A"/>
          <w:sz w:val="44"/>
          <w:szCs w:val="44"/>
        </w:rPr>
        <w:t xml:space="preserve">Leveling Production Report</w:t>
      </w:r>
    </w:p>
    <w:p>
      <w:pPr>
        <w:spacing w:after="300"/>
      </w:pPr>
      <w:r>
        <w:rPr>
          <w:i/>
          <w:iCs/>
          <w:color w:val="5A6674"/>
          <w:sz w:val="21"/>
          <w:szCs w:val="21"/>
        </w:rPr>
        <w:t xml:space="preserve">Thursday, September 3, 2026 - Based on leveling-line PLC telemetry (LEVELING_DATA) - How equipment settings, box handling, and uncoiler tension behave as each coil's length progresses</w:t>
      </w:r>
    </w:p>
    <w:p>
      <w:pPr>
        <w:pStyle w:val="Heading1"/>
        <w:pBdr>
          <w:bottom w:val="single" w:color="0F2A4A" w:sz="8" w:space="4"/>
        </w:pBdr>
        <w:spacing w:after="160" w:before="320"/>
      </w:pPr>
      <w:r>
        <w:rPr>
          <w:b/>
          <w:bCs/>
          <w:color w:val="0F2A4A"/>
          <w:sz w:val="30"/>
          <w:szCs w:val="30"/>
        </w:rPr>
        <w:t xml:space="preserve">1. Overview</w:t>
      </w:r>
    </w:p>
    <w:p>
      <w:pPr>
        <w:spacing w:after="140" w:line="300"/>
      </w:pPr>
      <w:r>
        <w:rPr>
          <w:b w:val="false"/>
          <w:bCs w:val="false"/>
          <w:i w:val="false"/>
          <w:iCs w:val="false"/>
          <w:color w:val="1A1A1A"/>
          <w:sz w:val="21"/>
          <w:szCs w:val="21"/>
        </w:rPr>
        <w:t xml:space="preserve">Two leveling jobs were completed on the leveling line on Thursday, September 3, 2026. The table below combines the GreenERP job order (erp_data) with leveling-line PLC telemetry (LEVELING_DATA, MariaDB osungsteel.servehttp.com). Total length and sheet count are not read from a direct counter - they are derived by detecting the moment the in-stroke position value (MOVELENSV) resets back toward zero after each sheet, then accumulating that sheet's cut-length setting (CUTLENSET). See Section 7 for methodology and caveats.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1500"/>
        <w:gridCol w:w="1050"/>
        <w:gridCol w:w="1750"/>
        <w:gridCol w:w="1300"/>
        <w:gridCol w:w="1000"/>
      </w:tblGrid>
      <w:tr>
        <w:trPr>
          <w:tblHeader/>
        </w:trPr>
        <w:tc>
          <w:tcPr>
            <w:tcW w:type="dxa" w:w="1750"/>
            <w:shd w:fill="0F2A4A" w:val="clear"/>
            <w:tcMar>
              <w:top w:type="dxa" w:w="60"/>
              <w:left w:type="dxa" w:w="100"/>
              <w:bottom w:type="dxa" w:w="60"/>
              <w:right w:type="dxa" w:w="100"/>
            </w:tcMar>
          </w:tcPr>
          <w:p>
            <w:pPr>
              <w:jc w:val="center"/>
            </w:pPr>
            <w:r>
              <w:rPr>
                <w:b/>
                <w:bCs/>
                <w:color w:val="FFFFFF"/>
                <w:sz w:val="19"/>
                <w:szCs w:val="19"/>
              </w:rPr>
              <w:t xml:space="preserve">Coil ID</w:t>
            </w:r>
          </w:p>
        </w:tc>
        <w:tc>
          <w:tcPr>
            <w:tcW w:type="dxa" w:w="1650"/>
            <w:shd w:fill="0F2A4A" w:val="clear"/>
            <w:tcMar>
              <w:top w:type="dxa" w:w="60"/>
              <w:left w:type="dxa" w:w="100"/>
              <w:bottom w:type="dxa" w:w="60"/>
              <w:right w:type="dxa" w:w="100"/>
            </w:tcMar>
          </w:tcPr>
          <w:p>
            <w:pPr>
              <w:jc w:val="center"/>
            </w:pPr>
            <w:r>
              <w:rPr>
                <w:b/>
                <w:bCs/>
                <w:color w:val="FFFFFF"/>
                <w:sz w:val="19"/>
                <w:szCs w:val="19"/>
              </w:rPr>
              <w:t xml:space="preserve">Customer</w:t>
            </w:r>
          </w:p>
        </w:tc>
        <w:tc>
          <w:tcPr>
            <w:tcW w:type="dxa" w:w="1500"/>
            <w:shd w:fill="0F2A4A" w:val="clear"/>
            <w:tcMar>
              <w:top w:type="dxa" w:w="60"/>
              <w:left w:type="dxa" w:w="100"/>
              <w:bottom w:type="dxa" w:w="60"/>
              <w:right w:type="dxa" w:w="100"/>
            </w:tcMar>
          </w:tcPr>
          <w:p>
            <w:pPr>
              <w:jc w:val="center"/>
            </w:pPr>
            <w:r>
              <w:rPr>
                <w:b/>
                <w:bCs/>
                <w:color w:val="FFFFFF"/>
                <w:sz w:val="19"/>
                <w:szCs w:val="19"/>
              </w:rPr>
              <w:t xml:space="preserve">Spec</w:t>
            </w:r>
          </w:p>
        </w:tc>
        <w:tc>
          <w:tcPr>
            <w:tcW w:type="dxa" w:w="1050"/>
            <w:shd w:fill="0F2A4A" w:val="clear"/>
            <w:tcMar>
              <w:top w:type="dxa" w:w="60"/>
              <w:left w:type="dxa" w:w="100"/>
              <w:bottom w:type="dxa" w:w="60"/>
              <w:right w:type="dxa" w:w="100"/>
            </w:tcMar>
          </w:tcPr>
          <w:p>
            <w:pPr>
              <w:jc w:val="center"/>
            </w:pPr>
            <w:r>
              <w:rPr>
                <w:b/>
                <w:bCs/>
                <w:color w:val="FFFFFF"/>
                <w:sz w:val="19"/>
                <w:szCs w:val="19"/>
              </w:rPr>
              <w:t xml:space="preserve">Weight (kg)</w:t>
            </w:r>
          </w:p>
        </w:tc>
        <w:tc>
          <w:tcPr>
            <w:tcW w:type="dxa" w:w="1750"/>
            <w:shd w:fill="0F2A4A" w:val="clear"/>
            <w:tcMar>
              <w:top w:type="dxa" w:w="60"/>
              <w:left w:type="dxa" w:w="100"/>
              <w:bottom w:type="dxa" w:w="60"/>
              <w:right w:type="dxa" w:w="100"/>
            </w:tcMar>
          </w:tcPr>
          <w:p>
            <w:pPr>
              <w:jc w:val="center"/>
            </w:pPr>
            <w:r>
              <w:rPr>
                <w:b/>
                <w:bCs/>
                <w:color w:val="FFFFFF"/>
                <w:sz w:val="19"/>
                <w:szCs w:val="19"/>
              </w:rPr>
              <w:t xml:space="preserve">Work window (KST)</w:t>
            </w:r>
          </w:p>
        </w:tc>
        <w:tc>
          <w:tcPr>
            <w:tcW w:type="dxa" w:w="1300"/>
            <w:shd w:fill="0F2A4A" w:val="clear"/>
            <w:tcMar>
              <w:top w:type="dxa" w:w="60"/>
              <w:left w:type="dxa" w:w="100"/>
              <w:bottom w:type="dxa" w:w="60"/>
              <w:right w:type="dxa" w:w="100"/>
            </w:tcMar>
          </w:tcPr>
          <w:p>
            <w:pPr>
              <w:jc w:val="center"/>
            </w:pPr>
            <w:r>
              <w:rPr>
                <w:b/>
                <w:bCs/>
                <w:color w:val="FFFFFF"/>
                <w:sz w:val="19"/>
                <w:szCs w:val="19"/>
              </w:rPr>
              <w:t xml:space="preserve">Est. total length</w:t>
            </w:r>
          </w:p>
        </w:tc>
        <w:tc>
          <w:tcPr>
            <w:tcW w:type="dxa" w:w="1000"/>
            <w:shd w:fill="0F2A4A" w:val="clear"/>
            <w:tcMar>
              <w:top w:type="dxa" w:w="60"/>
              <w:left w:type="dxa" w:w="100"/>
              <w:bottom w:type="dxa" w:w="60"/>
              <w:right w:type="dxa" w:w="100"/>
            </w:tcMar>
          </w:tcPr>
          <w:p>
            <w:pPr>
              <w:jc w:val="center"/>
            </w:pPr>
            <w:r>
              <w:rPr>
                <w:b/>
                <w:bCs/>
                <w:color w:val="FFFFFF"/>
                <w:sz w:val="19"/>
                <w:szCs w:val="19"/>
              </w:rPr>
              <w:t xml:space="preserve">Est. sheets</w:t>
            </w:r>
          </w:p>
        </w:tc>
      </w:tr>
      <w:tr>
        <w:tc>
          <w:tcPr>
            <w:tcW w:type="dxa" w:w="1750"/>
            <w:shd w:fill="FFFFFF" w:val="clear"/>
            <w:tcMar>
              <w:top w:type="dxa" w:w="55"/>
              <w:left w:type="dxa" w:w="100"/>
              <w:bottom w:type="dxa" w:w="55"/>
              <w:right w:type="dxa" w:w="100"/>
            </w:tcMar>
          </w:tcPr>
          <w:p>
            <w:pPr>
              <w:jc w:val="left"/>
            </w:pPr>
            <w:r>
              <w:rPr>
                <w:i w:val="false"/>
                <w:iCs w:val="false"/>
                <w:sz w:val="19"/>
                <w:szCs w:val="19"/>
              </w:rPr>
              <w:t xml:space="preserve">EPD2871C01</w:t>
            </w:r>
          </w:p>
        </w:tc>
        <w:tc>
          <w:tcPr>
            <w:tcW w:type="dxa" w:w="1650"/>
            <w:shd w:fill="FFFFFF" w:val="clear"/>
            <w:tcMar>
              <w:top w:type="dxa" w:w="55"/>
              <w:left w:type="dxa" w:w="100"/>
              <w:bottom w:type="dxa" w:w="55"/>
              <w:right w:type="dxa" w:w="100"/>
            </w:tcMar>
          </w:tcPr>
          <w:p>
            <w:pPr>
              <w:jc w:val="center"/>
            </w:pPr>
            <w:r>
              <w:rPr>
                <w:i w:val="false"/>
                <w:iCs w:val="false"/>
                <w:sz w:val="19"/>
                <w:szCs w:val="19"/>
              </w:rPr>
              <w:t xml:space="preserve">Daehan Gangjae
((주)대한강재)</w:t>
            </w:r>
          </w:p>
        </w:tc>
        <w:tc>
          <w:tcPr>
            <w:tcW w:type="dxa" w:w="1500"/>
            <w:shd w:fill="FFFFFF" w:val="clear"/>
            <w:tcMar>
              <w:top w:type="dxa" w:w="55"/>
              <w:left w:type="dxa" w:w="100"/>
              <w:bottom w:type="dxa" w:w="55"/>
              <w:right w:type="dxa" w:w="100"/>
            </w:tcMar>
          </w:tcPr>
          <w:p>
            <w:pPr>
              <w:jc w:val="center"/>
            </w:pPr>
            <w:r>
              <w:rPr>
                <w:i w:val="false"/>
                <w:iCs w:val="false"/>
                <w:sz w:val="19"/>
                <w:szCs w:val="19"/>
              </w:rPr>
              <w:t xml:space="preserve">0.76X4XC</w:t>
            </w:r>
          </w:p>
        </w:tc>
        <w:tc>
          <w:tcPr>
            <w:tcW w:type="dxa" w:w="1050"/>
            <w:shd w:fill="FFFFFF" w:val="clear"/>
            <w:tcMar>
              <w:top w:type="dxa" w:w="55"/>
              <w:left w:type="dxa" w:w="100"/>
              <w:bottom w:type="dxa" w:w="55"/>
              <w:right w:type="dxa" w:w="100"/>
            </w:tcMar>
          </w:tcPr>
          <w:p>
            <w:pPr>
              <w:jc w:val="center"/>
            </w:pPr>
            <w:r>
              <w:rPr>
                <w:i w:val="false"/>
                <w:iCs w:val="false"/>
                <w:sz w:val="19"/>
                <w:szCs w:val="19"/>
              </w:rPr>
              <w:t xml:space="preserve">10,410</w:t>
            </w:r>
          </w:p>
        </w:tc>
        <w:tc>
          <w:tcPr>
            <w:tcW w:type="dxa" w:w="1750"/>
            <w:shd w:fill="FFFFFF" w:val="clear"/>
            <w:tcMar>
              <w:top w:type="dxa" w:w="55"/>
              <w:left w:type="dxa" w:w="100"/>
              <w:bottom w:type="dxa" w:w="55"/>
              <w:right w:type="dxa" w:w="100"/>
            </w:tcMar>
          </w:tcPr>
          <w:p>
            <w:pPr>
              <w:jc w:val="center"/>
            </w:pPr>
            <w:r>
              <w:rPr>
                <w:i w:val="false"/>
                <w:iCs w:val="false"/>
                <w:sz w:val="19"/>
                <w:szCs w:val="19"/>
              </w:rPr>
              <w:t xml:space="preserve">17:34-19:27
(1h 53m)</w:t>
            </w:r>
          </w:p>
        </w:tc>
        <w:tc>
          <w:tcPr>
            <w:tcW w:type="dxa" w:w="1300"/>
            <w:shd w:fill="FFFFFF" w:val="clear"/>
            <w:tcMar>
              <w:top w:type="dxa" w:w="55"/>
              <w:left w:type="dxa" w:w="100"/>
              <w:bottom w:type="dxa" w:w="55"/>
              <w:right w:type="dxa" w:w="100"/>
            </w:tcMar>
          </w:tcPr>
          <w:p>
            <w:pPr>
              <w:jc w:val="center"/>
            </w:pPr>
            <w:r>
              <w:rPr>
                <w:i w:val="false"/>
                <w:iCs w:val="false"/>
                <w:sz w:val="19"/>
                <w:szCs w:val="19"/>
              </w:rPr>
              <w:t xml:space="preserve">863.4 m</w:t>
            </w:r>
          </w:p>
        </w:tc>
        <w:tc>
          <w:tcPr>
            <w:tcW w:type="dxa" w:w="1000"/>
            <w:shd w:fill="FFFFFF" w:val="clear"/>
            <w:tcMar>
              <w:top w:type="dxa" w:w="55"/>
              <w:left w:type="dxa" w:w="100"/>
              <w:bottom w:type="dxa" w:w="55"/>
              <w:right w:type="dxa" w:w="100"/>
            </w:tcMar>
          </w:tcPr>
          <w:p>
            <w:pPr>
              <w:jc w:val="center"/>
            </w:pPr>
            <w:r>
              <w:rPr>
                <w:i w:val="false"/>
                <w:iCs w:val="false"/>
                <w:sz w:val="19"/>
                <w:szCs w:val="19"/>
              </w:rPr>
              <w:t xml:space="preserve">289</w:t>
            </w:r>
          </w:p>
        </w:tc>
      </w:tr>
      <w:tr>
        <w:tc>
          <w:tcPr>
            <w:tcW w:type="dxa" w:w="1750"/>
            <w:shd w:fill="F2F5F8" w:val="clear"/>
            <w:tcMar>
              <w:top w:type="dxa" w:w="55"/>
              <w:left w:type="dxa" w:w="100"/>
              <w:bottom w:type="dxa" w:w="55"/>
              <w:right w:type="dxa" w:w="100"/>
            </w:tcMar>
          </w:tcPr>
          <w:p>
            <w:pPr>
              <w:jc w:val="left"/>
            </w:pPr>
            <w:r>
              <w:rPr>
                <w:i w:val="false"/>
                <w:iCs w:val="false"/>
                <w:sz w:val="19"/>
                <w:szCs w:val="19"/>
              </w:rPr>
              <w:t xml:space="preserve">59A2078B</w:t>
            </w:r>
          </w:p>
        </w:tc>
        <w:tc>
          <w:tcPr>
            <w:tcW w:type="dxa" w:w="1650"/>
            <w:shd w:fill="F2F5F8" w:val="clear"/>
            <w:tcMar>
              <w:top w:type="dxa" w:w="55"/>
              <w:left w:type="dxa" w:w="100"/>
              <w:bottom w:type="dxa" w:w="55"/>
              <w:right w:type="dxa" w:w="100"/>
            </w:tcMar>
          </w:tcPr>
          <w:p>
            <w:pPr>
              <w:jc w:val="center"/>
            </w:pPr>
            <w:r>
              <w:rPr>
                <w:i w:val="false"/>
                <w:iCs w:val="false"/>
                <w:sz w:val="19"/>
                <w:szCs w:val="19"/>
              </w:rPr>
              <w:t xml:space="preserve">Yuchang
((주)유창)</w:t>
            </w:r>
          </w:p>
        </w:tc>
        <w:tc>
          <w:tcPr>
            <w:tcW w:type="dxa" w:w="1500"/>
            <w:shd w:fill="F2F5F8" w:val="clear"/>
            <w:tcMar>
              <w:top w:type="dxa" w:w="55"/>
              <w:left w:type="dxa" w:w="100"/>
              <w:bottom w:type="dxa" w:w="55"/>
              <w:right w:type="dxa" w:w="100"/>
            </w:tcMar>
          </w:tcPr>
          <w:p>
            <w:pPr>
              <w:jc w:val="center"/>
            </w:pPr>
            <w:r>
              <w:rPr>
                <w:i w:val="false"/>
                <w:iCs w:val="false"/>
                <w:sz w:val="19"/>
                <w:szCs w:val="19"/>
              </w:rPr>
              <w:t xml:space="preserve">1.15X1200XC</w:t>
            </w:r>
          </w:p>
        </w:tc>
        <w:tc>
          <w:tcPr>
            <w:tcW w:type="dxa" w:w="1050"/>
            <w:shd w:fill="F2F5F8" w:val="clear"/>
            <w:tcMar>
              <w:top w:type="dxa" w:w="55"/>
              <w:left w:type="dxa" w:w="100"/>
              <w:bottom w:type="dxa" w:w="55"/>
              <w:right w:type="dxa" w:w="100"/>
            </w:tcMar>
          </w:tcPr>
          <w:p>
            <w:pPr>
              <w:jc w:val="center"/>
            </w:pPr>
            <w:r>
              <w:rPr>
                <w:i w:val="false"/>
                <w:iCs w:val="false"/>
                <w:sz w:val="19"/>
                <w:szCs w:val="19"/>
              </w:rPr>
              <w:t xml:space="preserve">10,700</w:t>
            </w:r>
          </w:p>
        </w:tc>
        <w:tc>
          <w:tcPr>
            <w:tcW w:type="dxa" w:w="1750"/>
            <w:shd w:fill="F2F5F8" w:val="clear"/>
            <w:tcMar>
              <w:top w:type="dxa" w:w="55"/>
              <w:left w:type="dxa" w:w="100"/>
              <w:bottom w:type="dxa" w:w="55"/>
              <w:right w:type="dxa" w:w="100"/>
            </w:tcMar>
          </w:tcPr>
          <w:p>
            <w:pPr>
              <w:jc w:val="center"/>
            </w:pPr>
            <w:r>
              <w:rPr>
                <w:i w:val="false"/>
                <w:iCs w:val="false"/>
                <w:sz w:val="19"/>
                <w:szCs w:val="19"/>
              </w:rPr>
              <w:t xml:space="preserve">20:37-00:30 (+1d)
(3h 53m)</w:t>
            </w:r>
          </w:p>
        </w:tc>
        <w:tc>
          <w:tcPr>
            <w:tcW w:type="dxa" w:w="1300"/>
            <w:shd w:fill="F2F5F8" w:val="clear"/>
            <w:tcMar>
              <w:top w:type="dxa" w:w="55"/>
              <w:left w:type="dxa" w:w="100"/>
              <w:bottom w:type="dxa" w:w="55"/>
              <w:right w:type="dxa" w:w="100"/>
            </w:tcMar>
          </w:tcPr>
          <w:p>
            <w:pPr>
              <w:jc w:val="center"/>
            </w:pPr>
            <w:r>
              <w:rPr>
                <w:i w:val="false"/>
                <w:iCs w:val="false"/>
                <w:sz w:val="19"/>
                <w:szCs w:val="19"/>
              </w:rPr>
              <w:t xml:space="preserve">992.4 m</w:t>
            </w:r>
          </w:p>
        </w:tc>
        <w:tc>
          <w:tcPr>
            <w:tcW w:type="dxa" w:w="1000"/>
            <w:shd w:fill="F2F5F8" w:val="clear"/>
            <w:tcMar>
              <w:top w:type="dxa" w:w="55"/>
              <w:left w:type="dxa" w:w="100"/>
              <w:bottom w:type="dxa" w:w="55"/>
              <w:right w:type="dxa" w:w="100"/>
            </w:tcMar>
          </w:tcPr>
          <w:p>
            <w:pPr>
              <w:jc w:val="center"/>
            </w:pPr>
            <w:r>
              <w:rPr>
                <w:i w:val="false"/>
                <w:iCs w:val="false"/>
                <w:sz w:val="19"/>
                <w:szCs w:val="19"/>
              </w:rPr>
              <w:t xml:space="preserve">332</w:t>
            </w:r>
          </w:p>
        </w:tc>
      </w:tr>
    </w:tbl>
    <w:p>
      <w:pPr>
        <w:spacing w:after="140" w:line="300"/>
      </w:pPr>
      <w:r>
        <w:rPr>
          <w:b w:val="false"/>
          <w:bCs w:val="false"/>
          <w:i w:val="false"/>
          <w:iCs w:val="false"/>
          <w:color w:val="1A1A1A"/>
          <w:sz w:val="21"/>
          <w:szCs w:val="21"/>
        </w:rPr>
        <w:t xml:space="preserve"/>
      </w:r>
    </w:p>
    <w:p>
      <w:pPr>
        <w:spacing w:after="140" w:line="300"/>
      </w:pPr>
      <w:r>
        <w:rPr>
          <w:b w:val="false"/>
          <w:bCs w:val="false"/>
          <w:i/>
          <w:iCs/>
          <w:color w:val="1A1A1A"/>
          <w:sz w:val="21"/>
          <w:szCs w:val="21"/>
        </w:rPr>
        <w:t xml:space="preserve">Both jobs used essentially the same cut length per sheet (~2.99 m). Coil 1 ran in the early evening (started 17:34, just before the normal 17:40 shift close, and finished 19:27); Coil 2 ran later that evening into the next day, from 20:37 to 00:30. On this date the leveling line was in operation well past normal day-shift hours, into the evening and past midnight.</w:t>
      </w:r>
    </w:p>
    <w:p>
      <w:pPr>
        <w:pStyle w:val="Heading1"/>
        <w:pBdr>
          <w:bottom w:val="single" w:color="0F2A4A" w:sz="8" w:space="4"/>
        </w:pBdr>
        <w:spacing w:after="160" w:before="320"/>
      </w:pPr>
      <w:r>
        <w:rPr>
          <w:b/>
          <w:bCs/>
          <w:color w:val="0F2A4A"/>
          <w:sz w:val="30"/>
          <w:szCs w:val="30"/>
        </w:rPr>
        <w:t xml:space="preserve">2. Job 1 - EPD2871C01 (Daehan Gangjae, 0.76mm)</w:t>
      </w:r>
    </w:p>
    <w:p>
      <w:pPr>
        <w:pStyle w:val="Heading2"/>
        <w:spacing w:after="120" w:before="260"/>
      </w:pPr>
      <w:r>
        <w:rPr>
          <w:b/>
          <w:bCs/>
          <w:color w:val="0F2A4A"/>
          <w:sz w:val="25"/>
          <w:szCs w:val="25"/>
        </w:rPr>
        <w:t xml:space="preserve">2.1 Equipment settings (fixed for the entire length)</w:t>
      </w:r>
    </w:p>
    <w:p>
      <w:pPr>
        <w:spacing w:after="140" w:line="300"/>
      </w:pPr>
      <w:r>
        <w:rPr>
          <w:b w:val="false"/>
          <w:bCs w:val="false"/>
          <w:i w:val="false"/>
          <w:iCs w:val="false"/>
          <w:color w:val="1A1A1A"/>
          <w:sz w:val="21"/>
          <w:szCs w:val="21"/>
        </w:rPr>
        <w:t xml:space="preserve">Settings were finalized once at 08:48:02 - about 14 minutes after the PLC log for this job begins at 08:34:03 - and never changed again through the 10:27:06 finish (a 1mm wobble in CUTLENSET between 2994 and 2995mm at 09:01-09:03 is sensor rounding noise, not a real 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400"/>
      </w:tblGrid>
      <w:tr>
        <w:trPr>
          <w:tblHeader/>
        </w:trPr>
        <w:tc>
          <w:tcPr>
            <w:tcW w:type="dxa" w:w="3600"/>
            <w:shd w:fill="0F2A4A" w:val="clear"/>
            <w:tcMar>
              <w:top w:type="dxa" w:w="60"/>
              <w:left w:type="dxa" w:w="100"/>
              <w:bottom w:type="dxa" w:w="60"/>
              <w:right w:type="dxa" w:w="100"/>
            </w:tcMar>
          </w:tcPr>
          <w:p>
            <w:pPr>
              <w:jc w:val="center"/>
            </w:pPr>
            <w:r>
              <w:rPr>
                <w:b/>
                <w:bCs/>
                <w:color w:val="FFFFFF"/>
                <w:sz w:val="19"/>
                <w:szCs w:val="19"/>
              </w:rPr>
              <w:t xml:space="preserve">Setting</w:t>
            </w:r>
          </w:p>
        </w:tc>
        <w:tc>
          <w:tcPr>
            <w:tcW w:type="dxa" w:w="2200"/>
            <w:shd w:fill="0F2A4A" w:val="clear"/>
            <w:tcMar>
              <w:top w:type="dxa" w:w="60"/>
              <w:left w:type="dxa" w:w="100"/>
              <w:bottom w:type="dxa" w:w="60"/>
              <w:right w:type="dxa" w:w="100"/>
            </w:tcMar>
          </w:tcPr>
          <w:p>
            <w:pPr>
              <w:jc w:val="center"/>
            </w:pPr>
            <w:r>
              <w:rPr>
                <w:b/>
                <w:bCs/>
                <w:color w:val="FFFFFF"/>
                <w:sz w:val="19"/>
                <w:szCs w:val="19"/>
              </w:rPr>
              <w:t xml:space="preserve">Value</w:t>
            </w:r>
          </w:p>
        </w:tc>
        <w:tc>
          <w:tcPr>
            <w:tcW w:type="dxa" w:w="3400"/>
            <w:shd w:fill="0F2A4A" w:val="clear"/>
            <w:tcMar>
              <w:top w:type="dxa" w:w="60"/>
              <w:left w:type="dxa" w:w="100"/>
              <w:bottom w:type="dxa" w:w="60"/>
              <w:right w:type="dxa" w:w="100"/>
            </w:tcMar>
          </w:tcPr>
          <w:p>
            <w:pPr>
              <w:jc w:val="center"/>
            </w:pPr>
            <w:r>
              <w:rPr>
                <w:b/>
                <w:bCs/>
                <w:color w:val="FFFFFF"/>
                <w:sz w:val="19"/>
                <w:szCs w:val="19"/>
              </w:rPr>
              <w:t xml:space="preserve">Notes</w:t>
            </w:r>
          </w:p>
        </w:tc>
      </w:tr>
      <w:tr>
        <w:tc>
          <w:tcPr>
            <w:tcW w:type="dxa" w:w="3600"/>
            <w:shd w:fill="FFFFFF" w:val="clear"/>
            <w:tcMar>
              <w:top w:type="dxa" w:w="55"/>
              <w:left w:type="dxa" w:w="100"/>
              <w:bottom w:type="dxa" w:w="55"/>
              <w:right w:type="dxa" w:w="100"/>
            </w:tcMar>
          </w:tcPr>
          <w:p>
            <w:pPr>
              <w:jc w:val="left"/>
            </w:pPr>
            <w:r>
              <w:rPr>
                <w:i w:val="false"/>
                <w:iCs w:val="false"/>
                <w:sz w:val="19"/>
                <w:szCs w:val="19"/>
              </w:rPr>
              <w:t xml:space="preserve">CUTLENSET (cut-length setting)</w:t>
            </w:r>
          </w:p>
        </w:tc>
        <w:tc>
          <w:tcPr>
            <w:tcW w:type="dxa" w:w="2200"/>
            <w:shd w:fill="FFFFFF" w:val="clear"/>
            <w:tcMar>
              <w:top w:type="dxa" w:w="55"/>
              <w:left w:type="dxa" w:w="100"/>
              <w:bottom w:type="dxa" w:w="55"/>
              <w:right w:type="dxa" w:w="100"/>
            </w:tcMar>
          </w:tcPr>
          <w:p>
            <w:pPr>
              <w:jc w:val="center"/>
            </w:pPr>
            <w:r>
              <w:rPr>
                <w:i w:val="false"/>
                <w:iCs w:val="false"/>
                <w:sz w:val="19"/>
                <w:szCs w:val="19"/>
              </w:rPr>
              <w:t xml:space="preserve">2,994 mm (~2.994 m)</w:t>
            </w:r>
          </w:p>
        </w:tc>
        <w:tc>
          <w:tcPr>
            <w:tcW w:type="dxa" w:w="3400"/>
            <w:shd w:fill="FFFFFF" w:val="clear"/>
            <w:tcMar>
              <w:top w:type="dxa" w:w="55"/>
              <w:left w:type="dxa" w:w="100"/>
              <w:bottom w:type="dxa" w:w="55"/>
              <w:right w:type="dxa" w:w="100"/>
            </w:tcMar>
          </w:tcPr>
          <w:p>
            <w:pPr>
              <w:jc w:val="center"/>
            </w:pPr>
            <w:r>
              <w:rPr>
                <w:i w:val="false"/>
                <w:iCs w:val="false"/>
                <w:sz w:val="19"/>
                <w:szCs w:val="19"/>
              </w:rPr>
              <w:t xml:space="preserve">Fixed from 08:48:02 to end</w:t>
            </w:r>
          </w:p>
        </w:tc>
      </w:tr>
      <w:tr>
        <w:tc>
          <w:tcPr>
            <w:tcW w:type="dxa" w:w="3600"/>
            <w:shd w:fill="F2F5F8" w:val="clear"/>
            <w:tcMar>
              <w:top w:type="dxa" w:w="55"/>
              <w:left w:type="dxa" w:w="100"/>
              <w:bottom w:type="dxa" w:w="55"/>
              <w:right w:type="dxa" w:w="100"/>
            </w:tcMar>
          </w:tcPr>
          <w:p>
            <w:pPr>
              <w:jc w:val="left"/>
            </w:pPr>
            <w:r>
              <w:rPr>
                <w:i w:val="false"/>
                <w:iCs w:val="false"/>
                <w:sz w:val="19"/>
                <w:szCs w:val="19"/>
              </w:rPr>
              <w:t xml:space="preserve">SPEEDSET (speed setting)</w:t>
            </w:r>
          </w:p>
        </w:tc>
        <w:tc>
          <w:tcPr>
            <w:tcW w:type="dxa" w:w="2200"/>
            <w:shd w:fill="F2F5F8" w:val="clear"/>
            <w:tcMar>
              <w:top w:type="dxa" w:w="55"/>
              <w:left w:type="dxa" w:w="100"/>
              <w:bottom w:type="dxa" w:w="55"/>
              <w:right w:type="dxa" w:w="100"/>
            </w:tcMar>
          </w:tcPr>
          <w:p>
            <w:pPr>
              <w:jc w:val="center"/>
            </w:pPr>
            <w:r>
              <w:rPr>
                <w:i w:val="false"/>
                <w:iCs w:val="false"/>
                <w:sz w:val="19"/>
                <w:szCs w:val="19"/>
              </w:rPr>
              <w:t xml:space="preserve">25</w:t>
            </w:r>
          </w:p>
        </w:tc>
        <w:tc>
          <w:tcPr>
            <w:tcW w:type="dxa" w:w="3400"/>
            <w:shd w:fill="F2F5F8" w:val="clear"/>
            <w:tcMar>
              <w:top w:type="dxa" w:w="55"/>
              <w:left w:type="dxa" w:w="100"/>
              <w:bottom w:type="dxa" w:w="55"/>
              <w:right w:type="dxa" w:w="100"/>
            </w:tcMar>
          </w:tcPr>
          <w:p>
            <w:pPr>
              <w:jc w:val="center"/>
            </w:pPr>
            <w:r>
              <w:rPr>
                <w:i w:val="false"/>
                <w:iCs w:val="false"/>
                <w:sz w:val="19"/>
                <w:szCs w:val="19"/>
              </w:rPr>
              <w:t xml:space="preserve">Fixed for the entire run, never changed</w:t>
            </w:r>
          </w:p>
        </w:tc>
      </w:tr>
      <w:tr>
        <w:tc>
          <w:tcPr>
            <w:tcW w:type="dxa" w:w="3600"/>
            <w:shd w:fill="FFFFFF" w:val="clear"/>
            <w:tcMar>
              <w:top w:type="dxa" w:w="55"/>
              <w:left w:type="dxa" w:w="100"/>
              <w:bottom w:type="dxa" w:w="55"/>
              <w:right w:type="dxa" w:w="100"/>
            </w:tcMar>
          </w:tcPr>
          <w:p>
            <w:pPr>
              <w:jc w:val="left"/>
            </w:pPr>
            <w:r>
              <w:rPr>
                <w:i w:val="false"/>
                <w:iCs w:val="false"/>
                <w:sz w:val="19"/>
                <w:szCs w:val="19"/>
              </w:rPr>
              <w:t xml:space="preserve">ACCTM (acceleration time)</w:t>
            </w:r>
          </w:p>
        </w:tc>
        <w:tc>
          <w:tcPr>
            <w:tcW w:type="dxa" w:w="2200"/>
            <w:shd w:fill="FFFFFF" w:val="clear"/>
            <w:tcMar>
              <w:top w:type="dxa" w:w="55"/>
              <w:left w:type="dxa" w:w="100"/>
              <w:bottom w:type="dxa" w:w="55"/>
              <w:right w:type="dxa" w:w="100"/>
            </w:tcMar>
          </w:tcPr>
          <w:p>
            <w:pPr>
              <w:jc w:val="center"/>
            </w:pPr>
            <w:r>
              <w:rPr>
                <w:i w:val="false"/>
                <w:iCs w:val="false"/>
                <w:sz w:val="19"/>
                <w:szCs w:val="19"/>
              </w:rPr>
              <w:t xml:space="preserve">10.0 sec</w:t>
            </w:r>
          </w:p>
        </w:tc>
        <w:tc>
          <w:tcPr>
            <w:tcW w:type="dxa" w:w="3400"/>
            <w:shd w:fill="FFFFFF" w:val="clear"/>
            <w:tcMar>
              <w:top w:type="dxa" w:w="55"/>
              <w:left w:type="dxa" w:w="100"/>
              <w:bottom w:type="dxa" w:w="55"/>
              <w:right w:type="dxa" w:w="100"/>
            </w:tcMar>
          </w:tcPr>
          <w:p>
            <w:pPr>
              <w:jc w:val="center"/>
            </w:pPr>
            <w:r>
              <w:rPr>
                <w:i w:val="false"/>
                <w:iCs w:val="false"/>
                <w:sz w:val="19"/>
                <w:szCs w:val="19"/>
              </w:rPr>
              <w:t xml:space="preserve">Fixed</w:t>
            </w:r>
          </w:p>
        </w:tc>
      </w:tr>
      <w:tr>
        <w:tc>
          <w:tcPr>
            <w:tcW w:type="dxa" w:w="3600"/>
            <w:shd w:fill="F2F5F8" w:val="clear"/>
            <w:tcMar>
              <w:top w:type="dxa" w:w="55"/>
              <w:left w:type="dxa" w:w="100"/>
              <w:bottom w:type="dxa" w:w="55"/>
              <w:right w:type="dxa" w:w="100"/>
            </w:tcMar>
          </w:tcPr>
          <w:p>
            <w:pPr>
              <w:jc w:val="left"/>
            </w:pPr>
            <w:r>
              <w:rPr>
                <w:i w:val="false"/>
                <w:iCs w:val="false"/>
                <w:sz w:val="19"/>
                <w:szCs w:val="19"/>
              </w:rPr>
              <w:t xml:space="preserve">DECTM (deceleration time)</w:t>
            </w:r>
          </w:p>
        </w:tc>
        <w:tc>
          <w:tcPr>
            <w:tcW w:type="dxa" w:w="2200"/>
            <w:shd w:fill="F2F5F8" w:val="clear"/>
            <w:tcMar>
              <w:top w:type="dxa" w:w="55"/>
              <w:left w:type="dxa" w:w="100"/>
              <w:bottom w:type="dxa" w:w="55"/>
              <w:right w:type="dxa" w:w="100"/>
            </w:tcMar>
          </w:tcPr>
          <w:p>
            <w:pPr>
              <w:jc w:val="center"/>
            </w:pPr>
            <w:r>
              <w:rPr>
                <w:i w:val="false"/>
                <w:iCs w:val="false"/>
                <w:sz w:val="19"/>
                <w:szCs w:val="19"/>
              </w:rPr>
              <w:t xml:space="preserve">1.0 sec</w:t>
            </w:r>
          </w:p>
        </w:tc>
        <w:tc>
          <w:tcPr>
            <w:tcW w:type="dxa" w:w="3400"/>
            <w:shd w:fill="F2F5F8" w:val="clear"/>
            <w:tcMar>
              <w:top w:type="dxa" w:w="55"/>
              <w:left w:type="dxa" w:w="100"/>
              <w:bottom w:type="dxa" w:w="55"/>
              <w:right w:type="dxa" w:w="100"/>
            </w:tcMar>
          </w:tcPr>
          <w:p>
            <w:pPr>
              <w:jc w:val="center"/>
            </w:pPr>
            <w:r>
              <w:rPr>
                <w:i w:val="false"/>
                <w:iCs w:val="false"/>
                <w:sz w:val="19"/>
                <w:szCs w:val="19"/>
              </w:rPr>
              <w:t xml:space="preserve">Fixed</w:t>
            </w:r>
          </w:p>
        </w:tc>
      </w:tr>
      <w:tr>
        <w:tc>
          <w:tcPr>
            <w:tcW w:type="dxa" w:w="3600"/>
            <w:shd w:fill="FFFFFF" w:val="clear"/>
            <w:tcMar>
              <w:top w:type="dxa" w:w="55"/>
              <w:left w:type="dxa" w:w="100"/>
              <w:bottom w:type="dxa" w:w="55"/>
              <w:right w:type="dxa" w:w="100"/>
            </w:tcMar>
          </w:tcPr>
          <w:p>
            <w:pPr>
              <w:jc w:val="left"/>
            </w:pPr>
            <w:r>
              <w:rPr>
                <w:i w:val="false"/>
                <w:iCs w:val="false"/>
                <w:sz w:val="19"/>
                <w:szCs w:val="19"/>
              </w:rPr>
              <w:t xml:space="preserve">SLOWLENSET (slow-down length setting)</w:t>
            </w:r>
          </w:p>
        </w:tc>
        <w:tc>
          <w:tcPr>
            <w:tcW w:type="dxa" w:w="2200"/>
            <w:shd w:fill="FFFFFF" w:val="clear"/>
            <w:tcMar>
              <w:top w:type="dxa" w:w="55"/>
              <w:left w:type="dxa" w:w="100"/>
              <w:bottom w:type="dxa" w:w="55"/>
              <w:right w:type="dxa" w:w="100"/>
            </w:tcMar>
          </w:tcPr>
          <w:p>
            <w:pPr>
              <w:jc w:val="center"/>
            </w:pPr>
            <w:r>
              <w:rPr>
                <w:i w:val="false"/>
                <w:iCs w:val="false"/>
                <w:sz w:val="19"/>
                <w:szCs w:val="19"/>
              </w:rPr>
              <w:t xml:space="preserve">50 mm</w:t>
            </w:r>
          </w:p>
        </w:tc>
        <w:tc>
          <w:tcPr>
            <w:tcW w:type="dxa" w:w="3400"/>
            <w:shd w:fill="FFFFFF" w:val="clear"/>
            <w:tcMar>
              <w:top w:type="dxa" w:w="55"/>
              <w:left w:type="dxa" w:w="100"/>
              <w:bottom w:type="dxa" w:w="55"/>
              <w:right w:type="dxa" w:w="100"/>
            </w:tcMar>
          </w:tcPr>
          <w:p>
            <w:pPr>
              <w:jc w:val="center"/>
            </w:pPr>
            <w:r>
              <w:rPr>
                <w:i w:val="false"/>
                <w:iCs w:val="false"/>
                <w:sz w:val="19"/>
                <w:szCs w:val="19"/>
              </w:rPr>
              <w:t xml:space="preserve">Fixed</w:t>
            </w:r>
          </w:p>
        </w:tc>
      </w:tr>
      <w:tr>
        <w:tc>
          <w:tcPr>
            <w:tcW w:type="dxa" w:w="3600"/>
            <w:shd w:fill="F2F5F8" w:val="clear"/>
            <w:tcMar>
              <w:top w:type="dxa" w:w="55"/>
              <w:left w:type="dxa" w:w="100"/>
              <w:bottom w:type="dxa" w:w="55"/>
              <w:right w:type="dxa" w:w="100"/>
            </w:tcMar>
          </w:tcPr>
          <w:p>
            <w:pPr>
              <w:jc w:val="left"/>
            </w:pPr>
            <w:r>
              <w:rPr>
                <w:i w:val="false"/>
                <w:iCs w:val="false"/>
                <w:sz w:val="19"/>
                <w:szCs w:val="19"/>
              </w:rPr>
              <w:t xml:space="preserve">INVERTERSPEEDCOEFF (inverter speed coefficient)</w:t>
            </w:r>
          </w:p>
        </w:tc>
        <w:tc>
          <w:tcPr>
            <w:tcW w:type="dxa" w:w="2200"/>
            <w:shd w:fill="F2F5F8" w:val="clear"/>
            <w:tcMar>
              <w:top w:type="dxa" w:w="55"/>
              <w:left w:type="dxa" w:w="100"/>
              <w:bottom w:type="dxa" w:w="55"/>
              <w:right w:type="dxa" w:w="100"/>
            </w:tcMar>
          </w:tcPr>
          <w:p>
            <w:pPr>
              <w:jc w:val="center"/>
            </w:pPr>
            <w:r>
              <w:rPr>
                <w:i w:val="false"/>
                <w:iCs w:val="false"/>
                <w:sz w:val="19"/>
                <w:szCs w:val="19"/>
              </w:rPr>
              <w:t xml:space="preserve">23.7 - 24.0</w:t>
            </w:r>
          </w:p>
        </w:tc>
        <w:tc>
          <w:tcPr>
            <w:tcW w:type="dxa" w:w="3400"/>
            <w:shd w:fill="F2F5F8" w:val="clear"/>
            <w:tcMar>
              <w:top w:type="dxa" w:w="55"/>
              <w:left w:type="dxa" w:w="100"/>
              <w:bottom w:type="dxa" w:w="55"/>
              <w:right w:type="dxa" w:w="100"/>
            </w:tcMar>
          </w:tcPr>
          <w:p>
            <w:pPr>
              <w:jc w:val="center"/>
            </w:pPr>
            <w:r>
              <w:rPr>
                <w:i w:val="false"/>
                <w:iCs w:val="false"/>
                <w:sz w:val="19"/>
                <w:szCs w:val="19"/>
              </w:rPr>
              <w:t xml:space="preserve">Measurement-noise level only, effectively fixed</w:t>
            </w:r>
          </w:p>
        </w:tc>
      </w:tr>
    </w:tbl>
    <w:p>
      <w:pPr>
        <w:spacing w:after="140" w:line="300"/>
      </w:pPr>
      <w:r>
        <w:rPr>
          <w:b w:val="false"/>
          <w:bCs w:val="false"/>
          <w:i w:val="false"/>
          <w:iCs w:val="false"/>
          <w:color w:val="1A1A1A"/>
          <w:sz w:val="21"/>
          <w:szCs w:val="21"/>
        </w:rPr>
        <w:t xml:space="preserve"/>
      </w:r>
    </w:p>
    <w:p>
      <w:pPr>
        <w:pStyle w:val="Heading2"/>
        <w:spacing w:after="120" w:before="260"/>
      </w:pPr>
      <w:r>
        <w:rPr>
          <w:b/>
          <w:bCs/>
          <w:color w:val="0F2A4A"/>
          <w:sz w:val="25"/>
          <w:szCs w:val="25"/>
        </w:rPr>
        <w:t xml:space="preserve">2.2 Measured performance vs. coil length</w:t>
      </w:r>
    </w:p>
    <w:p>
      <w:pPr>
        <w:spacing w:after="60" w:before="10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24150"/>
                    </a:xfrm>
                    <a:prstGeom prst="rect">
                      <a:avLst/>
                    </a:prstGeom>
                  </pic:spPr>
                </pic:pic>
              </a:graphicData>
            </a:graphic>
          </wp:inline>
        </w:drawing>
      </w:r>
    </w:p>
    <w:p>
      <w:pPr>
        <w:spacing w:after="260" w:before="60"/>
        <w:jc w:val="center"/>
      </w:pPr>
      <w:r>
        <w:rPr>
          <w:i/>
          <w:iCs/>
          <w:color w:val="5A6674"/>
          <w:sz w:val="18"/>
          <w:szCs w:val="18"/>
        </w:rPr>
        <w:t xml:space="preserve">Figure 1. EPD2871C01 - inverter load (%) and cycle time per stroke (sec) vs. cumulative coil length (m)</w:t>
      </w:r>
    </w:p>
    <w:p>
      <w:pPr>
        <w:pStyle w:val="ListParagraph"/>
        <w:numPr>
          <w:ilvl w:val="0"/>
          <w:numId w:val="2"/>
        </w:numPr>
        <w:spacing w:after="100" w:line="290"/>
      </w:pPr>
      <w:r>
        <w:rPr>
          <w:b w:val="false"/>
          <w:bCs w:val="false"/>
          <w:sz w:val="21"/>
          <w:szCs w:val="21"/>
        </w:rPr>
        <w:t xml:space="preserve">Warm-up phase (0-220m, roughly the first 25% of the coil): load climbs 6.5% -&gt; 22.4% -&gt; 36.9% -&gt; ~48%, while cycle time shortens from 9.06 sec to ~4.8 sec. Settings did not change at all in this phase, so this is a real warm-up in the machine's realized performance, not a settings adjustment.</w:t>
      </w:r>
    </w:p>
    <w:p>
      <w:pPr>
        <w:pStyle w:val="ListParagraph"/>
        <w:numPr>
          <w:ilvl w:val="0"/>
          <w:numId w:val="2"/>
        </w:numPr>
        <w:spacing w:after="100" w:line="290"/>
      </w:pPr>
      <w:r>
        <w:rPr>
          <w:b w:val="false"/>
          <w:bCs w:val="false"/>
          <w:sz w:val="21"/>
          <w:szCs w:val="21"/>
        </w:rPr>
        <w:t xml:space="preserve">Steady-state phases (220-432m and 504-863m): load holds at 47-51%, cycle time at 4.8-5.1 sec.</w:t>
      </w:r>
    </w:p>
    <w:p>
      <w:pPr>
        <w:pStyle w:val="ListParagraph"/>
        <w:numPr>
          <w:ilvl w:val="0"/>
          <w:numId w:val="2"/>
        </w:numPr>
        <w:spacing w:after="100" w:line="290"/>
      </w:pPr>
      <w:r>
        <w:rPr>
          <w:b w:val="false"/>
          <w:bCs w:val="false"/>
          <w:sz w:val="21"/>
          <w:szCs w:val="21"/>
        </w:rPr>
        <w:t xml:space="preserve">Low-load dip (431.7-503.65m, 18:39-19:07 KST, ~28 minutes): load falls to as low as 9.5% and cycle time returns to a warm-up-like 9.04 sec. Since no setting changed during this window, this looks like a temporary stop or slow-down on the floor (e.g. checking material) rather than a control-parameter change.</w:t>
      </w:r>
    </w:p>
    <w:p>
      <w:pPr>
        <w:pStyle w:val="ListParagraph"/>
        <w:numPr>
          <w:ilvl w:val="0"/>
          <w:numId w:val="2"/>
        </w:numPr>
        <w:spacing w:after="100" w:line="290"/>
      </w:pPr>
      <w:r>
        <w:rPr>
          <w:b w:val="false"/>
          <w:bCs w:val="false"/>
          <w:sz w:val="21"/>
          <w:szCs w:val="21"/>
        </w:rPr>
        <w:t xml:space="preserve">Box handling: per LEVELING_DATA's BOXIDX field, this entire coil was processed as a single box - there was no box change during this run.</w:t>
      </w:r>
    </w:p>
    <w:p>
      <w:pPr>
        <w:pStyle w:val="ListParagraph"/>
        <w:numPr>
          <w:ilvl w:val="0"/>
          <w:numId w:val="2"/>
        </w:numPr>
        <w:spacing w:after="100" w:line="290"/>
      </w:pPr>
      <w:r>
        <w:rPr>
          <w:b w:val="false"/>
          <w:bCs w:val="false"/>
          <w:sz w:val="21"/>
          <w:szCs w:val="21"/>
        </w:rPr>
        <w:t xml:space="preserve">Because this coil has only one box, the 28-minute dip above is NOT explained by a box change (unlike Coil 2's pattern in Section 3). Its cause is not visible in the PLC settings and would need to be confirmed with the floor team - e.g. a splice/material check or an unlogged stoppage.</w:t>
      </w:r>
    </w:p>
    <w:p>
      <w:pPr>
        <w:pStyle w:val="Heading1"/>
        <w:pBdr>
          <w:bottom w:val="single" w:color="0F2A4A" w:sz="8" w:space="4"/>
        </w:pBdr>
        <w:spacing w:after="160" w:before="320"/>
      </w:pPr>
      <w:r>
        <w:rPr>
          <w:b/>
          <w:bCs/>
          <w:color w:val="0F2A4A"/>
          <w:sz w:val="30"/>
          <w:szCs w:val="30"/>
        </w:rPr>
        <w:t xml:space="preserve">2b. Uncoiler Tension (PR-DTC-3100)</w:t>
      </w:r>
    </w:p>
    <w:p>
      <w:pPr>
        <w:spacing w:after="140" w:line="300"/>
      </w:pPr>
      <w:r>
        <w:rPr>
          <w:b w:val="false"/>
          <w:bCs w:val="false"/>
          <w:i w:val="false"/>
          <w:iCs w:val="false"/>
          <w:color w:val="1A1A1A"/>
          <w:sz w:val="21"/>
          <w:szCs w:val="21"/>
        </w:rPr>
        <w:t xml:space="preserve">The uncoiler ahead of the leveling line has its own legacy tension-controller display (no data port), read by camera + OCR (Groq/Qwen vision) into the ai_tension_readings table roughly every 5 minutes while the monitoring script is running. Per the project's own data model notes, a reading has no coil ID or length of its own - it must be attributed to whichever coil had RUN=1 in LEVELING_DATA at that reading's captured_at timestamp.</w:t>
      </w:r>
    </w:p>
    <w:p>
      <w:pPr>
        <w:spacing w:after="140" w:line="300"/>
      </w:pPr>
      <w:r>
        <w:rPr>
          <w:b/>
          <w:bCs/>
          <w:i w:val="false"/>
          <w:iCs w:val="false"/>
          <w:color w:val="1A1A1A"/>
          <w:sz w:val="21"/>
          <w:szCs w:val="21"/>
        </w:rPr>
        <w:t xml:space="preserve">Applying that rule to September 3: the OCR monitor was only active from 09:01:20 to 15:40:29 KST that day (64 readings, see table below). Coil 1 did not start until 17:34 KST and Coil 2 not until 20:37 KST - both begin after the monitor's last reading that day. So none of the day's 64 uncoiler-tension readings fall inside either job's run window; none can be attributed to EPD2871C01 or 59A2078B.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rPr>
          <w:tblHeader/>
        </w:trPr>
        <w:tc>
          <w:tcPr>
            <w:tcW w:type="dxa" w:w="3200"/>
            <w:shd w:fill="0F2A4A" w:val="clear"/>
            <w:tcMar>
              <w:top w:type="dxa" w:w="60"/>
              <w:left w:type="dxa" w:w="100"/>
              <w:bottom w:type="dxa" w:w="60"/>
              <w:right w:type="dxa" w:w="100"/>
            </w:tcMar>
          </w:tcPr>
          <w:p>
            <w:pPr>
              <w:jc w:val="center"/>
            </w:pPr>
            <w:r>
              <w:rPr>
                <w:b/>
                <w:bCs/>
                <w:color w:val="FFFFFF"/>
                <w:sz w:val="19"/>
                <w:szCs w:val="19"/>
              </w:rPr>
              <w:t xml:space="preserve">Field</w:t>
            </w:r>
          </w:p>
        </w:tc>
        <w:tc>
          <w:tcPr>
            <w:tcW w:type="dxa" w:w="3200"/>
            <w:shd w:fill="0F2A4A" w:val="clear"/>
            <w:tcMar>
              <w:top w:type="dxa" w:w="60"/>
              <w:left w:type="dxa" w:w="100"/>
              <w:bottom w:type="dxa" w:w="60"/>
              <w:right w:type="dxa" w:w="100"/>
            </w:tcMar>
          </w:tcPr>
          <w:p>
            <w:pPr>
              <w:jc w:val="center"/>
            </w:pPr>
            <w:r>
              <w:rPr>
                <w:b/>
                <w:bCs/>
                <w:color w:val="FFFFFF"/>
                <w:sz w:val="19"/>
                <w:szCs w:val="19"/>
              </w:rPr>
              <w:t xml:space="preserve">Value</w:t>
            </w:r>
          </w:p>
        </w:tc>
        <w:tc>
          <w:tcPr>
            <w:tcW w:type="dxa" w:w="2800"/>
            <w:shd w:fill="0F2A4A" w:val="clear"/>
            <w:tcMar>
              <w:top w:type="dxa" w:w="60"/>
              <w:left w:type="dxa" w:w="100"/>
              <w:bottom w:type="dxa" w:w="60"/>
              <w:right w:type="dxa" w:w="100"/>
            </w:tcMar>
          </w:tcPr>
          <w:p>
            <w:pPr>
              <w:jc w:val="center"/>
            </w:pPr>
            <w:r>
              <w:rPr>
                <w:b/>
                <w:bCs/>
                <w:color w:val="FFFFFF"/>
                <w:sz w:val="19"/>
                <w:szCs w:val="19"/>
              </w:rPr>
              <w:t xml:space="preserve">Note</w:t>
            </w:r>
          </w:p>
        </w:tc>
      </w:tr>
      <w:tr>
        <w:tc>
          <w:tcPr>
            <w:tcW w:type="dxa" w:w="3200"/>
            <w:shd w:fill="FFFFFF" w:val="clear"/>
            <w:tcMar>
              <w:top w:type="dxa" w:w="55"/>
              <w:left w:type="dxa" w:w="100"/>
              <w:bottom w:type="dxa" w:w="55"/>
              <w:right w:type="dxa" w:w="100"/>
            </w:tcMar>
          </w:tcPr>
          <w:p>
            <w:pPr>
              <w:jc w:val="left"/>
            </w:pPr>
            <w:r>
              <w:rPr>
                <w:i w:val="false"/>
                <w:iCs w:val="false"/>
                <w:sz w:val="19"/>
                <w:szCs w:val="19"/>
              </w:rPr>
              <w:t xml:space="preserve">Reading window (KST)</w:t>
            </w:r>
          </w:p>
        </w:tc>
        <w:tc>
          <w:tcPr>
            <w:tcW w:type="dxa" w:w="3200"/>
            <w:shd w:fill="FFFFFF" w:val="clear"/>
            <w:tcMar>
              <w:top w:type="dxa" w:w="55"/>
              <w:left w:type="dxa" w:w="100"/>
              <w:bottom w:type="dxa" w:w="55"/>
              <w:right w:type="dxa" w:w="100"/>
            </w:tcMar>
          </w:tcPr>
          <w:p>
            <w:pPr>
              <w:jc w:val="center"/>
            </w:pPr>
            <w:r>
              <w:rPr>
                <w:i w:val="false"/>
                <w:iCs w:val="false"/>
                <w:sz w:val="19"/>
                <w:szCs w:val="19"/>
              </w:rPr>
              <w:t xml:space="preserve">09:01:20 - 15:40:29</w:t>
            </w:r>
          </w:p>
        </w:tc>
        <w:tc>
          <w:tcPr>
            <w:tcW w:type="dxa" w:w="2800"/>
            <w:shd w:fill="FFFFFF" w:val="clear"/>
            <w:tcMar>
              <w:top w:type="dxa" w:w="55"/>
              <w:left w:type="dxa" w:w="100"/>
              <w:bottom w:type="dxa" w:w="55"/>
              <w:right w:type="dxa" w:w="100"/>
            </w:tcMar>
          </w:tcPr>
          <w:p>
            <w:pPr>
              <w:jc w:val="center"/>
            </w:pPr>
            <w:r>
              <w:rPr>
                <w:i w:val="false"/>
                <w:iCs w:val="false"/>
                <w:sz w:val="19"/>
                <w:szCs w:val="19"/>
              </w:rPr>
              <w:t xml:space="preserve">Ends ~2h before Coil 1 starts (17:34)</w:t>
            </w:r>
          </w:p>
        </w:tc>
      </w:tr>
      <w:tr>
        <w:tc>
          <w:tcPr>
            <w:tcW w:type="dxa" w:w="3200"/>
            <w:shd w:fill="F2F5F8" w:val="clear"/>
            <w:tcMar>
              <w:top w:type="dxa" w:w="55"/>
              <w:left w:type="dxa" w:w="100"/>
              <w:bottom w:type="dxa" w:w="55"/>
              <w:right w:type="dxa" w:w="100"/>
            </w:tcMar>
          </w:tcPr>
          <w:p>
            <w:pPr>
              <w:jc w:val="left"/>
            </w:pPr>
            <w:r>
              <w:rPr>
                <w:i w:val="false"/>
                <w:iCs w:val="false"/>
                <w:sz w:val="19"/>
                <w:szCs w:val="19"/>
              </w:rPr>
              <w:t xml:space="preserve">Readings that day</w:t>
            </w:r>
          </w:p>
        </w:tc>
        <w:tc>
          <w:tcPr>
            <w:tcW w:type="dxa" w:w="3200"/>
            <w:shd w:fill="F2F5F8" w:val="clear"/>
            <w:tcMar>
              <w:top w:type="dxa" w:w="55"/>
              <w:left w:type="dxa" w:w="100"/>
              <w:bottom w:type="dxa" w:w="55"/>
              <w:right w:type="dxa" w:w="100"/>
            </w:tcMar>
          </w:tcPr>
          <w:p>
            <w:pPr>
              <w:jc w:val="center"/>
            </w:pPr>
            <w:r>
              <w:rPr>
                <w:i w:val="false"/>
                <w:iCs w:val="false"/>
                <w:sz w:val="19"/>
                <w:szCs w:val="19"/>
              </w:rPr>
              <w:t xml:space="preserve">64</w:t>
            </w:r>
          </w:p>
        </w:tc>
        <w:tc>
          <w:tcPr>
            <w:tcW w:type="dxa" w:w="2800"/>
            <w:shd w:fill="F2F5F8" w:val="clear"/>
            <w:tcMar>
              <w:top w:type="dxa" w:w="55"/>
              <w:left w:type="dxa" w:w="100"/>
              <w:bottom w:type="dxa" w:w="55"/>
              <w:right w:type="dxa" w:w="100"/>
            </w:tcMar>
          </w:tcPr>
          <w:p>
            <w:pPr>
              <w:jc w:val="center"/>
            </w:pPr>
            <w:r>
              <w:rPr>
                <w:i w:val="false"/>
                <w:iCs w:val="false"/>
                <w:sz w:val="19"/>
                <w:szCs w:val="19"/>
              </w:rPr>
              <w:t xml:space="preserve">connected=64/64, parse_ok=63/64</w:t>
            </w:r>
          </w:p>
        </w:tc>
      </w:tr>
      <w:tr>
        <w:tc>
          <w:tcPr>
            <w:tcW w:type="dxa" w:w="3200"/>
            <w:shd w:fill="FFFFFF" w:val="clear"/>
            <w:tcMar>
              <w:top w:type="dxa" w:w="55"/>
              <w:left w:type="dxa" w:w="100"/>
              <w:bottom w:type="dxa" w:w="55"/>
              <w:right w:type="dxa" w:w="100"/>
            </w:tcMar>
          </w:tcPr>
          <w:p>
            <w:pPr>
              <w:jc w:val="left"/>
            </w:pPr>
            <w:r>
              <w:rPr>
                <w:i w:val="false"/>
                <w:iCs w:val="false"/>
                <w:sz w:val="19"/>
                <w:szCs w:val="19"/>
              </w:rPr>
              <w:t xml:space="preserve">Avg. output %</w:t>
            </w:r>
          </w:p>
        </w:tc>
        <w:tc>
          <w:tcPr>
            <w:tcW w:type="dxa" w:w="3200"/>
            <w:shd w:fill="FFFFFF" w:val="clear"/>
            <w:tcMar>
              <w:top w:type="dxa" w:w="55"/>
              <w:left w:type="dxa" w:w="100"/>
              <w:bottom w:type="dxa" w:w="55"/>
              <w:right w:type="dxa" w:w="100"/>
            </w:tcMar>
          </w:tcPr>
          <w:p>
            <w:pPr>
              <w:jc w:val="center"/>
            </w:pPr>
            <w:r>
              <w:rPr>
                <w:i w:val="false"/>
                <w:iCs w:val="false"/>
                <w:sz w:val="19"/>
                <w:szCs w:val="19"/>
              </w:rPr>
              <w:t xml:space="preserve">70.3 %</w:t>
            </w:r>
          </w:p>
        </w:tc>
        <w:tc>
          <w:tcPr>
            <w:tcW w:type="dxa" w:w="2800"/>
            <w:shd w:fill="FFFFFF" w:val="clear"/>
            <w:tcMar>
              <w:top w:type="dxa" w:w="55"/>
              <w:left w:type="dxa" w:w="100"/>
              <w:bottom w:type="dxa" w:w="55"/>
              <w:right w:type="dxa" w:w="100"/>
            </w:tcMar>
          </w:tcPr>
          <w:p>
            <w:pPr>
              <w:jc w:val="center"/>
            </w:pPr>
            <w:r>
              <w:rPr>
                <w:i w:val="false"/>
                <w:iCs w:val="false"/>
                <w:sz w:val="19"/>
                <w:szCs w:val="19"/>
              </w:rPr>
              <w:t xml:space="preserve"/>
            </w:r>
          </w:p>
        </w:tc>
      </w:tr>
      <w:tr>
        <w:tc>
          <w:tcPr>
            <w:tcW w:type="dxa" w:w="3200"/>
            <w:shd w:fill="F2F5F8" w:val="clear"/>
            <w:tcMar>
              <w:top w:type="dxa" w:w="55"/>
              <w:left w:type="dxa" w:w="100"/>
              <w:bottom w:type="dxa" w:w="55"/>
              <w:right w:type="dxa" w:w="100"/>
            </w:tcMar>
          </w:tcPr>
          <w:p>
            <w:pPr>
              <w:jc w:val="left"/>
            </w:pPr>
            <w:r>
              <w:rPr>
                <w:i w:val="false"/>
                <w:iCs w:val="false"/>
                <w:sz w:val="19"/>
                <w:szCs w:val="19"/>
              </w:rPr>
              <w:t xml:space="preserve">Avg. output voltage</w:t>
            </w:r>
          </w:p>
        </w:tc>
        <w:tc>
          <w:tcPr>
            <w:tcW w:type="dxa" w:w="3200"/>
            <w:shd w:fill="F2F5F8" w:val="clear"/>
            <w:tcMar>
              <w:top w:type="dxa" w:w="55"/>
              <w:left w:type="dxa" w:w="100"/>
              <w:bottom w:type="dxa" w:w="55"/>
              <w:right w:type="dxa" w:w="100"/>
            </w:tcMar>
          </w:tcPr>
          <w:p>
            <w:pPr>
              <w:jc w:val="center"/>
            </w:pPr>
            <w:r>
              <w:rPr>
                <w:i w:val="false"/>
                <w:iCs w:val="false"/>
                <w:sz w:val="19"/>
                <w:szCs w:val="19"/>
              </w:rPr>
              <w:t xml:space="preserve">16.9 V</w:t>
            </w:r>
          </w:p>
        </w:tc>
        <w:tc>
          <w:tcPr>
            <w:tcW w:type="dxa" w:w="2800"/>
            <w:shd w:fill="F2F5F8" w:val="clear"/>
            <w:tcMar>
              <w:top w:type="dxa" w:w="55"/>
              <w:left w:type="dxa" w:w="100"/>
              <w:bottom w:type="dxa" w:w="55"/>
              <w:right w:type="dxa" w:w="100"/>
            </w:tcMar>
          </w:tcPr>
          <w:p>
            <w:pPr>
              <w:jc w:val="center"/>
            </w:pPr>
            <w:r>
              <w:rPr>
                <w:i w:val="false"/>
                <w:iCs w:val="false"/>
                <w:sz w:val="19"/>
                <w:szCs w:val="19"/>
              </w:rPr>
              <w:t xml:space="preserve"/>
            </w:r>
          </w:p>
        </w:tc>
      </w:tr>
      <w:tr>
        <w:tc>
          <w:tcPr>
            <w:tcW w:type="dxa" w:w="3200"/>
            <w:shd w:fill="FFFFFF" w:val="clear"/>
            <w:tcMar>
              <w:top w:type="dxa" w:w="55"/>
              <w:left w:type="dxa" w:w="100"/>
              <w:bottom w:type="dxa" w:w="55"/>
              <w:right w:type="dxa" w:w="100"/>
            </w:tcMar>
          </w:tcPr>
          <w:p>
            <w:pPr>
              <w:jc w:val="left"/>
            </w:pPr>
            <w:r>
              <w:rPr>
                <w:i w:val="false"/>
                <w:iCs w:val="false"/>
                <w:sz w:val="19"/>
                <w:szCs w:val="19"/>
              </w:rPr>
              <w:t xml:space="preserve">Avg. thickness (OCR)</w:t>
            </w:r>
          </w:p>
        </w:tc>
        <w:tc>
          <w:tcPr>
            <w:tcW w:type="dxa" w:w="3200"/>
            <w:shd w:fill="FFFFFF" w:val="clear"/>
            <w:tcMar>
              <w:top w:type="dxa" w:w="55"/>
              <w:left w:type="dxa" w:w="100"/>
              <w:bottom w:type="dxa" w:w="55"/>
              <w:right w:type="dxa" w:w="100"/>
            </w:tcMar>
          </w:tcPr>
          <w:p>
            <w:pPr>
              <w:jc w:val="center"/>
            </w:pPr>
            <w:r>
              <w:rPr>
                <w:i w:val="false"/>
                <w:iCs w:val="false"/>
                <w:sz w:val="19"/>
                <w:szCs w:val="19"/>
              </w:rPr>
              <w:t xml:space="preserve">958.1 um (~0.96mm)</w:t>
            </w:r>
          </w:p>
        </w:tc>
        <w:tc>
          <w:tcPr>
            <w:tcW w:type="dxa" w:w="2800"/>
            <w:shd w:fill="FFFFFF" w:val="clear"/>
            <w:tcMar>
              <w:top w:type="dxa" w:w="55"/>
              <w:left w:type="dxa" w:w="100"/>
              <w:bottom w:type="dxa" w:w="55"/>
              <w:right w:type="dxa" w:w="100"/>
            </w:tcMar>
          </w:tcPr>
          <w:p>
            <w:pPr>
              <w:jc w:val="center"/>
            </w:pPr>
            <w:r>
              <w:rPr>
                <w:i w:val="false"/>
                <w:iCs w:val="false"/>
                <w:sz w:val="19"/>
                <w:szCs w:val="19"/>
              </w:rPr>
              <w:t xml:space="preserve">Matches neither coil's spec (0.76mm / 1.15mm)</w:t>
            </w:r>
          </w:p>
        </w:tc>
      </w:tr>
      <w:tr>
        <w:tc>
          <w:tcPr>
            <w:tcW w:type="dxa" w:w="3200"/>
            <w:shd w:fill="F2F5F8" w:val="clear"/>
            <w:tcMar>
              <w:top w:type="dxa" w:w="55"/>
              <w:left w:type="dxa" w:w="100"/>
              <w:bottom w:type="dxa" w:w="55"/>
              <w:right w:type="dxa" w:w="100"/>
            </w:tcMar>
          </w:tcPr>
          <w:p>
            <w:pPr>
              <w:jc w:val="left"/>
            </w:pPr>
            <w:r>
              <w:rPr>
                <w:i w:val="false"/>
                <w:iCs w:val="false"/>
                <w:sz w:val="19"/>
                <w:szCs w:val="19"/>
              </w:rPr>
              <w:t xml:space="preserve">Avg. start diameter</w:t>
            </w:r>
          </w:p>
        </w:tc>
        <w:tc>
          <w:tcPr>
            <w:tcW w:type="dxa" w:w="3200"/>
            <w:shd w:fill="F2F5F8" w:val="clear"/>
            <w:tcMar>
              <w:top w:type="dxa" w:w="55"/>
              <w:left w:type="dxa" w:w="100"/>
              <w:bottom w:type="dxa" w:w="55"/>
              <w:right w:type="dxa" w:w="100"/>
            </w:tcMar>
          </w:tcPr>
          <w:p>
            <w:pPr>
              <w:jc w:val="center"/>
            </w:pPr>
            <w:r>
              <w:rPr>
                <w:i w:val="false"/>
                <w:iCs w:val="false"/>
                <w:sz w:val="19"/>
                <w:szCs w:val="19"/>
              </w:rPr>
              <w:t xml:space="preserve">1,204.0 mm</w:t>
            </w:r>
          </w:p>
        </w:tc>
        <w:tc>
          <w:tcPr>
            <w:tcW w:type="dxa" w:w="2800"/>
            <w:shd w:fill="F2F5F8" w:val="clear"/>
            <w:tcMar>
              <w:top w:type="dxa" w:w="55"/>
              <w:left w:type="dxa" w:w="100"/>
              <w:bottom w:type="dxa" w:w="55"/>
              <w:right w:type="dxa" w:w="100"/>
            </w:tcMar>
          </w:tcPr>
          <w:p>
            <w:pPr>
              <w:jc w:val="center"/>
            </w:pPr>
            <w:r>
              <w:rPr>
                <w:i w:val="false"/>
                <w:iCs w:val="false"/>
                <w:sz w:val="19"/>
                <w:szCs w:val="19"/>
              </w:rPr>
              <w:t xml:space="preserve">Constant all morning</w:t>
            </w:r>
          </w:p>
        </w:tc>
      </w:tr>
      <w:tr>
        <w:tc>
          <w:tcPr>
            <w:tcW w:type="dxa" w:w="3200"/>
            <w:shd w:fill="FFFFFF" w:val="clear"/>
            <w:tcMar>
              <w:top w:type="dxa" w:w="55"/>
              <w:left w:type="dxa" w:w="100"/>
              <w:bottom w:type="dxa" w:w="55"/>
              <w:right w:type="dxa" w:w="100"/>
            </w:tcMar>
          </w:tcPr>
          <w:p>
            <w:pPr>
              <w:jc w:val="left"/>
            </w:pPr>
            <w:r>
              <w:rPr>
                <w:i w:val="false"/>
                <w:iCs w:val="false"/>
                <w:sz w:val="19"/>
                <w:szCs w:val="19"/>
              </w:rPr>
              <w:t xml:space="preserve">Avg. tension_set</w:t>
            </w:r>
          </w:p>
        </w:tc>
        <w:tc>
          <w:tcPr>
            <w:tcW w:type="dxa" w:w="3200"/>
            <w:shd w:fill="FFFFFF" w:val="clear"/>
            <w:tcMar>
              <w:top w:type="dxa" w:w="55"/>
              <w:left w:type="dxa" w:w="100"/>
              <w:bottom w:type="dxa" w:w="55"/>
              <w:right w:type="dxa" w:w="100"/>
            </w:tcMar>
          </w:tcPr>
          <w:p>
            <w:pPr>
              <w:jc w:val="center"/>
            </w:pPr>
            <w:r>
              <w:rPr>
                <w:i w:val="false"/>
                <w:iCs w:val="false"/>
                <w:sz w:val="19"/>
                <w:szCs w:val="19"/>
              </w:rPr>
              <w:t xml:space="preserve">70.3</w:t>
            </w:r>
          </w:p>
        </w:tc>
        <w:tc>
          <w:tcPr>
            <w:tcW w:type="dxa" w:w="2800"/>
            <w:shd w:fill="FFFFFF" w:val="clear"/>
            <w:tcMar>
              <w:top w:type="dxa" w:w="55"/>
              <w:left w:type="dxa" w:w="100"/>
              <w:bottom w:type="dxa" w:w="55"/>
              <w:right w:type="dxa" w:w="100"/>
            </w:tcMar>
          </w:tcPr>
          <w:p>
            <w:pPr>
              <w:jc w:val="center"/>
            </w:pPr>
            <w:r>
              <w:rPr>
                <w:i w:val="false"/>
                <w:iCs w:val="false"/>
                <w:sz w:val="19"/>
                <w:szCs w:val="19"/>
              </w:rPr>
              <w:t xml:space="preserve">Same value as output %, as expected from the panel layout</w:t>
            </w:r>
          </w:p>
        </w:tc>
      </w:tr>
      <w:tr>
        <w:tc>
          <w:tcPr>
            <w:tcW w:type="dxa" w:w="3200"/>
            <w:shd w:fill="F2F5F8" w:val="clear"/>
            <w:tcMar>
              <w:top w:type="dxa" w:w="55"/>
              <w:left w:type="dxa" w:w="100"/>
              <w:bottom w:type="dxa" w:w="55"/>
              <w:right w:type="dxa" w:w="100"/>
            </w:tcMar>
          </w:tcPr>
          <w:p>
            <w:pPr>
              <w:jc w:val="left"/>
            </w:pPr>
            <w:r>
              <w:rPr>
                <w:i w:val="false"/>
                <w:iCs w:val="false"/>
                <w:sz w:val="19"/>
                <w:szCs w:val="19"/>
              </w:rPr>
              <w:t xml:space="preserve">Avg. tension_rate</w:t>
            </w:r>
          </w:p>
        </w:tc>
        <w:tc>
          <w:tcPr>
            <w:tcW w:type="dxa" w:w="3200"/>
            <w:shd w:fill="F2F5F8" w:val="clear"/>
            <w:tcMar>
              <w:top w:type="dxa" w:w="55"/>
              <w:left w:type="dxa" w:w="100"/>
              <w:bottom w:type="dxa" w:w="55"/>
              <w:right w:type="dxa" w:w="100"/>
            </w:tcMar>
          </w:tcPr>
          <w:p>
            <w:pPr>
              <w:jc w:val="center"/>
            </w:pPr>
            <w:r>
              <w:rPr>
                <w:i w:val="false"/>
                <w:iCs w:val="false"/>
                <w:sz w:val="19"/>
                <w:szCs w:val="19"/>
              </w:rPr>
              <w:t xml:space="preserve">0.00</w:t>
            </w:r>
          </w:p>
        </w:tc>
        <w:tc>
          <w:tcPr>
            <w:tcW w:type="dxa" w:w="2800"/>
            <w:shd w:fill="F2F5F8" w:val="clear"/>
            <w:tcMar>
              <w:top w:type="dxa" w:w="55"/>
              <w:left w:type="dxa" w:w="100"/>
              <w:bottom w:type="dxa" w:w="55"/>
              <w:right w:type="dxa" w:w="100"/>
            </w:tcMar>
          </w:tcPr>
          <w:p>
            <w:pPr>
              <w:jc w:val="center"/>
            </w:pPr>
            <w:r>
              <w:rPr>
                <w:i w:val="false"/>
                <w:iCs w:val="false"/>
                <w:sz w:val="19"/>
                <w:szCs w:val="19"/>
              </w:rPr>
              <w:t xml:space="preserve">Known OCR field limitation - this field always reads 0 (documented issue)</w:t>
            </w:r>
          </w:p>
        </w:tc>
      </w:tr>
    </w:tbl>
    <w:p>
      <w:pPr>
        <w:spacing w:after="140" w:line="300"/>
      </w:pPr>
      <w:r>
        <w:rPr>
          <w:b w:val="false"/>
          <w:bCs w:val="false"/>
          <w:i w:val="false"/>
          <w:iCs w:val="false"/>
          <w:color w:val="1A1A1A"/>
          <w:sz w:val="21"/>
          <w:szCs w:val="21"/>
        </w:rPr>
        <w:t xml:space="preserve"/>
      </w:r>
    </w:p>
    <w:p>
      <w:pPr>
        <w:pStyle w:val="ListParagraph"/>
        <w:numPr>
          <w:ilvl w:val="0"/>
          <w:numId w:val="2"/>
        </w:numPr>
        <w:spacing w:after="100" w:line="290"/>
      </w:pPr>
      <w:r>
        <w:rPr>
          <w:b w:val="false"/>
          <w:bCs w:val="false"/>
          <w:sz w:val="21"/>
          <w:szCs w:val="21"/>
        </w:rPr>
        <w:t xml:space="preserve">The morning readings' average thickness (~0.96mm) matches neither of today's two coils (0.76mm and 1.15mm), consistent with them belonging to an earlier or untagged coil that was on the uncoiler before either of today's report jobs, or to an idle/last-known-value state.</w:t>
      </w:r>
    </w:p>
    <w:p>
      <w:pPr>
        <w:pStyle w:val="ListParagraph"/>
        <w:numPr>
          <w:ilvl w:val="0"/>
          <w:numId w:val="2"/>
        </w:numPr>
        <w:spacing w:after="100" w:line="290"/>
      </w:pPr>
      <w:r>
        <w:rPr>
          <w:b/>
          <w:bCs/>
          <w:sz w:val="21"/>
          <w:szCs w:val="21"/>
        </w:rPr>
        <w:t xml:space="preserve">Practical takeaway: today's two leveling jobs both ran in the evening/night, outside the OCR monitor's current operating hours, so there is currently no uncoiler-tension telemetry for evening-shift jobs like these. If tension data is wanted for jobs like these two, the monitoring script's operating hours would need to be extended into the evening (see Section 7).</w:t>
      </w:r>
    </w:p>
    <w:p>
      <w:pPr>
        <w:pStyle w:val="Heading1"/>
        <w:pBdr>
          <w:bottom w:val="single" w:color="0F2A4A" w:sz="8" w:space="4"/>
        </w:pBdr>
        <w:spacing w:after="160" w:before="320"/>
      </w:pPr>
      <w:r>
        <w:rPr>
          <w:b/>
          <w:bCs/>
          <w:color w:val="0F2A4A"/>
          <w:sz w:val="30"/>
          <w:szCs w:val="30"/>
        </w:rPr>
        <w:t xml:space="preserve">3. Job 2 - 59A2078B (Yuchang, 1.15mm)</w:t>
      </w:r>
    </w:p>
    <w:p>
      <w:pPr>
        <w:pStyle w:val="Heading2"/>
        <w:spacing w:after="120" w:before="260"/>
      </w:pPr>
      <w:r>
        <w:rPr>
          <w:b/>
          <w:bCs/>
          <w:color w:val="0F2A4A"/>
          <w:sz w:val="25"/>
          <w:szCs w:val="25"/>
        </w:rPr>
        <w:t xml:space="preserve">3.1 Equipment settings</w:t>
      </w:r>
    </w:p>
    <w:p>
      <w:pPr>
        <w:spacing w:after="140" w:line="300"/>
      </w:pPr>
      <w:r>
        <w:rPr>
          <w:b w:val="false"/>
          <w:bCs w:val="false"/>
          <w:i w:val="false"/>
          <w:iCs w:val="false"/>
          <w:color w:val="1A1A1A"/>
          <w:sz w:val="21"/>
          <w:szCs w:val="21"/>
        </w:rPr>
        <w:t xml:space="preserve">The previous job's (Coil 1, 0.76mm) SPEEDSET=25 was still in effect when Coil 2 began, then was corrected to 15 at the 3m mark (11:55:58) - consistent with Yuchang's thicker spec (1.15mm) calling for a lower speed. It did not change again for the rest of the 992m run. CUTLENSET was also nudged from 2994 to 2993.5mm at the 15m mark, then held fixed.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400"/>
      </w:tblGrid>
      <w:tr>
        <w:trPr>
          <w:tblHeader/>
        </w:trPr>
        <w:tc>
          <w:tcPr>
            <w:tcW w:type="dxa" w:w="3600"/>
            <w:shd w:fill="0F2A4A" w:val="clear"/>
            <w:tcMar>
              <w:top w:type="dxa" w:w="60"/>
              <w:left w:type="dxa" w:w="100"/>
              <w:bottom w:type="dxa" w:w="60"/>
              <w:right w:type="dxa" w:w="100"/>
            </w:tcMar>
          </w:tcPr>
          <w:p>
            <w:pPr>
              <w:jc w:val="center"/>
            </w:pPr>
            <w:r>
              <w:rPr>
                <w:b/>
                <w:bCs/>
                <w:color w:val="FFFFFF"/>
                <w:sz w:val="19"/>
                <w:szCs w:val="19"/>
              </w:rPr>
              <w:t xml:space="preserve">Setting</w:t>
            </w:r>
          </w:p>
        </w:tc>
        <w:tc>
          <w:tcPr>
            <w:tcW w:type="dxa" w:w="2200"/>
            <w:shd w:fill="0F2A4A" w:val="clear"/>
            <w:tcMar>
              <w:top w:type="dxa" w:w="60"/>
              <w:left w:type="dxa" w:w="100"/>
              <w:bottom w:type="dxa" w:w="60"/>
              <w:right w:type="dxa" w:w="100"/>
            </w:tcMar>
          </w:tcPr>
          <w:p>
            <w:pPr>
              <w:jc w:val="center"/>
            </w:pPr>
            <w:r>
              <w:rPr>
                <w:b/>
                <w:bCs/>
                <w:color w:val="FFFFFF"/>
                <w:sz w:val="19"/>
                <w:szCs w:val="19"/>
              </w:rPr>
              <w:t xml:space="preserve">Value</w:t>
            </w:r>
          </w:p>
        </w:tc>
        <w:tc>
          <w:tcPr>
            <w:tcW w:type="dxa" w:w="3400"/>
            <w:shd w:fill="0F2A4A" w:val="clear"/>
            <w:tcMar>
              <w:top w:type="dxa" w:w="60"/>
              <w:left w:type="dxa" w:w="100"/>
              <w:bottom w:type="dxa" w:w="60"/>
              <w:right w:type="dxa" w:w="100"/>
            </w:tcMar>
          </w:tcPr>
          <w:p>
            <w:pPr>
              <w:jc w:val="center"/>
            </w:pPr>
            <w:r>
              <w:rPr>
                <w:b/>
                <w:bCs/>
                <w:color w:val="FFFFFF"/>
                <w:sz w:val="19"/>
                <w:szCs w:val="19"/>
              </w:rPr>
              <w:t xml:space="preserve">Notes</w:t>
            </w:r>
          </w:p>
        </w:tc>
      </w:tr>
      <w:tr>
        <w:tc>
          <w:tcPr>
            <w:tcW w:type="dxa" w:w="3600"/>
            <w:shd w:fill="FFFFFF" w:val="clear"/>
            <w:tcMar>
              <w:top w:type="dxa" w:w="55"/>
              <w:left w:type="dxa" w:w="100"/>
              <w:bottom w:type="dxa" w:w="55"/>
              <w:right w:type="dxa" w:w="100"/>
            </w:tcMar>
          </w:tcPr>
          <w:p>
            <w:pPr>
              <w:jc w:val="left"/>
            </w:pPr>
            <w:r>
              <w:rPr>
                <w:i w:val="false"/>
                <w:iCs w:val="false"/>
                <w:sz w:val="19"/>
                <w:szCs w:val="19"/>
              </w:rPr>
              <w:t xml:space="preserve">CUTLENSET (cut-length setting)</w:t>
            </w:r>
          </w:p>
        </w:tc>
        <w:tc>
          <w:tcPr>
            <w:tcW w:type="dxa" w:w="2200"/>
            <w:shd w:fill="FFFFFF" w:val="clear"/>
            <w:tcMar>
              <w:top w:type="dxa" w:w="55"/>
              <w:left w:type="dxa" w:w="100"/>
              <w:bottom w:type="dxa" w:w="55"/>
              <w:right w:type="dxa" w:w="100"/>
            </w:tcMar>
          </w:tcPr>
          <w:p>
            <w:pPr>
              <w:jc w:val="center"/>
            </w:pPr>
            <w:r>
              <w:rPr>
                <w:i w:val="false"/>
                <w:iCs w:val="false"/>
                <w:sz w:val="19"/>
                <w:szCs w:val="19"/>
              </w:rPr>
              <w:t xml:space="preserve">2,993.5 mm (~2.994 m)</w:t>
            </w:r>
          </w:p>
        </w:tc>
        <w:tc>
          <w:tcPr>
            <w:tcW w:type="dxa" w:w="3400"/>
            <w:shd w:fill="FFFFFF" w:val="clear"/>
            <w:tcMar>
              <w:top w:type="dxa" w:w="55"/>
              <w:left w:type="dxa" w:w="100"/>
              <w:bottom w:type="dxa" w:w="55"/>
              <w:right w:type="dxa" w:w="100"/>
            </w:tcMar>
          </w:tcPr>
          <w:p>
            <w:pPr>
              <w:jc w:val="center"/>
            </w:pPr>
            <w:r>
              <w:rPr>
                <w:i w:val="false"/>
                <w:iCs w:val="false"/>
                <w:sz w:val="19"/>
                <w:szCs w:val="19"/>
              </w:rPr>
              <w:t xml:space="preserve">Fixed after the 15m mark</w:t>
            </w:r>
          </w:p>
        </w:tc>
      </w:tr>
      <w:tr>
        <w:tc>
          <w:tcPr>
            <w:tcW w:type="dxa" w:w="3600"/>
            <w:shd w:fill="F2F5F8" w:val="clear"/>
            <w:tcMar>
              <w:top w:type="dxa" w:w="55"/>
              <w:left w:type="dxa" w:w="100"/>
              <w:bottom w:type="dxa" w:w="55"/>
              <w:right w:type="dxa" w:w="100"/>
            </w:tcMar>
          </w:tcPr>
          <w:p>
            <w:pPr>
              <w:jc w:val="left"/>
            </w:pPr>
            <w:r>
              <w:rPr>
                <w:i w:val="false"/>
                <w:iCs w:val="false"/>
                <w:sz w:val="19"/>
                <w:szCs w:val="19"/>
              </w:rPr>
              <w:t xml:space="preserve">SPEEDSET (speed setting)</w:t>
            </w:r>
          </w:p>
        </w:tc>
        <w:tc>
          <w:tcPr>
            <w:tcW w:type="dxa" w:w="2200"/>
            <w:shd w:fill="F2F5F8" w:val="clear"/>
            <w:tcMar>
              <w:top w:type="dxa" w:w="55"/>
              <w:left w:type="dxa" w:w="100"/>
              <w:bottom w:type="dxa" w:w="55"/>
              <w:right w:type="dxa" w:w="100"/>
            </w:tcMar>
          </w:tcPr>
          <w:p>
            <w:pPr>
              <w:jc w:val="center"/>
            </w:pPr>
            <w:r>
              <w:rPr>
                <w:i w:val="false"/>
                <w:iCs w:val="false"/>
                <w:sz w:val="19"/>
                <w:szCs w:val="19"/>
              </w:rPr>
              <w:t xml:space="preserve">15</w:t>
            </w:r>
          </w:p>
        </w:tc>
        <w:tc>
          <w:tcPr>
            <w:tcW w:type="dxa" w:w="3400"/>
            <w:shd w:fill="F2F5F8" w:val="clear"/>
            <w:tcMar>
              <w:top w:type="dxa" w:w="55"/>
              <w:left w:type="dxa" w:w="100"/>
              <w:bottom w:type="dxa" w:w="55"/>
              <w:right w:type="dxa" w:w="100"/>
            </w:tcMar>
          </w:tcPr>
          <w:p>
            <w:pPr>
              <w:jc w:val="center"/>
            </w:pPr>
            <w:r>
              <w:rPr>
                <w:i w:val="false"/>
                <w:iCs w:val="false"/>
                <w:sz w:val="19"/>
                <w:szCs w:val="19"/>
              </w:rPr>
              <w:t xml:space="preserve">Corrected from 25 to 15 at the 3m mark, then fixed (reflects thicker spec vs. Coil 1)</w:t>
            </w:r>
          </w:p>
        </w:tc>
      </w:tr>
      <w:tr>
        <w:tc>
          <w:tcPr>
            <w:tcW w:type="dxa" w:w="3600"/>
            <w:shd w:fill="FFFFFF" w:val="clear"/>
            <w:tcMar>
              <w:top w:type="dxa" w:w="55"/>
              <w:left w:type="dxa" w:w="100"/>
              <w:bottom w:type="dxa" w:w="55"/>
              <w:right w:type="dxa" w:w="100"/>
            </w:tcMar>
          </w:tcPr>
          <w:p>
            <w:pPr>
              <w:jc w:val="left"/>
            </w:pPr>
            <w:r>
              <w:rPr>
                <w:i w:val="false"/>
                <w:iCs w:val="false"/>
                <w:sz w:val="19"/>
                <w:szCs w:val="19"/>
              </w:rPr>
              <w:t xml:space="preserve">ACCTM / DECTM</w:t>
            </w:r>
          </w:p>
        </w:tc>
        <w:tc>
          <w:tcPr>
            <w:tcW w:type="dxa" w:w="2200"/>
            <w:shd w:fill="FFFFFF" w:val="clear"/>
            <w:tcMar>
              <w:top w:type="dxa" w:w="55"/>
              <w:left w:type="dxa" w:w="100"/>
              <w:bottom w:type="dxa" w:w="55"/>
              <w:right w:type="dxa" w:w="100"/>
            </w:tcMar>
          </w:tcPr>
          <w:p>
            <w:pPr>
              <w:jc w:val="center"/>
            </w:pPr>
            <w:r>
              <w:rPr>
                <w:i w:val="false"/>
                <w:iCs w:val="false"/>
                <w:sz w:val="19"/>
                <w:szCs w:val="19"/>
              </w:rPr>
              <w:t xml:space="preserve">10.0 sec / 1.0 sec</w:t>
            </w:r>
          </w:p>
        </w:tc>
        <w:tc>
          <w:tcPr>
            <w:tcW w:type="dxa" w:w="3400"/>
            <w:shd w:fill="FFFFFF" w:val="clear"/>
            <w:tcMar>
              <w:top w:type="dxa" w:w="55"/>
              <w:left w:type="dxa" w:w="100"/>
              <w:bottom w:type="dxa" w:w="55"/>
              <w:right w:type="dxa" w:w="100"/>
            </w:tcMar>
          </w:tcPr>
          <w:p>
            <w:pPr>
              <w:jc w:val="center"/>
            </w:pPr>
            <w:r>
              <w:rPr>
                <w:i w:val="false"/>
                <w:iCs w:val="false"/>
                <w:sz w:val="19"/>
                <w:szCs w:val="19"/>
              </w:rPr>
              <w:t xml:space="preserve">Fixed</w:t>
            </w:r>
          </w:p>
        </w:tc>
      </w:tr>
      <w:tr>
        <w:tc>
          <w:tcPr>
            <w:tcW w:type="dxa" w:w="3600"/>
            <w:shd w:fill="F2F5F8" w:val="clear"/>
            <w:tcMar>
              <w:top w:type="dxa" w:w="55"/>
              <w:left w:type="dxa" w:w="100"/>
              <w:bottom w:type="dxa" w:w="55"/>
              <w:right w:type="dxa" w:w="100"/>
            </w:tcMar>
          </w:tcPr>
          <w:p>
            <w:pPr>
              <w:jc w:val="left"/>
            </w:pPr>
            <w:r>
              <w:rPr>
                <w:i w:val="false"/>
                <w:iCs w:val="false"/>
                <w:sz w:val="19"/>
                <w:szCs w:val="19"/>
              </w:rPr>
              <w:t xml:space="preserve">SLOWLENSET (slow-down length setting)</w:t>
            </w:r>
          </w:p>
        </w:tc>
        <w:tc>
          <w:tcPr>
            <w:tcW w:type="dxa" w:w="2200"/>
            <w:shd w:fill="F2F5F8" w:val="clear"/>
            <w:tcMar>
              <w:top w:type="dxa" w:w="55"/>
              <w:left w:type="dxa" w:w="100"/>
              <w:bottom w:type="dxa" w:w="55"/>
              <w:right w:type="dxa" w:w="100"/>
            </w:tcMar>
          </w:tcPr>
          <w:p>
            <w:pPr>
              <w:jc w:val="center"/>
            </w:pPr>
            <w:r>
              <w:rPr>
                <w:i w:val="false"/>
                <w:iCs w:val="false"/>
                <w:sz w:val="19"/>
                <w:szCs w:val="19"/>
              </w:rPr>
              <w:t xml:space="preserve">50 mm</w:t>
            </w:r>
          </w:p>
        </w:tc>
        <w:tc>
          <w:tcPr>
            <w:tcW w:type="dxa" w:w="3400"/>
            <w:shd w:fill="F2F5F8" w:val="clear"/>
            <w:tcMar>
              <w:top w:type="dxa" w:w="55"/>
              <w:left w:type="dxa" w:w="100"/>
              <w:bottom w:type="dxa" w:w="55"/>
              <w:right w:type="dxa" w:w="100"/>
            </w:tcMar>
          </w:tcPr>
          <w:p>
            <w:pPr>
              <w:jc w:val="center"/>
            </w:pPr>
            <w:r>
              <w:rPr>
                <w:i w:val="false"/>
                <w:iCs w:val="false"/>
                <w:sz w:val="19"/>
                <w:szCs w:val="19"/>
              </w:rPr>
              <w:t xml:space="preserve">Fixed</w:t>
            </w:r>
          </w:p>
        </w:tc>
      </w:tr>
      <w:tr>
        <w:tc>
          <w:tcPr>
            <w:tcW w:type="dxa" w:w="3600"/>
            <w:shd w:fill="FFFFFF" w:val="clear"/>
            <w:tcMar>
              <w:top w:type="dxa" w:w="55"/>
              <w:left w:type="dxa" w:w="100"/>
              <w:bottom w:type="dxa" w:w="55"/>
              <w:right w:type="dxa" w:w="100"/>
            </w:tcMar>
          </w:tcPr>
          <w:p>
            <w:pPr>
              <w:jc w:val="left"/>
            </w:pPr>
            <w:r>
              <w:rPr>
                <w:i w:val="false"/>
                <w:iCs w:val="false"/>
                <w:sz w:val="19"/>
                <w:szCs w:val="19"/>
              </w:rPr>
              <w:t xml:space="preserve">INVERTERSPEEDCOEFF (inverter speed coefficient)</w:t>
            </w:r>
          </w:p>
        </w:tc>
        <w:tc>
          <w:tcPr>
            <w:tcW w:type="dxa" w:w="2200"/>
            <w:shd w:fill="FFFFFF" w:val="clear"/>
            <w:tcMar>
              <w:top w:type="dxa" w:w="55"/>
              <w:left w:type="dxa" w:w="100"/>
              <w:bottom w:type="dxa" w:w="55"/>
              <w:right w:type="dxa" w:w="100"/>
            </w:tcMar>
          </w:tcPr>
          <w:p>
            <w:pPr>
              <w:jc w:val="center"/>
            </w:pPr>
            <w:r>
              <w:rPr>
                <w:i w:val="false"/>
                <w:iCs w:val="false"/>
                <w:sz w:val="19"/>
                <w:szCs w:val="19"/>
              </w:rPr>
              <w:t xml:space="preserve">24.2 - 24.5</w:t>
            </w:r>
          </w:p>
        </w:tc>
        <w:tc>
          <w:tcPr>
            <w:tcW w:type="dxa" w:w="3400"/>
            <w:shd w:fill="FFFFFF" w:val="clear"/>
            <w:tcMar>
              <w:top w:type="dxa" w:w="55"/>
              <w:left w:type="dxa" w:w="100"/>
              <w:bottom w:type="dxa" w:w="55"/>
              <w:right w:type="dxa" w:w="100"/>
            </w:tcMar>
          </w:tcPr>
          <w:p>
            <w:pPr>
              <w:jc w:val="center"/>
            </w:pPr>
            <w:r>
              <w:rPr>
                <w:i w:val="false"/>
                <w:iCs w:val="false"/>
                <w:sz w:val="19"/>
                <w:szCs w:val="19"/>
              </w:rPr>
              <w:t xml:space="preserve">Fixed</w:t>
            </w:r>
          </w:p>
        </w:tc>
      </w:tr>
    </w:tbl>
    <w:p>
      <w:pPr>
        <w:spacing w:after="140" w:line="300"/>
      </w:pPr>
      <w:r>
        <w:rPr>
          <w:b w:val="false"/>
          <w:bCs w:val="false"/>
          <w:i w:val="false"/>
          <w:iCs w:val="false"/>
          <w:color w:val="1A1A1A"/>
          <w:sz w:val="21"/>
          <w:szCs w:val="21"/>
        </w:rPr>
        <w:t xml:space="preserve"/>
      </w:r>
    </w:p>
    <w:p>
      <w:pPr>
        <w:pStyle w:val="Heading2"/>
        <w:spacing w:after="120" w:before="260"/>
      </w:pPr>
      <w:r>
        <w:rPr>
          <w:b/>
          <w:bCs/>
          <w:color w:val="0F2A4A"/>
          <w:sz w:val="25"/>
          <w:szCs w:val="25"/>
        </w:rPr>
        <w:t xml:space="preserve">3.2 Measured performance vs. coil length</w:t>
      </w:r>
    </w:p>
    <w:p>
      <w:pPr>
        <w:spacing w:after="60" w:before="10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24150"/>
                    </a:xfrm>
                    <a:prstGeom prst="rect">
                      <a:avLst/>
                    </a:prstGeom>
                  </pic:spPr>
                </pic:pic>
              </a:graphicData>
            </a:graphic>
          </wp:inline>
        </w:drawing>
      </w:r>
    </w:p>
    <w:p>
      <w:pPr>
        <w:spacing w:after="260" w:before="60"/>
        <w:jc w:val="center"/>
      </w:pPr>
      <w:r>
        <w:rPr>
          <w:i/>
          <w:iCs/>
          <w:color w:val="5A6674"/>
          <w:sz w:val="18"/>
          <w:szCs w:val="18"/>
        </w:rPr>
        <w:t xml:space="preserve">Figure 2. 59A2078B - inverter load (%) and cycle time per stroke (sec) vs. cumulative coil length (m)</w:t>
      </w:r>
    </w:p>
    <w:p>
      <w:pPr>
        <w:pStyle w:val="ListParagraph"/>
        <w:numPr>
          <w:ilvl w:val="0"/>
          <w:numId w:val="2"/>
        </w:numPr>
        <w:spacing w:after="100" w:line="290"/>
      </w:pPr>
      <w:r>
        <w:rPr>
          <w:b w:val="false"/>
          <w:bCs w:val="false"/>
          <w:sz w:val="21"/>
          <w:szCs w:val="21"/>
        </w:rPr>
        <w:t xml:space="preserve">Unlike Coil 1's single warm-up curve, this coil shows a repeating sawtooth: low-load segments (5-14%, cycle time 8.7-12.7 sec) alternate with high-load segments (24-31%, cycle time 7.0-7.5 sec) about every 80-90m, 6+ times over the run.</w:t>
      </w:r>
    </w:p>
    <w:p>
      <w:pPr>
        <w:pStyle w:val="ListParagraph"/>
        <w:numPr>
          <w:ilvl w:val="0"/>
          <w:numId w:val="2"/>
        </w:numPr>
        <w:spacing w:after="100" w:line="290"/>
      </w:pPr>
      <w:r>
        <w:rPr>
          <w:b w:val="false"/>
          <w:bCs w:val="false"/>
          <w:sz w:val="21"/>
          <w:szCs w:val="21"/>
        </w:rPr>
        <w:t xml:space="preserve">Settings never changed again after the 3m mark - so the repeated rise and fall in load is a real, measured effect, not the operator re-tuning the machine.</w:t>
      </w:r>
    </w:p>
    <w:p>
      <w:pPr>
        <w:pStyle w:val="Heading1"/>
        <w:pBdr>
          <w:bottom w:val="single" w:color="0F2A4A" w:sz="8" w:space="4"/>
        </w:pBdr>
        <w:spacing w:after="160" w:before="320"/>
      </w:pPr>
      <w:r>
        <w:rPr>
          <w:b/>
          <w:bCs/>
          <w:color w:val="0F2A4A"/>
          <w:sz w:val="30"/>
          <w:szCs w:val="30"/>
        </w:rPr>
        <w:t xml:space="preserve">3b. Box breakdown - Coil 2</w:t>
      </w:r>
    </w:p>
    <w:p>
      <w:pPr>
        <w:spacing w:after="140" w:line="300"/>
      </w:pPr>
      <w:r>
        <w:rPr>
          <w:b w:val="false"/>
          <w:bCs w:val="false"/>
          <w:i w:val="false"/>
          <w:iCs w:val="false"/>
          <w:color w:val="1A1A1A"/>
          <w:sz w:val="21"/>
          <w:szCs w:val="21"/>
        </w:rPr>
        <w:t xml:space="preserve">Coil 2 was processed as 4 separate boxes (BOXIDX 1-4). The table and chart below show each box's production time and the gap between boxes (i.e. the box-change pause).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900"/>
        <w:gridCol w:w="1500"/>
        <w:gridCol w:w="2600"/>
        <w:gridCol w:w="1400"/>
      </w:tblGrid>
      <w:tr>
        <w:trPr>
          <w:tblHeader/>
        </w:trPr>
        <w:tc>
          <w:tcPr>
            <w:tcW w:type="dxa" w:w="900"/>
            <w:shd w:fill="0F2A4A" w:val="clear"/>
            <w:tcMar>
              <w:top w:type="dxa" w:w="60"/>
              <w:left w:type="dxa" w:w="100"/>
              <w:bottom w:type="dxa" w:w="60"/>
              <w:right w:type="dxa" w:w="100"/>
            </w:tcMar>
          </w:tcPr>
          <w:p>
            <w:pPr>
              <w:jc w:val="center"/>
            </w:pPr>
            <w:r>
              <w:rPr>
                <w:b/>
                <w:bCs/>
                <w:color w:val="FFFFFF"/>
                <w:sz w:val="19"/>
                <w:szCs w:val="19"/>
              </w:rPr>
              <w:t xml:space="preserve">Box</w:t>
            </w:r>
          </w:p>
        </w:tc>
        <w:tc>
          <w:tcPr>
            <w:tcW w:type="dxa" w:w="1700"/>
            <w:shd w:fill="0F2A4A" w:val="clear"/>
            <w:tcMar>
              <w:top w:type="dxa" w:w="60"/>
              <w:left w:type="dxa" w:w="100"/>
              <w:bottom w:type="dxa" w:w="60"/>
              <w:right w:type="dxa" w:w="100"/>
            </w:tcMar>
          </w:tcPr>
          <w:p>
            <w:pPr>
              <w:jc w:val="center"/>
            </w:pPr>
            <w:r>
              <w:rPr>
                <w:b/>
                <w:bCs/>
                <w:color w:val="FFFFFF"/>
                <w:sz w:val="19"/>
                <w:szCs w:val="19"/>
              </w:rPr>
              <w:t xml:space="preserve">Start (KST)</w:t>
            </w:r>
          </w:p>
        </w:tc>
        <w:tc>
          <w:tcPr>
            <w:tcW w:type="dxa" w:w="1900"/>
            <w:shd w:fill="0F2A4A" w:val="clear"/>
            <w:tcMar>
              <w:top w:type="dxa" w:w="60"/>
              <w:left w:type="dxa" w:w="100"/>
              <w:bottom w:type="dxa" w:w="60"/>
              <w:right w:type="dxa" w:w="100"/>
            </w:tcMar>
          </w:tcPr>
          <w:p>
            <w:pPr>
              <w:jc w:val="center"/>
            </w:pPr>
            <w:r>
              <w:rPr>
                <w:b/>
                <w:bCs/>
                <w:color w:val="FFFFFF"/>
                <w:sz w:val="19"/>
                <w:szCs w:val="19"/>
              </w:rPr>
              <w:t xml:space="preserve">End (KST)</w:t>
            </w:r>
          </w:p>
        </w:tc>
        <w:tc>
          <w:tcPr>
            <w:tcW w:type="dxa" w:w="1500"/>
            <w:shd w:fill="0F2A4A" w:val="clear"/>
            <w:tcMar>
              <w:top w:type="dxa" w:w="60"/>
              <w:left w:type="dxa" w:w="100"/>
              <w:bottom w:type="dxa" w:w="60"/>
              <w:right w:type="dxa" w:w="100"/>
            </w:tcMar>
          </w:tcPr>
          <w:p>
            <w:pPr>
              <w:jc w:val="center"/>
            </w:pPr>
            <w:r>
              <w:rPr>
                <w:b/>
                <w:bCs/>
                <w:color w:val="FFFFFF"/>
                <w:sz w:val="19"/>
                <w:szCs w:val="19"/>
              </w:rPr>
              <w:t xml:space="preserve">Duration</w:t>
            </w:r>
          </w:p>
        </w:tc>
        <w:tc>
          <w:tcPr>
            <w:tcW w:type="dxa" w:w="2600"/>
            <w:shd w:fill="0F2A4A" w:val="clear"/>
            <w:tcMar>
              <w:top w:type="dxa" w:w="60"/>
              <w:left w:type="dxa" w:w="100"/>
              <w:bottom w:type="dxa" w:w="60"/>
              <w:right w:type="dxa" w:w="100"/>
            </w:tcMar>
          </w:tcPr>
          <w:p>
            <w:pPr>
              <w:jc w:val="center"/>
            </w:pPr>
            <w:r>
              <w:rPr>
                <w:b/>
                <w:bCs/>
                <w:color w:val="FFFFFF"/>
                <w:sz w:val="19"/>
                <w:szCs w:val="19"/>
              </w:rPr>
              <w:t xml:space="preserve">Gap before next box</w:t>
            </w:r>
          </w:p>
        </w:tc>
        <w:tc>
          <w:tcPr>
            <w:tcW w:type="dxa" w:w="1400"/>
            <w:shd w:fill="0F2A4A" w:val="clear"/>
            <w:tcMar>
              <w:top w:type="dxa" w:w="60"/>
              <w:left w:type="dxa" w:w="100"/>
              <w:bottom w:type="dxa" w:w="60"/>
              <w:right w:type="dxa" w:w="100"/>
            </w:tcMar>
          </w:tcPr>
          <w:p>
            <w:pPr>
              <w:jc w:val="center"/>
            </w:pPr>
            <w:r>
              <w:rPr>
                <w:b/>
                <w:bCs/>
                <w:color w:val="FFFFFF"/>
                <w:sz w:val="19"/>
                <w:szCs w:val="19"/>
              </w:rPr>
              <w:t xml:space="preserve">Avg. load %</w:t>
            </w:r>
          </w:p>
        </w:tc>
      </w:tr>
      <w:tr>
        <w:tc>
          <w:tcPr>
            <w:tcW w:type="dxa" w:w="900"/>
            <w:shd w:fill="FFFFFF" w:val="clear"/>
            <w:tcMar>
              <w:top w:type="dxa" w:w="55"/>
              <w:left w:type="dxa" w:w="100"/>
              <w:bottom w:type="dxa" w:w="55"/>
              <w:right w:type="dxa" w:w="100"/>
            </w:tcMar>
          </w:tcPr>
          <w:p>
            <w:pPr>
              <w:jc w:val="left"/>
            </w:pPr>
            <w:r>
              <w:rPr>
                <w:i w:val="false"/>
                <w:iCs w:val="false"/>
                <w:sz w:val="19"/>
                <w:szCs w:val="19"/>
              </w:rPr>
              <w:t xml:space="preserve">1</w:t>
            </w:r>
          </w:p>
        </w:tc>
        <w:tc>
          <w:tcPr>
            <w:tcW w:type="dxa" w:w="1700"/>
            <w:shd w:fill="FFFFFF" w:val="clear"/>
            <w:tcMar>
              <w:top w:type="dxa" w:w="55"/>
              <w:left w:type="dxa" w:w="100"/>
              <w:bottom w:type="dxa" w:w="55"/>
              <w:right w:type="dxa" w:w="100"/>
            </w:tcMar>
          </w:tcPr>
          <w:p>
            <w:pPr>
              <w:jc w:val="center"/>
            </w:pPr>
            <w:r>
              <w:rPr>
                <w:i w:val="false"/>
                <w:iCs w:val="false"/>
                <w:sz w:val="19"/>
                <w:szCs w:val="19"/>
              </w:rPr>
              <w:t xml:space="preserve">20:36:58</w:t>
            </w:r>
          </w:p>
        </w:tc>
        <w:tc>
          <w:tcPr>
            <w:tcW w:type="dxa" w:w="1900"/>
            <w:shd w:fill="FFFFFF" w:val="clear"/>
            <w:tcMar>
              <w:top w:type="dxa" w:w="55"/>
              <w:left w:type="dxa" w:w="100"/>
              <w:bottom w:type="dxa" w:w="55"/>
              <w:right w:type="dxa" w:w="100"/>
            </w:tcMar>
          </w:tcPr>
          <w:p>
            <w:pPr>
              <w:jc w:val="center"/>
            </w:pPr>
            <w:r>
              <w:rPr>
                <w:i w:val="false"/>
                <w:iCs w:val="false"/>
                <w:sz w:val="19"/>
                <w:szCs w:val="19"/>
              </w:rPr>
              <w:t xml:space="preserve">22:37:06</w:t>
            </w:r>
          </w:p>
        </w:tc>
        <w:tc>
          <w:tcPr>
            <w:tcW w:type="dxa" w:w="1500"/>
            <w:shd w:fill="FFFFFF" w:val="clear"/>
            <w:tcMar>
              <w:top w:type="dxa" w:w="55"/>
              <w:left w:type="dxa" w:w="100"/>
              <w:bottom w:type="dxa" w:w="55"/>
              <w:right w:type="dxa" w:w="100"/>
            </w:tcMar>
          </w:tcPr>
          <w:p>
            <w:pPr>
              <w:jc w:val="center"/>
            </w:pPr>
            <w:r>
              <w:rPr>
                <w:i w:val="false"/>
                <w:iCs w:val="false"/>
                <w:sz w:val="19"/>
                <w:szCs w:val="19"/>
              </w:rPr>
              <w:t xml:space="preserve">2h 00m</w:t>
            </w:r>
          </w:p>
        </w:tc>
        <w:tc>
          <w:tcPr>
            <w:tcW w:type="dxa" w:w="2600"/>
            <w:shd w:fill="FFFFFF" w:val="clear"/>
            <w:tcMar>
              <w:top w:type="dxa" w:w="55"/>
              <w:left w:type="dxa" w:w="100"/>
              <w:bottom w:type="dxa" w:w="55"/>
              <w:right w:type="dxa" w:w="100"/>
            </w:tcMar>
          </w:tcPr>
          <w:p>
            <w:pPr>
              <w:jc w:val="center"/>
            </w:pPr>
            <w:r>
              <w:rPr>
                <w:i w:val="false"/>
                <w:iCs w:val="false"/>
                <w:sz w:val="19"/>
                <w:szCs w:val="19"/>
              </w:rPr>
              <w:t xml:space="preserve">-</w:t>
            </w:r>
          </w:p>
        </w:tc>
        <w:tc>
          <w:tcPr>
            <w:tcW w:type="dxa" w:w="1400"/>
            <w:shd w:fill="FFFFFF" w:val="clear"/>
            <w:tcMar>
              <w:top w:type="dxa" w:w="55"/>
              <w:left w:type="dxa" w:w="100"/>
              <w:bottom w:type="dxa" w:w="55"/>
              <w:right w:type="dxa" w:w="100"/>
            </w:tcMar>
          </w:tcPr>
          <w:p>
            <w:pPr>
              <w:jc w:val="center"/>
            </w:pPr>
            <w:r>
              <w:rPr>
                <w:i w:val="false"/>
                <w:iCs w:val="false"/>
                <w:sz w:val="19"/>
                <w:szCs w:val="19"/>
              </w:rPr>
              <w:t xml:space="preserve">7.7 %</w:t>
            </w:r>
          </w:p>
        </w:tc>
      </w:tr>
      <w:tr>
        <w:tc>
          <w:tcPr>
            <w:tcW w:type="dxa" w:w="900"/>
            <w:shd w:fill="FDF3E7" w:val="clear"/>
            <w:tcMar>
              <w:top w:type="dxa" w:w="55"/>
              <w:left w:type="dxa" w:w="100"/>
              <w:bottom w:type="dxa" w:w="55"/>
              <w:right w:type="dxa" w:w="100"/>
            </w:tcMar>
          </w:tcPr>
          <w:p>
            <w:pPr>
              <w:jc w:val="left"/>
            </w:pPr>
            <w:r>
              <w:rPr>
                <w:i/>
                <w:iCs/>
                <w:sz w:val="19"/>
                <w:szCs w:val="19"/>
              </w:rPr>
              <w:t xml:space="preserve"/>
            </w:r>
          </w:p>
        </w:tc>
        <w:tc>
          <w:tcPr>
            <w:tcW w:type="dxa" w:w="1700"/>
            <w:shd w:fill="FDF3E7" w:val="clear"/>
            <w:tcMar>
              <w:top w:type="dxa" w:w="55"/>
              <w:left w:type="dxa" w:w="100"/>
              <w:bottom w:type="dxa" w:w="55"/>
              <w:right w:type="dxa" w:w="100"/>
            </w:tcMar>
          </w:tcPr>
          <w:p>
            <w:pPr>
              <w:jc w:val="center"/>
            </w:pPr>
            <w:r>
              <w:rPr>
                <w:i/>
                <w:iCs/>
                <w:sz w:val="19"/>
                <w:szCs w:val="19"/>
              </w:rPr>
              <w:t xml:space="preserve"/>
            </w:r>
          </w:p>
        </w:tc>
        <w:tc>
          <w:tcPr>
            <w:tcW w:type="dxa" w:w="1900"/>
            <w:shd w:fill="FDF3E7" w:val="clear"/>
            <w:tcMar>
              <w:top w:type="dxa" w:w="55"/>
              <w:left w:type="dxa" w:w="100"/>
              <w:bottom w:type="dxa" w:w="55"/>
              <w:right w:type="dxa" w:w="100"/>
            </w:tcMar>
          </w:tcPr>
          <w:p>
            <w:pPr>
              <w:jc w:val="center"/>
            </w:pPr>
            <w:r>
              <w:rPr>
                <w:i/>
                <w:iCs/>
                <w:sz w:val="19"/>
                <w:szCs w:val="19"/>
              </w:rPr>
              <w:t xml:space="preserve"/>
            </w:r>
          </w:p>
        </w:tc>
        <w:tc>
          <w:tcPr>
            <w:tcW w:type="dxa" w:w="1500"/>
            <w:shd w:fill="FDF3E7" w:val="clear"/>
            <w:tcMar>
              <w:top w:type="dxa" w:w="55"/>
              <w:left w:type="dxa" w:w="100"/>
              <w:bottom w:type="dxa" w:w="55"/>
              <w:right w:type="dxa" w:w="100"/>
            </w:tcMar>
          </w:tcPr>
          <w:p>
            <w:pPr>
              <w:jc w:val="center"/>
            </w:pPr>
            <w:r>
              <w:rPr>
                <w:i/>
                <w:iCs/>
                <w:sz w:val="19"/>
                <w:szCs w:val="19"/>
              </w:rPr>
              <w:t xml:space="preserve"/>
            </w:r>
          </w:p>
        </w:tc>
        <w:tc>
          <w:tcPr>
            <w:tcW w:type="dxa" w:w="2600"/>
            <w:shd w:fill="FDF3E7" w:val="clear"/>
            <w:tcMar>
              <w:top w:type="dxa" w:w="55"/>
              <w:left w:type="dxa" w:w="100"/>
              <w:bottom w:type="dxa" w:w="55"/>
              <w:right w:type="dxa" w:w="100"/>
            </w:tcMar>
          </w:tcPr>
          <w:p>
            <w:pPr>
              <w:jc w:val="center"/>
            </w:pPr>
            <w:r>
              <w:rPr>
                <w:i/>
                <w:iCs/>
                <w:sz w:val="19"/>
                <w:szCs w:val="19"/>
              </w:rPr>
              <w:t xml:space="preserve">11m 58s (box change)</w:t>
            </w:r>
          </w:p>
        </w:tc>
        <w:tc>
          <w:tcPr>
            <w:tcW w:type="dxa" w:w="1400"/>
            <w:shd w:fill="FDF3E7" w:val="clear"/>
            <w:tcMar>
              <w:top w:type="dxa" w:w="55"/>
              <w:left w:type="dxa" w:w="100"/>
              <w:bottom w:type="dxa" w:w="55"/>
              <w:right w:type="dxa" w:w="100"/>
            </w:tcMar>
          </w:tcPr>
          <w:p>
            <w:pPr>
              <w:jc w:val="center"/>
            </w:pPr>
            <w:r>
              <w:rPr>
                <w:i/>
                <w:iCs/>
                <w:sz w:val="19"/>
                <w:szCs w:val="19"/>
              </w:rPr>
              <w:t xml:space="preserve"/>
            </w:r>
          </w:p>
        </w:tc>
      </w:tr>
      <w:tr>
        <w:tc>
          <w:tcPr>
            <w:tcW w:type="dxa" w:w="900"/>
            <w:shd w:fill="FFFFFF" w:val="clear"/>
            <w:tcMar>
              <w:top w:type="dxa" w:w="55"/>
              <w:left w:type="dxa" w:w="100"/>
              <w:bottom w:type="dxa" w:w="55"/>
              <w:right w:type="dxa" w:w="100"/>
            </w:tcMar>
          </w:tcPr>
          <w:p>
            <w:pPr>
              <w:jc w:val="left"/>
            </w:pPr>
            <w:r>
              <w:rPr>
                <w:i w:val="false"/>
                <w:iCs w:val="false"/>
                <w:sz w:val="19"/>
                <w:szCs w:val="19"/>
              </w:rPr>
              <w:t xml:space="preserve">2</w:t>
            </w:r>
          </w:p>
        </w:tc>
        <w:tc>
          <w:tcPr>
            <w:tcW w:type="dxa" w:w="1700"/>
            <w:shd w:fill="FFFFFF" w:val="clear"/>
            <w:tcMar>
              <w:top w:type="dxa" w:w="55"/>
              <w:left w:type="dxa" w:w="100"/>
              <w:bottom w:type="dxa" w:w="55"/>
              <w:right w:type="dxa" w:w="100"/>
            </w:tcMar>
          </w:tcPr>
          <w:p>
            <w:pPr>
              <w:jc w:val="center"/>
            </w:pPr>
            <w:r>
              <w:rPr>
                <w:i w:val="false"/>
                <w:iCs w:val="false"/>
                <w:sz w:val="19"/>
                <w:szCs w:val="19"/>
              </w:rPr>
              <w:t xml:space="preserve">22:49:04</w:t>
            </w:r>
          </w:p>
        </w:tc>
        <w:tc>
          <w:tcPr>
            <w:tcW w:type="dxa" w:w="1900"/>
            <w:shd w:fill="FFFFFF" w:val="clear"/>
            <w:tcMar>
              <w:top w:type="dxa" w:w="55"/>
              <w:left w:type="dxa" w:w="100"/>
              <w:bottom w:type="dxa" w:w="55"/>
              <w:right w:type="dxa" w:w="100"/>
            </w:tcMar>
          </w:tcPr>
          <w:p>
            <w:pPr>
              <w:jc w:val="center"/>
            </w:pPr>
            <w:r>
              <w:rPr>
                <w:i w:val="false"/>
                <w:iCs w:val="false"/>
                <w:sz w:val="19"/>
                <w:szCs w:val="19"/>
              </w:rPr>
              <w:t xml:space="preserve">23:28:44</w:t>
            </w:r>
          </w:p>
        </w:tc>
        <w:tc>
          <w:tcPr>
            <w:tcW w:type="dxa" w:w="1500"/>
            <w:shd w:fill="FFFFFF" w:val="clear"/>
            <w:tcMar>
              <w:top w:type="dxa" w:w="55"/>
              <w:left w:type="dxa" w:w="100"/>
              <w:bottom w:type="dxa" w:w="55"/>
              <w:right w:type="dxa" w:w="100"/>
            </w:tcMar>
          </w:tcPr>
          <w:p>
            <w:pPr>
              <w:jc w:val="center"/>
            </w:pPr>
            <w:r>
              <w:rPr>
                <w:i w:val="false"/>
                <w:iCs w:val="false"/>
                <w:sz w:val="19"/>
                <w:szCs w:val="19"/>
              </w:rPr>
              <w:t xml:space="preserve">39m 40s</w:t>
            </w:r>
          </w:p>
        </w:tc>
        <w:tc>
          <w:tcPr>
            <w:tcW w:type="dxa" w:w="2600"/>
            <w:shd w:fill="FFFFFF" w:val="clear"/>
            <w:tcMar>
              <w:top w:type="dxa" w:w="55"/>
              <w:left w:type="dxa" w:w="100"/>
              <w:bottom w:type="dxa" w:w="55"/>
              <w:right w:type="dxa" w:w="100"/>
            </w:tcMar>
          </w:tcPr>
          <w:p>
            <w:pPr>
              <w:jc w:val="center"/>
            </w:pPr>
            <w:r>
              <w:rPr>
                <w:i w:val="false"/>
                <w:iCs w:val="false"/>
                <w:sz w:val="19"/>
                <w:szCs w:val="19"/>
              </w:rPr>
              <w:t xml:space="preserve"/>
            </w:r>
          </w:p>
        </w:tc>
        <w:tc>
          <w:tcPr>
            <w:tcW w:type="dxa" w:w="1400"/>
            <w:shd w:fill="FFFFFF" w:val="clear"/>
            <w:tcMar>
              <w:top w:type="dxa" w:w="55"/>
              <w:left w:type="dxa" w:w="100"/>
              <w:bottom w:type="dxa" w:w="55"/>
              <w:right w:type="dxa" w:w="100"/>
            </w:tcMar>
          </w:tcPr>
          <w:p>
            <w:pPr>
              <w:jc w:val="center"/>
            </w:pPr>
            <w:r>
              <w:rPr>
                <w:i w:val="false"/>
                <w:iCs w:val="false"/>
                <w:sz w:val="19"/>
                <w:szCs w:val="19"/>
              </w:rPr>
              <w:t xml:space="preserve">17.0 %</w:t>
            </w:r>
          </w:p>
        </w:tc>
      </w:tr>
      <w:tr>
        <w:tc>
          <w:tcPr>
            <w:tcW w:type="dxa" w:w="900"/>
            <w:shd w:fill="FDF3E7" w:val="clear"/>
            <w:tcMar>
              <w:top w:type="dxa" w:w="55"/>
              <w:left w:type="dxa" w:w="100"/>
              <w:bottom w:type="dxa" w:w="55"/>
              <w:right w:type="dxa" w:w="100"/>
            </w:tcMar>
          </w:tcPr>
          <w:p>
            <w:pPr>
              <w:jc w:val="left"/>
            </w:pPr>
            <w:r>
              <w:rPr>
                <w:i/>
                <w:iCs/>
                <w:sz w:val="19"/>
                <w:szCs w:val="19"/>
              </w:rPr>
              <w:t xml:space="preserve"/>
            </w:r>
          </w:p>
        </w:tc>
        <w:tc>
          <w:tcPr>
            <w:tcW w:type="dxa" w:w="1700"/>
            <w:shd w:fill="FDF3E7" w:val="clear"/>
            <w:tcMar>
              <w:top w:type="dxa" w:w="55"/>
              <w:left w:type="dxa" w:w="100"/>
              <w:bottom w:type="dxa" w:w="55"/>
              <w:right w:type="dxa" w:w="100"/>
            </w:tcMar>
          </w:tcPr>
          <w:p>
            <w:pPr>
              <w:jc w:val="center"/>
            </w:pPr>
            <w:r>
              <w:rPr>
                <w:i/>
                <w:iCs/>
                <w:sz w:val="19"/>
                <w:szCs w:val="19"/>
              </w:rPr>
              <w:t xml:space="preserve"/>
            </w:r>
          </w:p>
        </w:tc>
        <w:tc>
          <w:tcPr>
            <w:tcW w:type="dxa" w:w="1900"/>
            <w:shd w:fill="FDF3E7" w:val="clear"/>
            <w:tcMar>
              <w:top w:type="dxa" w:w="55"/>
              <w:left w:type="dxa" w:w="100"/>
              <w:bottom w:type="dxa" w:w="55"/>
              <w:right w:type="dxa" w:w="100"/>
            </w:tcMar>
          </w:tcPr>
          <w:p>
            <w:pPr>
              <w:jc w:val="center"/>
            </w:pPr>
            <w:r>
              <w:rPr>
                <w:i/>
                <w:iCs/>
                <w:sz w:val="19"/>
                <w:szCs w:val="19"/>
              </w:rPr>
              <w:t xml:space="preserve"/>
            </w:r>
          </w:p>
        </w:tc>
        <w:tc>
          <w:tcPr>
            <w:tcW w:type="dxa" w:w="1500"/>
            <w:shd w:fill="FDF3E7" w:val="clear"/>
            <w:tcMar>
              <w:top w:type="dxa" w:w="55"/>
              <w:left w:type="dxa" w:w="100"/>
              <w:bottom w:type="dxa" w:w="55"/>
              <w:right w:type="dxa" w:w="100"/>
            </w:tcMar>
          </w:tcPr>
          <w:p>
            <w:pPr>
              <w:jc w:val="center"/>
            </w:pPr>
            <w:r>
              <w:rPr>
                <w:i/>
                <w:iCs/>
                <w:sz w:val="19"/>
                <w:szCs w:val="19"/>
              </w:rPr>
              <w:t xml:space="preserve"/>
            </w:r>
          </w:p>
        </w:tc>
        <w:tc>
          <w:tcPr>
            <w:tcW w:type="dxa" w:w="2600"/>
            <w:shd w:fill="FDF3E7" w:val="clear"/>
            <w:tcMar>
              <w:top w:type="dxa" w:w="55"/>
              <w:left w:type="dxa" w:w="100"/>
              <w:bottom w:type="dxa" w:w="55"/>
              <w:right w:type="dxa" w:w="100"/>
            </w:tcMar>
          </w:tcPr>
          <w:p>
            <w:pPr>
              <w:jc w:val="center"/>
            </w:pPr>
            <w:r>
              <w:rPr>
                <w:i/>
                <w:iCs/>
                <w:sz w:val="19"/>
                <w:szCs w:val="19"/>
              </w:rPr>
              <w:t xml:space="preserve">4m 36s (box change)</w:t>
            </w:r>
          </w:p>
        </w:tc>
        <w:tc>
          <w:tcPr>
            <w:tcW w:type="dxa" w:w="1400"/>
            <w:shd w:fill="FDF3E7" w:val="clear"/>
            <w:tcMar>
              <w:top w:type="dxa" w:w="55"/>
              <w:left w:type="dxa" w:w="100"/>
              <w:bottom w:type="dxa" w:w="55"/>
              <w:right w:type="dxa" w:w="100"/>
            </w:tcMar>
          </w:tcPr>
          <w:p>
            <w:pPr>
              <w:jc w:val="center"/>
            </w:pPr>
            <w:r>
              <w:rPr>
                <w:i/>
                <w:iCs/>
                <w:sz w:val="19"/>
                <w:szCs w:val="19"/>
              </w:rPr>
              <w:t xml:space="preserve"/>
            </w:r>
          </w:p>
        </w:tc>
      </w:tr>
      <w:tr>
        <w:tc>
          <w:tcPr>
            <w:tcW w:type="dxa" w:w="900"/>
            <w:shd w:fill="FFFFFF" w:val="clear"/>
            <w:tcMar>
              <w:top w:type="dxa" w:w="55"/>
              <w:left w:type="dxa" w:w="100"/>
              <w:bottom w:type="dxa" w:w="55"/>
              <w:right w:type="dxa" w:w="100"/>
            </w:tcMar>
          </w:tcPr>
          <w:p>
            <w:pPr>
              <w:jc w:val="left"/>
            </w:pPr>
            <w:r>
              <w:rPr>
                <w:i w:val="false"/>
                <w:iCs w:val="false"/>
                <w:sz w:val="19"/>
                <w:szCs w:val="19"/>
              </w:rPr>
              <w:t xml:space="preserve">3</w:t>
            </w:r>
          </w:p>
        </w:tc>
        <w:tc>
          <w:tcPr>
            <w:tcW w:type="dxa" w:w="1700"/>
            <w:shd w:fill="FFFFFF" w:val="clear"/>
            <w:tcMar>
              <w:top w:type="dxa" w:w="55"/>
              <w:left w:type="dxa" w:w="100"/>
              <w:bottom w:type="dxa" w:w="55"/>
              <w:right w:type="dxa" w:w="100"/>
            </w:tcMar>
          </w:tcPr>
          <w:p>
            <w:pPr>
              <w:jc w:val="center"/>
            </w:pPr>
            <w:r>
              <w:rPr>
                <w:i w:val="false"/>
                <w:iCs w:val="false"/>
                <w:sz w:val="19"/>
                <w:szCs w:val="19"/>
              </w:rPr>
              <w:t xml:space="preserve">23:33:20</w:t>
            </w:r>
          </w:p>
        </w:tc>
        <w:tc>
          <w:tcPr>
            <w:tcW w:type="dxa" w:w="1900"/>
            <w:shd w:fill="FFFFFF" w:val="clear"/>
            <w:tcMar>
              <w:top w:type="dxa" w:w="55"/>
              <w:left w:type="dxa" w:w="100"/>
              <w:bottom w:type="dxa" w:w="55"/>
              <w:right w:type="dxa" w:w="100"/>
            </w:tcMar>
          </w:tcPr>
          <w:p>
            <w:pPr>
              <w:jc w:val="center"/>
            </w:pPr>
            <w:r>
              <w:rPr>
                <w:i w:val="false"/>
                <w:iCs w:val="false"/>
                <w:sz w:val="19"/>
                <w:szCs w:val="19"/>
              </w:rPr>
              <w:t xml:space="preserve">00:07:17 (+1d)</w:t>
            </w:r>
          </w:p>
        </w:tc>
        <w:tc>
          <w:tcPr>
            <w:tcW w:type="dxa" w:w="1500"/>
            <w:shd w:fill="FFFFFF" w:val="clear"/>
            <w:tcMar>
              <w:top w:type="dxa" w:w="55"/>
              <w:left w:type="dxa" w:w="100"/>
              <w:bottom w:type="dxa" w:w="55"/>
              <w:right w:type="dxa" w:w="100"/>
            </w:tcMar>
          </w:tcPr>
          <w:p>
            <w:pPr>
              <w:jc w:val="center"/>
            </w:pPr>
            <w:r>
              <w:rPr>
                <w:i w:val="false"/>
                <w:iCs w:val="false"/>
                <w:sz w:val="19"/>
                <w:szCs w:val="19"/>
              </w:rPr>
              <w:t xml:space="preserve">33m 57s</w:t>
            </w:r>
          </w:p>
        </w:tc>
        <w:tc>
          <w:tcPr>
            <w:tcW w:type="dxa" w:w="2600"/>
            <w:shd w:fill="FFFFFF" w:val="clear"/>
            <w:tcMar>
              <w:top w:type="dxa" w:w="55"/>
              <w:left w:type="dxa" w:w="100"/>
              <w:bottom w:type="dxa" w:w="55"/>
              <w:right w:type="dxa" w:w="100"/>
            </w:tcMar>
          </w:tcPr>
          <w:p>
            <w:pPr>
              <w:jc w:val="center"/>
            </w:pPr>
            <w:r>
              <w:rPr>
                <w:i w:val="false"/>
                <w:iCs w:val="false"/>
                <w:sz w:val="19"/>
                <w:szCs w:val="19"/>
              </w:rPr>
              <w:t xml:space="preserve"/>
            </w:r>
          </w:p>
        </w:tc>
        <w:tc>
          <w:tcPr>
            <w:tcW w:type="dxa" w:w="1400"/>
            <w:shd w:fill="FFFFFF" w:val="clear"/>
            <w:tcMar>
              <w:top w:type="dxa" w:w="55"/>
              <w:left w:type="dxa" w:w="100"/>
              <w:bottom w:type="dxa" w:w="55"/>
              <w:right w:type="dxa" w:w="100"/>
            </w:tcMar>
          </w:tcPr>
          <w:p>
            <w:pPr>
              <w:jc w:val="center"/>
            </w:pPr>
            <w:r>
              <w:rPr>
                <w:i w:val="false"/>
                <w:iCs w:val="false"/>
                <w:sz w:val="19"/>
                <w:szCs w:val="19"/>
              </w:rPr>
              <w:t xml:space="preserve">19.2 %</w:t>
            </w:r>
          </w:p>
        </w:tc>
      </w:tr>
      <w:tr>
        <w:tc>
          <w:tcPr>
            <w:tcW w:type="dxa" w:w="900"/>
            <w:shd w:fill="FDF3E7" w:val="clear"/>
            <w:tcMar>
              <w:top w:type="dxa" w:w="55"/>
              <w:left w:type="dxa" w:w="100"/>
              <w:bottom w:type="dxa" w:w="55"/>
              <w:right w:type="dxa" w:w="100"/>
            </w:tcMar>
          </w:tcPr>
          <w:p>
            <w:pPr>
              <w:jc w:val="left"/>
            </w:pPr>
            <w:r>
              <w:rPr>
                <w:i/>
                <w:iCs/>
                <w:sz w:val="19"/>
                <w:szCs w:val="19"/>
              </w:rPr>
              <w:t xml:space="preserve"/>
            </w:r>
          </w:p>
        </w:tc>
        <w:tc>
          <w:tcPr>
            <w:tcW w:type="dxa" w:w="1700"/>
            <w:shd w:fill="FDF3E7" w:val="clear"/>
            <w:tcMar>
              <w:top w:type="dxa" w:w="55"/>
              <w:left w:type="dxa" w:w="100"/>
              <w:bottom w:type="dxa" w:w="55"/>
              <w:right w:type="dxa" w:w="100"/>
            </w:tcMar>
          </w:tcPr>
          <w:p>
            <w:pPr>
              <w:jc w:val="center"/>
            </w:pPr>
            <w:r>
              <w:rPr>
                <w:i/>
                <w:iCs/>
                <w:sz w:val="19"/>
                <w:szCs w:val="19"/>
              </w:rPr>
              <w:t xml:space="preserve"/>
            </w:r>
          </w:p>
        </w:tc>
        <w:tc>
          <w:tcPr>
            <w:tcW w:type="dxa" w:w="1900"/>
            <w:shd w:fill="FDF3E7" w:val="clear"/>
            <w:tcMar>
              <w:top w:type="dxa" w:w="55"/>
              <w:left w:type="dxa" w:w="100"/>
              <w:bottom w:type="dxa" w:w="55"/>
              <w:right w:type="dxa" w:w="100"/>
            </w:tcMar>
          </w:tcPr>
          <w:p>
            <w:pPr>
              <w:jc w:val="center"/>
            </w:pPr>
            <w:r>
              <w:rPr>
                <w:i/>
                <w:iCs/>
                <w:sz w:val="19"/>
                <w:szCs w:val="19"/>
              </w:rPr>
              <w:t xml:space="preserve"/>
            </w:r>
          </w:p>
        </w:tc>
        <w:tc>
          <w:tcPr>
            <w:tcW w:type="dxa" w:w="1500"/>
            <w:shd w:fill="FDF3E7" w:val="clear"/>
            <w:tcMar>
              <w:top w:type="dxa" w:w="55"/>
              <w:left w:type="dxa" w:w="100"/>
              <w:bottom w:type="dxa" w:w="55"/>
              <w:right w:type="dxa" w:w="100"/>
            </w:tcMar>
          </w:tcPr>
          <w:p>
            <w:pPr>
              <w:jc w:val="center"/>
            </w:pPr>
            <w:r>
              <w:rPr>
                <w:i/>
                <w:iCs/>
                <w:sz w:val="19"/>
                <w:szCs w:val="19"/>
              </w:rPr>
              <w:t xml:space="preserve"/>
            </w:r>
          </w:p>
        </w:tc>
        <w:tc>
          <w:tcPr>
            <w:tcW w:type="dxa" w:w="2600"/>
            <w:shd w:fill="FDF3E7" w:val="clear"/>
            <w:tcMar>
              <w:top w:type="dxa" w:w="55"/>
              <w:left w:type="dxa" w:w="100"/>
              <w:bottom w:type="dxa" w:w="55"/>
              <w:right w:type="dxa" w:w="100"/>
            </w:tcMar>
          </w:tcPr>
          <w:p>
            <w:pPr>
              <w:jc w:val="center"/>
            </w:pPr>
            <w:r>
              <w:rPr>
                <w:i/>
                <w:iCs/>
                <w:sz w:val="19"/>
                <w:szCs w:val="19"/>
              </w:rPr>
              <w:t xml:space="preserve">2 sec (negligible)</w:t>
            </w:r>
          </w:p>
        </w:tc>
        <w:tc>
          <w:tcPr>
            <w:tcW w:type="dxa" w:w="1400"/>
            <w:shd w:fill="FDF3E7" w:val="clear"/>
            <w:tcMar>
              <w:top w:type="dxa" w:w="55"/>
              <w:left w:type="dxa" w:w="100"/>
              <w:bottom w:type="dxa" w:w="55"/>
              <w:right w:type="dxa" w:w="100"/>
            </w:tcMar>
          </w:tcPr>
          <w:p>
            <w:pPr>
              <w:jc w:val="center"/>
            </w:pPr>
            <w:r>
              <w:rPr>
                <w:i/>
                <w:iCs/>
                <w:sz w:val="19"/>
                <w:szCs w:val="19"/>
              </w:rPr>
              <w:t xml:space="preserve"/>
            </w:r>
          </w:p>
        </w:tc>
      </w:tr>
      <w:tr>
        <w:tc>
          <w:tcPr>
            <w:tcW w:type="dxa" w:w="900"/>
            <w:shd w:fill="FFFFFF" w:val="clear"/>
            <w:tcMar>
              <w:top w:type="dxa" w:w="55"/>
              <w:left w:type="dxa" w:w="100"/>
              <w:bottom w:type="dxa" w:w="55"/>
              <w:right w:type="dxa" w:w="100"/>
            </w:tcMar>
          </w:tcPr>
          <w:p>
            <w:pPr>
              <w:jc w:val="left"/>
            </w:pPr>
            <w:r>
              <w:rPr>
                <w:i w:val="false"/>
                <w:iCs w:val="false"/>
                <w:sz w:val="19"/>
                <w:szCs w:val="19"/>
              </w:rPr>
              <w:t xml:space="preserve">4</w:t>
            </w:r>
          </w:p>
        </w:tc>
        <w:tc>
          <w:tcPr>
            <w:tcW w:type="dxa" w:w="1700"/>
            <w:shd w:fill="FFFFFF" w:val="clear"/>
            <w:tcMar>
              <w:top w:type="dxa" w:w="55"/>
              <w:left w:type="dxa" w:w="100"/>
              <w:bottom w:type="dxa" w:w="55"/>
              <w:right w:type="dxa" w:w="100"/>
            </w:tcMar>
          </w:tcPr>
          <w:p>
            <w:pPr>
              <w:jc w:val="center"/>
            </w:pPr>
            <w:r>
              <w:rPr>
                <w:i w:val="false"/>
                <w:iCs w:val="false"/>
                <w:sz w:val="19"/>
                <w:szCs w:val="19"/>
              </w:rPr>
              <w:t xml:space="preserve">00:07:19 (+1d)</w:t>
            </w:r>
          </w:p>
        </w:tc>
        <w:tc>
          <w:tcPr>
            <w:tcW w:type="dxa" w:w="1900"/>
            <w:shd w:fill="FFFFFF" w:val="clear"/>
            <w:tcMar>
              <w:top w:type="dxa" w:w="55"/>
              <w:left w:type="dxa" w:w="100"/>
              <w:bottom w:type="dxa" w:w="55"/>
              <w:right w:type="dxa" w:w="100"/>
            </w:tcMar>
          </w:tcPr>
          <w:p>
            <w:pPr>
              <w:jc w:val="center"/>
            </w:pPr>
            <w:r>
              <w:rPr>
                <w:i w:val="false"/>
                <w:iCs w:val="false"/>
                <w:sz w:val="19"/>
                <w:szCs w:val="19"/>
              </w:rPr>
              <w:t xml:space="preserve">00:30:00 (+1d)</w:t>
            </w:r>
          </w:p>
        </w:tc>
        <w:tc>
          <w:tcPr>
            <w:tcW w:type="dxa" w:w="1500"/>
            <w:shd w:fill="FFFFFF" w:val="clear"/>
            <w:tcMar>
              <w:top w:type="dxa" w:w="55"/>
              <w:left w:type="dxa" w:w="100"/>
              <w:bottom w:type="dxa" w:w="55"/>
              <w:right w:type="dxa" w:w="100"/>
            </w:tcMar>
          </w:tcPr>
          <w:p>
            <w:pPr>
              <w:jc w:val="center"/>
            </w:pPr>
            <w:r>
              <w:rPr>
                <w:i w:val="false"/>
                <w:iCs w:val="false"/>
                <w:sz w:val="19"/>
                <w:szCs w:val="19"/>
              </w:rPr>
              <w:t xml:space="preserve">22m 41s</w:t>
            </w:r>
          </w:p>
        </w:tc>
        <w:tc>
          <w:tcPr>
            <w:tcW w:type="dxa" w:w="2600"/>
            <w:shd w:fill="FFFFFF" w:val="clear"/>
            <w:tcMar>
              <w:top w:type="dxa" w:w="55"/>
              <w:left w:type="dxa" w:w="100"/>
              <w:bottom w:type="dxa" w:w="55"/>
              <w:right w:type="dxa" w:w="100"/>
            </w:tcMar>
          </w:tcPr>
          <w:p>
            <w:pPr>
              <w:jc w:val="center"/>
            </w:pPr>
            <w:r>
              <w:rPr>
                <w:i w:val="false"/>
                <w:iCs w:val="false"/>
                <w:sz w:val="19"/>
                <w:szCs w:val="19"/>
              </w:rPr>
              <w:t xml:space="preserve">-</w:t>
            </w:r>
          </w:p>
        </w:tc>
        <w:tc>
          <w:tcPr>
            <w:tcW w:type="dxa" w:w="1400"/>
            <w:shd w:fill="FFFFFF" w:val="clear"/>
            <w:tcMar>
              <w:top w:type="dxa" w:w="55"/>
              <w:left w:type="dxa" w:w="100"/>
              <w:bottom w:type="dxa" w:w="55"/>
              <w:right w:type="dxa" w:w="100"/>
            </w:tcMar>
          </w:tcPr>
          <w:p>
            <w:pPr>
              <w:jc w:val="center"/>
            </w:pPr>
            <w:r>
              <w:rPr>
                <w:i w:val="false"/>
                <w:iCs w:val="false"/>
                <w:sz w:val="19"/>
                <w:szCs w:val="19"/>
              </w:rPr>
              <w:t xml:space="preserve">24.7 %</w:t>
            </w:r>
          </w:p>
        </w:tc>
      </w:tr>
    </w:tbl>
    <w:p>
      <w:pPr>
        <w:spacing w:after="140" w:line="300"/>
      </w:pPr>
      <w:r>
        <w:rPr>
          <w:b w:val="false"/>
          <w:bCs w:val="false"/>
          <w:i w:val="false"/>
          <w:iCs w:val="false"/>
          <w:color w:val="1A1A1A"/>
          <w:sz w:val="21"/>
          <w:szCs w:val="21"/>
        </w:rPr>
        <w:t xml:space="preserve"/>
      </w:r>
    </w:p>
    <w:p>
      <w:pPr>
        <w:spacing w:after="60" w:before="10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24150"/>
                    </a:xfrm>
                    <a:prstGeom prst="rect">
                      <a:avLst/>
                    </a:prstGeom>
                  </pic:spPr>
                </pic:pic>
              </a:graphicData>
            </a:graphic>
          </wp:inline>
        </w:drawing>
      </w:r>
    </w:p>
    <w:p>
      <w:pPr>
        <w:spacing w:after="260" w:before="60"/>
        <w:jc w:val="center"/>
      </w:pPr>
      <w:r>
        <w:rPr>
          <w:i/>
          <w:iCs/>
          <w:color w:val="5A6674"/>
          <w:sz w:val="18"/>
          <w:szCs w:val="18"/>
        </w:rPr>
        <w:t xml:space="preserve">Figure 3. Coil 2 59A2078B - box production spans and the gaps between them</w:t>
      </w:r>
    </w:p>
    <w:p>
      <w:pPr>
        <w:pStyle w:val="ListParagraph"/>
        <w:numPr>
          <w:ilvl w:val="0"/>
          <w:numId w:val="2"/>
        </w:numPr>
        <w:spacing w:after="100" w:line="290"/>
      </w:pPr>
      <w:r>
        <w:rPr>
          <w:b/>
          <w:bCs/>
          <w:sz w:val="21"/>
          <w:szCs w:val="21"/>
        </w:rPr>
        <w:t xml:space="preserve">This confirms the operator's own explanation: leveling packs finished sheets into boxes underneath each coil, and the brief pauses seen in the load/cycle-time chart correspond to stopping to swap out a full box. The two clearest gaps (12 minutes after Box 1, ~4.6 minutes after Box 2) line up with the low-load dips visible in Figure 2.</w:t>
      </w:r>
    </w:p>
    <w:p>
      <w:pPr>
        <w:pStyle w:val="ListParagraph"/>
        <w:numPr>
          <w:ilvl w:val="0"/>
          <w:numId w:val="2"/>
        </w:numPr>
        <w:spacing w:after="100" w:line="290"/>
      </w:pPr>
      <w:r>
        <w:rPr>
          <w:b w:val="false"/>
          <w:bCs w:val="false"/>
          <w:sz w:val="21"/>
          <w:szCs w:val="21"/>
        </w:rPr>
        <w:t xml:space="preserve">Box-average load rises from box to box (7.7% -&gt; 17.0% -&gt; 19.2% -&gt; 24.7%), which matches the same warm-up-then-plateau behavior seen in Coil 1, just interrupted by 3 box changes instead of running as one continuous block.</w:t>
      </w:r>
    </w:p>
    <w:p>
      <w:pPr>
        <w:pStyle w:val="ListParagraph"/>
        <w:numPr>
          <w:ilvl w:val="0"/>
          <w:numId w:val="2"/>
        </w:numPr>
        <w:spacing w:after="100" w:line="290"/>
      </w:pPr>
      <w:r>
        <w:rPr>
          <w:b w:val="false"/>
          <w:bCs w:val="false"/>
          <w:sz w:val="21"/>
          <w:szCs w:val="21"/>
        </w:rPr>
        <w:t xml:space="preserve">Note the asymmetry with Coil 1 (Section 2): Coil 1's own 28-minute dip is not a box change, since it was processed as a single box throughout. So box changes explain Coil 2's repeating pattern well, but do not explain Coil 1's one dip - that one still needs a floor-side explanation.</w:t>
      </w:r>
    </w:p>
    <w:p>
      <w:pPr>
        <w:pStyle w:val="Heading1"/>
        <w:pBdr>
          <w:bottom w:val="single" w:color="0F2A4A" w:sz="8" w:space="4"/>
        </w:pBdr>
        <w:spacing w:after="160" w:before="320"/>
      </w:pPr>
      <w:r>
        <w:rPr>
          <w:b/>
          <w:bCs/>
          <w:color w:val="0F2A4A"/>
          <w:sz w:val="30"/>
          <w:szCs w:val="30"/>
        </w:rPr>
        <w:t xml:space="preserve">4. Comparing the two jobs</w:t>
      </w:r>
    </w:p>
    <w:p>
      <w:pPr>
        <w:spacing w:after="60" w:before="10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24150"/>
                    </a:xfrm>
                    <a:prstGeom prst="rect">
                      <a:avLst/>
                    </a:prstGeom>
                  </pic:spPr>
                </pic:pic>
              </a:graphicData>
            </a:graphic>
          </wp:inline>
        </w:drawing>
      </w:r>
    </w:p>
    <w:p>
      <w:pPr>
        <w:spacing w:after="260" w:before="60"/>
        <w:jc w:val="center"/>
      </w:pPr>
      <w:r>
        <w:rPr>
          <w:i/>
          <w:iCs/>
          <w:color w:val="5A6674"/>
          <w:sz w:val="18"/>
          <w:szCs w:val="18"/>
        </w:rPr>
        <w:t xml:space="preserve">Figure 4. Load (%) vs. progress through the coil (%) - both jobs</w:t>
      </w:r>
    </w:p>
    <w:p>
      <w:pPr>
        <w:pStyle w:val="ListParagraph"/>
        <w:numPr>
          <w:ilvl w:val="0"/>
          <w:numId w:val="2"/>
        </w:numPr>
        <w:spacing w:after="100" w:line="290"/>
      </w:pPr>
      <w:r>
        <w:rPr>
          <w:b w:val="false"/>
          <w:bCs w:val="false"/>
          <w:sz w:val="21"/>
          <w:szCs w:val="21"/>
        </w:rPr>
        <w:t xml:space="preserve">Common pattern: both jobs show the same operating model - settings are locked in once at the start and held for the whole run, while only the measured values (load %, cycle time) move with length. The leveling line is not being re-tuned in real time as a coil progresses; it is set once to match the job spec and then left alone.</w:t>
      </w:r>
    </w:p>
    <w:p>
      <w:pPr>
        <w:pStyle w:val="ListParagraph"/>
        <w:numPr>
          <w:ilvl w:val="0"/>
          <w:numId w:val="2"/>
        </w:numPr>
        <w:spacing w:after="100" w:line="290"/>
      </w:pPr>
      <w:r>
        <w:rPr>
          <w:b w:val="false"/>
          <w:bCs w:val="false"/>
          <w:sz w:val="21"/>
          <w:szCs w:val="21"/>
        </w:rPr>
        <w:t xml:space="preserve">Thickness vs. SPEEDSET: the 0.76mm coil ran at SPEEDSET 25, the thicker 1.15mm coil at SPEEDSET 15 - thicker material set to run slower (only 2 data points here, so this should be confirmed against more coils before treating it as a rule).</w:t>
      </w:r>
    </w:p>
    <w:p>
      <w:pPr>
        <w:pStyle w:val="ListParagraph"/>
        <w:numPr>
          <w:ilvl w:val="0"/>
          <w:numId w:val="2"/>
        </w:numPr>
        <w:spacing w:after="100" w:line="290"/>
      </w:pPr>
      <w:r>
        <w:rPr>
          <w:b w:val="false"/>
          <w:bCs w:val="false"/>
          <w:sz w:val="21"/>
          <w:szCs w:val="21"/>
        </w:rPr>
        <w:t xml:space="preserve">Difference: Coil 1 only shows a warm-up in its first ~25% of length and is stable for the remaining 75%; Coil 2 never reaches a single stable plateau, instead repeating the rise-and-fall pattern tied to its 4 box changes. Coil 1 being a single box vs. Coil 2's four boxes is the most likely reason for that difference.</w:t>
      </w:r>
    </w:p>
    <w:p>
      <w:pPr>
        <w:pStyle w:val="Heading1"/>
        <w:pBdr>
          <w:bottom w:val="single" w:color="0F2A4A" w:sz="8" w:space="4"/>
        </w:pBdr>
        <w:spacing w:after="160" w:before="320"/>
      </w:pPr>
      <w:r>
        <w:rPr>
          <w:b/>
          <w:bCs/>
          <w:color w:val="0F2A4A"/>
          <w:sz w:val="30"/>
          <w:szCs w:val="30"/>
        </w:rPr>
        <w:t xml:space="preserve">5. Key insights</w:t>
      </w:r>
    </w:p>
    <w:p>
      <w:pPr>
        <w:pStyle w:val="ListParagraph"/>
        <w:numPr>
          <w:ilvl w:val="0"/>
          <w:numId w:val="2"/>
        </w:numPr>
        <w:spacing w:after="100" w:line="290"/>
      </w:pPr>
      <w:r>
        <w:rPr>
          <w:b/>
          <w:bCs/>
          <w:sz w:val="21"/>
          <w:szCs w:val="21"/>
        </w:rPr>
        <w:t xml:space="preserve">(1) Leveling-line settings (CUTLENSET, SPEEDSET, ACCTM, DECTM, SLOWLENSET, INVERTERSPEEDCOEFF) are not adjusted gradually as a coil's length progresses - they are locked in once at job start to match the spec, then held fixed to the end. Operators are not re-tuning the line in real time during a run.</w:t>
      </w:r>
    </w:p>
    <w:p>
      <w:pPr>
        <w:pStyle w:val="ListParagraph"/>
        <w:numPr>
          <w:ilvl w:val="0"/>
          <w:numId w:val="2"/>
        </w:numPr>
        <w:spacing w:after="100" w:line="290"/>
      </w:pPr>
      <w:r>
        <w:rPr>
          <w:b w:val="false"/>
          <w:bCs w:val="false"/>
          <w:sz w:val="21"/>
          <w:szCs w:val="21"/>
        </w:rPr>
        <w:t xml:space="preserve">(2) What does change with length is measured performance (load % / cycle time), and that change is explained almost entirely by two things: (a) machine warm-up early in a run, and (b) box-change pauses - confirmed directly for Coil 2 (Section 3b), and matching the pattern seen in Coil 1's own warm-up, even though Coil 1's mid-run dip is not itself a box change.</w:t>
      </w:r>
    </w:p>
    <w:p>
      <w:pPr>
        <w:pStyle w:val="ListParagraph"/>
        <w:numPr>
          <w:ilvl w:val="0"/>
          <w:numId w:val="2"/>
        </w:numPr>
        <w:spacing w:after="100" w:line="290"/>
      </w:pPr>
      <w:r>
        <w:rPr>
          <w:b w:val="false"/>
          <w:bCs w:val="false"/>
          <w:sz w:val="21"/>
          <w:szCs w:val="21"/>
        </w:rPr>
        <w:t xml:space="preserve">(3) Finding (1) supports the case for the already-planned 'Leveler AI Helper / length-based control guide' (planned 2026-09-03, architecture.md Section 11): since operators are not currently adjusting settings by length, an automated length-based recommendation tool would add real, new value rather than just reproducing what operators already do.</w:t>
      </w:r>
    </w:p>
    <w:p>
      <w:pPr>
        <w:pStyle w:val="ListParagraph"/>
        <w:numPr>
          <w:ilvl w:val="0"/>
          <w:numId w:val="2"/>
        </w:numPr>
        <w:spacing w:after="100" w:line="290"/>
      </w:pPr>
      <w:r>
        <w:rPr>
          <w:b/>
          <w:bCs/>
          <w:sz w:val="21"/>
          <w:szCs w:val="21"/>
        </w:rPr>
        <w:t xml:space="preserve">(4) Sheet-count method check: this report's MOVELENSV-reset method gives 289 sheets for Coil 1 and 332 for Coil 2. The existing leveling-detail screen's method (span-time / average cycle time) gives 861 and 1,359 - about 3.0x and 4.1x too high. This directly reconfirms, with fresh data, the known issue already documented in architecture.md that CYCLETM is an in-stroke counter and over-counts sheets 3-4x.</w:t>
      </w:r>
    </w:p>
    <w:p>
      <w:pPr>
        <w:pStyle w:val="ListParagraph"/>
        <w:numPr>
          <w:ilvl w:val="0"/>
          <w:numId w:val="2"/>
        </w:numPr>
        <w:spacing w:after="100" w:line="290"/>
      </w:pPr>
      <w:r>
        <w:rPr>
          <w:b/>
          <w:bCs/>
          <w:sz w:val="21"/>
          <w:szCs w:val="21"/>
        </w:rPr>
        <w:t xml:space="preserve">(5) Uncoiler tension telemetry currently has a coverage gap for evening/night jobs: the OCR monitor only ran 09:01-15:40 KST on 09/03, while both of that day's leveling jobs ran later (17:34-19:27 and 20:37-00:30). Extending the monitor's operating hours would let future reports like this one include real tension data alongside the settings/load data.</w:t>
      </w:r>
    </w:p>
    <w:p>
      <w:pPr>
        <w:pStyle w:val="Heading1"/>
        <w:pBdr>
          <w:bottom w:val="single" w:color="0F2A4A" w:sz="8" w:space="4"/>
        </w:pBdr>
        <w:spacing w:after="160" w:before="320"/>
      </w:pPr>
      <w:r>
        <w:rPr>
          <w:b/>
          <w:bCs/>
          <w:color w:val="0F2A4A"/>
          <w:sz w:val="30"/>
          <w:szCs w:val="30"/>
        </w:rPr>
        <w:t xml:space="preserve">6. Data and methodology</w:t>
      </w:r>
    </w:p>
    <w:p>
      <w:pPr>
        <w:spacing w:after="140" w:line="300"/>
      </w:pPr>
      <w:r>
        <w:rPr>
          <w:b w:val="false"/>
          <w:bCs w:val="false"/>
          <w:i w:val="false"/>
          <w:iCs w:val="false"/>
          <w:color w:val="1A1A1A"/>
          <w:sz w:val="21"/>
          <w:szCs w:val="21"/>
        </w:rPr>
        <w:t xml:space="preserve">Data sources: the leveler-explore Supabase Edge Function (new leveling_length_profile mode, added 2026-09-04) against LEVELING_DATA (leveling PLC telemetry, MariaDB osungsteel.servehttp.com) and erp_data (job orders); ai_tension_readings (Supabase Postgres) for uncoiler tension.</w:t>
      </w:r>
    </w:p>
    <w:p>
      <w:pPr>
        <w:pStyle w:val="ListParagraph"/>
        <w:numPr>
          <w:ilvl w:val="0"/>
          <w:numId w:val="2"/>
        </w:numPr>
        <w:spacing w:after="100" w:line="290"/>
      </w:pPr>
      <w:r>
        <w:rPr>
          <w:b w:val="false"/>
          <w:bCs w:val="false"/>
          <w:sz w:val="21"/>
          <w:szCs w:val="21"/>
        </w:rPr>
        <w:t xml:space="preserve">Deriving cumulative length: LEVELING_DATA has no column for a coil's total accumulated length - only MOVELENSV, which rises from 0 toward CUTLENSET within each stroke and resets for the next sheet. This analysis flags a reset whenever MOVELENSV drops more than 100mm from the previous reading, and accumulates each completed sheet's CUTLENSET to back into a cumulative length.</w:t>
      </w:r>
    </w:p>
    <w:p>
      <w:pPr>
        <w:pStyle w:val="ListParagraph"/>
        <w:numPr>
          <w:ilvl w:val="0"/>
          <w:numId w:val="2"/>
        </w:numPr>
        <w:spacing w:after="100" w:line="290"/>
      </w:pPr>
      <w:r>
        <w:rPr>
          <w:b w:val="false"/>
          <w:bCs w:val="false"/>
          <w:sz w:val="21"/>
          <w:szCs w:val="21"/>
        </w:rPr>
        <w:t xml:space="preserve">Cross-check: Coil 2 (59A2078B, 1.15mm x 1,200mm, 10,700kg) converts to an estimated ~987.7m via steel density (7,850 kg/m3), within 0.5% of this report's PLC-derived 992.4m - supporting the method's reliability. Coil 1's spec string (0.76X4XC) doesn't clearly encode a width, so the same cross-check wasn't possible for it.</w:t>
      </w:r>
    </w:p>
    <w:p>
      <w:pPr>
        <w:pStyle w:val="ListParagraph"/>
        <w:numPr>
          <w:ilvl w:val="0"/>
          <w:numId w:val="2"/>
        </w:numPr>
        <w:spacing w:after="100" w:line="290"/>
      </w:pPr>
      <w:r>
        <w:rPr>
          <w:b w:val="false"/>
          <w:bCs w:val="false"/>
          <w:sz w:val="21"/>
          <w:szCs w:val="21"/>
        </w:rPr>
        <w:t xml:space="preserve">Limitations: cumulative length and sheet counts are estimates, not direct counter readings. Improving accuracy would need (a) a real cut counter tag in the PLC, (b) the OCR/production tooling to record COIL_ID and sheet count at capture time, and (c) enforcing COIL_ID tagging across all runs - all already listed as follow-ups in the existing plan (레벨러_AI헬퍼_개발기획_정리.md).</w:t>
      </w:r>
    </w:p>
    <w:p>
      <w:pPr>
        <w:pStyle w:val="ListParagraph"/>
        <w:numPr>
          <w:ilvl w:val="0"/>
          <w:numId w:val="2"/>
        </w:numPr>
        <w:spacing w:after="100" w:line="290"/>
      </w:pPr>
      <w:r>
        <w:rPr>
          <w:b w:val="false"/>
          <w:bCs w:val="false"/>
          <w:sz w:val="21"/>
          <w:szCs w:val="21"/>
        </w:rPr>
        <w:t xml:space="preserve">Uncoiler tension readings (ai_tension_readings) carry no coil ID or length of their own; per the project's documented data model, each reading should be attributed to whichever coil has RUN=1 in LEVELING_DATA at that reading's timestamp. For 09/03 this attribution yields no matches for either job in this report (Section 2b).</w:t>
      </w:r>
    </w:p>
    <w:p>
      <w:pPr>
        <w:pStyle w:val="Heading1"/>
        <w:pBdr>
          <w:bottom w:val="single" w:color="0F2A4A" w:sz="8" w:space="4"/>
        </w:pBdr>
        <w:spacing w:after="160" w:before="320"/>
      </w:pPr>
      <w:r>
        <w:rPr>
          <w:b/>
          <w:bCs/>
          <w:color w:val="0F2A4A"/>
          <w:sz w:val="30"/>
          <w:szCs w:val="30"/>
        </w:rPr>
        <w:t xml:space="preserve">7. Recommendations</w:t>
      </w:r>
    </w:p>
    <w:p>
      <w:pPr>
        <w:pStyle w:val="ListParagraph"/>
        <w:numPr>
          <w:ilvl w:val="0"/>
          <w:numId w:val="2"/>
        </w:numPr>
        <w:spacing w:after="100" w:line="290"/>
      </w:pPr>
      <w:r>
        <w:rPr>
          <w:b w:val="false"/>
          <w:bCs w:val="false"/>
          <w:sz w:val="21"/>
          <w:szCs w:val="21"/>
        </w:rPr>
        <w:t xml:space="preserve">Prioritize the planned length-based control guide (including cycle-rhythm prediction and box-change alerts), since this report confirms its core premise: operators fix settings at job start and do not adjust them by length.</w:t>
      </w:r>
    </w:p>
    <w:p>
      <w:pPr>
        <w:pStyle w:val="ListParagraph"/>
        <w:numPr>
          <w:ilvl w:val="0"/>
          <w:numId w:val="2"/>
        </w:numPr>
        <w:spacing w:after="100" w:line="290"/>
      </w:pPr>
      <w:r>
        <w:rPr>
          <w:b w:val="false"/>
          <w:bCs w:val="false"/>
          <w:sz w:val="21"/>
          <w:szCs w:val="21"/>
        </w:rPr>
        <w:t xml:space="preserve">Add automatic detection of 'measured values drop with no setting change' windows - like Coil 1's 28-minute dip and Coil 2's repeating box-change dips - to the live dashboards, so unusual stops can be traced after the fact.</w:t>
      </w:r>
    </w:p>
    <w:p>
      <w:pPr>
        <w:pStyle w:val="ListParagraph"/>
        <w:numPr>
          <w:ilvl w:val="0"/>
          <w:numId w:val="2"/>
        </w:numPr>
        <w:spacing w:after="100" w:line="290"/>
      </w:pPr>
      <w:r>
        <w:rPr>
          <w:b w:val="false"/>
          <w:bCs w:val="false"/>
          <w:sz w:val="21"/>
          <w:szCs w:val="21"/>
        </w:rPr>
        <w:t xml:space="preserve">Extend the uncoiler-tension OCR monitor's operating hours to cover evening/night leveling jobs, so future reports like this one can include real tension data for jobs that run outside normal day-shift hours.</w:t>
      </w:r>
    </w:p>
    <w:p>
      <w:pPr>
        <w:pStyle w:val="ListParagraph"/>
        <w:numPr>
          <w:ilvl w:val="0"/>
          <w:numId w:val="2"/>
        </w:numPr>
        <w:spacing w:after="100" w:line="290"/>
      </w:pPr>
      <w:r>
        <w:rPr>
          <w:b w:val="false"/>
          <w:bCs w:val="false"/>
          <w:sz w:val="21"/>
          <w:szCs w:val="21"/>
        </w:rPr>
        <w:t xml:space="preserve">Work with the floor team to add a real cut-counter PLC tag, to remove the 3-4x sheet-count discrepancy documented in Section 5(4).</w:t>
      </w:r>
    </w:p>
    <w:p>
      <w:pPr>
        <w:pBdr>
          <w:top w:val="single" w:color="CCCCCC" w:sz="6" w:space="8"/>
        </w:pBdr>
        <w:spacing w:before="400"/>
      </w:pPr>
      <w:r>
        <w:rPr>
          <w:i/>
          <w:iCs/>
          <w:color w:val="5A6674"/>
          <w:sz w:val="17"/>
          <w:szCs w:val="17"/>
        </w:rPr>
        <w:t xml:space="preserve">Prepared by: Ohsung Steel ERP 2.0 - Automated analysis report - 2026-09-04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daa959f30770ef579a31f5b30ee342409aa915.png"/><Relationship Id="rId8" Type="http://schemas.openxmlformats.org/officeDocument/2006/relationships/image" Target="media/9ae6d23e70989ef4d06f9f458255334f6dbfdaae.png"/><Relationship Id="rId9" Type="http://schemas.openxmlformats.org/officeDocument/2006/relationships/image" Target="media/e7099725a6191ea3962ddf114160bc548641f7f7.png"/><Relationship Id="rId10" Type="http://schemas.openxmlformats.org/officeDocument/2006/relationships/image" Target="media/55ea6cabf4c0daafd68d373d426464e53237fca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2026-09-03T23:31:32.681Z</dcterms:created>
  <dcterms:modified xsi:type="dcterms:W3CDTF">2026-09-03T23:31:32.682Z</dcterms:modified>
</cp:coreProperties>
</file>

<file path=docProps/custom.xml><?xml version="1.0" encoding="utf-8"?>
<Properties xmlns="http://schemas.openxmlformats.org/officeDocument/2006/custom-properties" xmlns:vt="http://schemas.openxmlformats.org/officeDocument/2006/docPropsVTypes"/>
</file>