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7D8BA1"/>
          <w:sz w:val="18"/>
          <w:szCs w:val="18"/>
        </w:rPr>
        <w:t xml:space="preserve">오성철강(주)  ·  대표님 보고</w:t>
      </w:r>
    </w:p>
    <w:p>
      <w:pPr>
        <w:spacing w:after="60"/>
      </w:pPr>
      <w:r>
        <w:rPr>
          <w:rFonts w:ascii="Cambria" w:cs="Cambria" w:eastAsia="Cambria" w:hAnsi="Cambria"/>
          <w:b/>
          <w:bCs/>
          <w:color w:val="0F1E33"/>
          <w:sz w:val="40"/>
          <w:szCs w:val="40"/>
        </w:rPr>
        <w:t xml:space="preserve">대출 이자비용 현황 보고</w:t>
      </w:r>
    </w:p>
    <w:p>
      <w:pPr>
        <w:spacing w:after="200"/>
      </w:pPr>
      <w:r>
        <w:rPr>
          <w:rFonts w:ascii="Calibri" w:cs="Calibri" w:eastAsia="Calibri" w:hAnsi="Calibri"/>
          <w:color w:val="7D8BA1"/>
          <w:sz w:val="18"/>
          <w:szCs w:val="18"/>
        </w:rPr>
        <w:t xml:space="preserve">작성기준일  2026-09-29  ·  은행 금리조정 통보 반영</w:t>
      </w:r>
    </w:p>
    <w:p>
      <w:pPr>
        <w:pBdr>
          <w:bottom w:val="single" w:color="D7DEE8" w:sz="6" w:space="1"/>
        </w:pBdr>
        <w:spacing w:after="240" w:before="120"/>
      </w:pPr>
    </w:p>
    <w:p>
      <w:pPr>
        <w:pStyle w:val="Heading1"/>
        <w:pBdr>
          <w:left w:val="single" w:color="E8830F" w:sz="24" w:space="6"/>
        </w:pBdr>
        <w:spacing w:after="160" w:before="320"/>
        <w:ind w:left="20"/>
      </w:pPr>
      <w:r>
        <w:rPr>
          <w:rFonts w:ascii="Cambria" w:cs="Cambria" w:eastAsia="Cambria" w:hAnsi="Cambria"/>
          <w:b/>
          <w:bCs/>
          <w:color w:val="0F1E33"/>
          <w:sz w:val="26"/>
          <w:szCs w:val="26"/>
        </w:rPr>
        <w:t xml:space="preserve">1. 개요</w:t>
      </w:r>
    </w:p>
    <w:p>
      <w:pPr>
        <w:spacing w:after="16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은행으로부터 대출 3건에 대한 금리 안내를 받았습니다. 대출 ①·② 는 금리가 조정되고, 대출 ③(안산시 보전이율 적용)은 고정 1.79%로 변경 없이 유지됩니다. 조정 전후 이자비용을 아래와 같이 정리하였습니다.</w:t>
      </w:r>
    </w:p>
    <w:p>
      <w:pPr>
        <w:spacing w:after="60"/>
      </w:pPr>
      <w:r>
        <w:rPr>
          <w:rFonts w:ascii="Calibri" w:cs="Calibri" w:eastAsia="Calibri" w:hAnsi="Calibri"/>
          <w:color w:val="4D5C72"/>
          <w:sz w:val="20"/>
          <w:szCs w:val="20"/>
        </w:rPr>
        <w:t xml:space="preserve">총 대출잔액  </w:t>
      </w:r>
      <w:r>
        <w:rPr>
          <w:rFonts w:ascii="Calibri" w:cs="Calibri" w:eastAsia="Calibri" w:hAnsi="Calibri"/>
          <w:b/>
          <w:bCs/>
          <w:color w:val="0F1E33"/>
          <w:sz w:val="22"/>
          <w:szCs w:val="22"/>
        </w:rPr>
        <w:t xml:space="preserve">3,106,000,000원</w:t>
      </w:r>
    </w:p>
    <w:p>
      <w:pPr>
        <w:spacing w:after="60"/>
      </w:pPr>
      <w:r>
        <w:rPr>
          <w:rFonts w:ascii="Calibri" w:cs="Calibri" w:eastAsia="Calibri" w:hAnsi="Calibri"/>
          <w:color w:val="4D5C72"/>
          <w:sz w:val="20"/>
          <w:szCs w:val="20"/>
        </w:rPr>
        <w:t xml:space="preserve">가중평균 금리  </w:t>
      </w:r>
      <w:r>
        <w:rPr>
          <w:rFonts w:ascii="Calibri" w:cs="Calibri" w:eastAsia="Calibri" w:hAnsi="Calibri"/>
          <w:b/>
          <w:bCs/>
          <w:color w:val="0F1E33"/>
          <w:sz w:val="22"/>
          <w:szCs w:val="22"/>
        </w:rPr>
        <w:t xml:space="preserve">2.74% → 3.01%</w:t>
      </w:r>
    </w:p>
    <w:p>
      <w:pPr>
        <w:spacing w:after="60"/>
      </w:pPr>
      <w:r>
        <w:rPr>
          <w:rFonts w:ascii="Calibri" w:cs="Calibri" w:eastAsia="Calibri" w:hAnsi="Calibri"/>
          <w:color w:val="4D5C72"/>
          <w:sz w:val="20"/>
          <w:szCs w:val="20"/>
        </w:rPr>
        <w:t xml:space="preserve">월 이자비용  </w:t>
      </w:r>
      <w:r>
        <w:rPr>
          <w:rFonts w:ascii="Calibri" w:cs="Calibri" w:eastAsia="Calibri" w:hAnsi="Calibri"/>
          <w:b/>
          <w:bCs/>
          <w:color w:val="C8372C"/>
          <w:sz w:val="22"/>
          <w:szCs w:val="22"/>
        </w:rPr>
        <w:t xml:space="preserve">7,083,983원 → 7,798,200원  (월 +714,217원, +10.1%)</w:t>
      </w:r>
    </w:p>
    <w:p>
      <w:pPr>
        <w:spacing w:after="60"/>
      </w:pPr>
      <w:r>
        <w:rPr>
          <w:rFonts w:ascii="Calibri" w:cs="Calibri" w:eastAsia="Calibri" w:hAnsi="Calibri"/>
          <w:color w:val="4D5C72"/>
          <w:sz w:val="20"/>
          <w:szCs w:val="20"/>
        </w:rPr>
        <w:t xml:space="preserve">연간 이자비용  </w:t>
      </w:r>
      <w:r>
        <w:rPr>
          <w:rFonts w:ascii="Calibri" w:cs="Calibri" w:eastAsia="Calibri" w:hAnsi="Calibri"/>
          <w:b/>
          <w:bCs/>
          <w:color w:val="C8372C"/>
          <w:sz w:val="22"/>
          <w:szCs w:val="22"/>
        </w:rPr>
        <w:t xml:space="preserve">85,007,800원 → 93,578,400원  (연 +8,570,600원)</w:t>
      </w:r>
    </w:p>
    <w:p>
      <w:pPr>
        <w:pStyle w:val="Heading1"/>
        <w:pBdr>
          <w:left w:val="single" w:color="E8830F" w:sz="24" w:space="6"/>
        </w:pBdr>
        <w:spacing w:after="160" w:before="320"/>
        <w:ind w:left="20"/>
      </w:pPr>
      <w:r>
        <w:rPr>
          <w:rFonts w:ascii="Cambria" w:cs="Cambria" w:eastAsia="Cambria" w:hAnsi="Cambria"/>
          <w:b/>
          <w:bCs/>
          <w:color w:val="0F1E33"/>
          <w:sz w:val="26"/>
          <w:szCs w:val="26"/>
        </w:rPr>
        <w:t xml:space="preserve">2. 대출별 상세 내역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650"/>
        <w:gridCol w:w="2100"/>
        <w:gridCol w:w="1600"/>
        <w:gridCol w:w="1700"/>
        <w:gridCol w:w="1500"/>
      </w:tblGrid>
      <w:tr>
        <w:trPr>
          <w:tblHeader/>
        </w:trPr>
        <w:tc>
          <w:tcPr>
            <w:tcW w:type="dxa" w:w="1150"/>
            <w:shd w:fill="0F1E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650"/>
            <w:shd w:fill="0F1E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대출금액</w:t>
            </w:r>
          </w:p>
        </w:tc>
        <w:tc>
          <w:tcPr>
            <w:tcW w:type="dxa" w:w="2100"/>
            <w:shd w:fill="0F1E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금리 (기존 → 신규)</w:t>
            </w:r>
          </w:p>
        </w:tc>
        <w:tc>
          <w:tcPr>
            <w:tcW w:type="dxa" w:w="1600"/>
            <w:shd w:fill="0F1E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월 이자 (기존)</w:t>
            </w:r>
          </w:p>
        </w:tc>
        <w:tc>
          <w:tcPr>
            <w:tcW w:type="dxa" w:w="1700"/>
            <w:shd w:fill="0F1E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월 이자 (신규)</w:t>
            </w:r>
          </w:p>
        </w:tc>
        <w:tc>
          <w:tcPr>
            <w:tcW w:type="dxa" w:w="1500"/>
            <w:shd w:fill="0F1E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월 증감액</w:t>
            </w:r>
          </w:p>
        </w:tc>
      </w:tr>
      <w:tr>
        <w:tc>
          <w:tcPr>
            <w:tcW w:type="dxa" w:w="1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대출 ①</w:t>
            </w:r>
          </w:p>
        </w:tc>
        <w:tc>
          <w:tcPr>
            <w:tcW w:type="dxa" w:w="1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2,010,000,000원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변동 2.93% → 변동 3.22%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4,907,750원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5,393,500원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8372C"/>
                <w:sz w:val="18"/>
                <w:szCs w:val="18"/>
              </w:rPr>
              <w:t xml:space="preserve">+485,750원</w:t>
            </w:r>
          </w:p>
        </w:tc>
      </w:tr>
      <w:tr>
        <w:tc>
          <w:tcPr>
            <w:tcW w:type="dxa" w:w="1150"/>
            <w:shd w:fill="E6EA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대출 ②</w:t>
            </w:r>
          </w:p>
        </w:tc>
        <w:tc>
          <w:tcPr>
            <w:tcW w:type="dxa" w:w="1650"/>
            <w:shd w:fill="E6EA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596,000,000원</w:t>
            </w:r>
          </w:p>
        </w:tc>
        <w:tc>
          <w:tcPr>
            <w:tcW w:type="dxa" w:w="2100"/>
            <w:shd w:fill="E6EA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고정 2.88% → 변동 3.34%</w:t>
            </w:r>
          </w:p>
        </w:tc>
        <w:tc>
          <w:tcPr>
            <w:tcW w:type="dxa" w:w="1600"/>
            <w:shd w:fill="E6EA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1,430,400원</w:t>
            </w:r>
          </w:p>
        </w:tc>
        <w:tc>
          <w:tcPr>
            <w:tcW w:type="dxa" w:w="1700"/>
            <w:shd w:fill="E6EA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1,658,867원</w:t>
            </w:r>
          </w:p>
        </w:tc>
        <w:tc>
          <w:tcPr>
            <w:tcW w:type="dxa" w:w="1500"/>
            <w:shd w:fill="E6EA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8372C"/>
                <w:sz w:val="18"/>
                <w:szCs w:val="18"/>
              </w:rPr>
              <w:t xml:space="preserve">+228,467원</w:t>
            </w:r>
          </w:p>
        </w:tc>
      </w:tr>
      <w:tr>
        <w:tc>
          <w:tcPr>
            <w:tcW w:type="dxa" w:w="1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대출 ③</w:t>
            </w:r>
          </w:p>
        </w:tc>
        <w:tc>
          <w:tcPr>
            <w:tcW w:type="dxa" w:w="1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500,000,000원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고정 1.79% (변경없음)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745,833원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745,833원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7D8BA1"/>
                <w:sz w:val="18"/>
                <w:szCs w:val="18"/>
              </w:rPr>
              <w:t xml:space="preserve">변경없음</w:t>
            </w:r>
          </w:p>
        </w:tc>
      </w:tr>
    </w:tbl>
    <w:p>
      <w:pPr>
        <w:spacing w:after="240" w:before="120"/>
      </w:pPr>
      <w:r>
        <w:rPr>
          <w:rFonts w:ascii="Calibri" w:cs="Calibri" w:eastAsia="Calibri" w:hAnsi="Calibri"/>
          <w:i/>
          <w:iCs/>
          <w:color w:val="7D8BA1"/>
          <w:sz w:val="16"/>
          <w:szCs w:val="16"/>
        </w:rPr>
        <w:t xml:space="preserve">* 대출 ①·② 는 이번 통보로 금리가 조정되는 기존 대출이며, 대출 ③ 은 안산시 보전이율이 적용되는 기존 대출로 고정 1.79%에서 변경이 없습니다.</w:t>
      </w:r>
    </w:p>
    <w:p>
      <w:pPr>
        <w:pStyle w:val="Heading1"/>
        <w:pBdr>
          <w:left w:val="single" w:color="E8830F" w:sz="24" w:space="6"/>
        </w:pBdr>
        <w:spacing w:after="160" w:before="320"/>
        <w:ind w:left="20"/>
      </w:pPr>
      <w:r>
        <w:rPr>
          <w:rFonts w:ascii="Cambria" w:cs="Cambria" w:eastAsia="Cambria" w:hAnsi="Cambria"/>
          <w:b/>
          <w:bCs/>
          <w:color w:val="0F1E33"/>
          <w:sz w:val="26"/>
          <w:szCs w:val="26"/>
        </w:rPr>
        <w:t xml:space="preserve">3. 월별 총 이자비용 요약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5"/>
        <w:gridCol w:w="2425"/>
        <w:gridCol w:w="2425"/>
        <w:gridCol w:w="2425"/>
      </w:tblGrid>
      <w:tr>
        <w:trPr>
          <w:tblHeader/>
        </w:trPr>
        <w:tc>
          <w:tcPr>
            <w:tcW w:type="dxa" w:w="2425"/>
            <w:shd w:fill="0F1E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425"/>
            <w:shd w:fill="0F1E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대출잔액</w:t>
            </w:r>
          </w:p>
        </w:tc>
        <w:tc>
          <w:tcPr>
            <w:tcW w:type="dxa" w:w="2425"/>
            <w:shd w:fill="0F1E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가중평균금리</w:t>
            </w:r>
          </w:p>
        </w:tc>
        <w:tc>
          <w:tcPr>
            <w:tcW w:type="dxa" w:w="2425"/>
            <w:shd w:fill="0F1E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월 이자비용</w:t>
            </w:r>
          </w:p>
        </w:tc>
      </w:tr>
      <w:tr>
        <w:tc>
          <w:tcPr>
            <w:tcW w:type="dxa" w:w="24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금리 조정 전 (대출 3건)</w:t>
            </w:r>
          </w:p>
        </w:tc>
        <w:tc>
          <w:tcPr>
            <w:tcW w:type="dxa" w:w="24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3,106,000,000원</w:t>
            </w:r>
          </w:p>
        </w:tc>
        <w:tc>
          <w:tcPr>
            <w:tcW w:type="dxa" w:w="24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2.74%</w:t>
            </w:r>
          </w:p>
        </w:tc>
        <w:tc>
          <w:tcPr>
            <w:tcW w:type="dxa" w:w="242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7,083,983원</w:t>
            </w:r>
          </w:p>
        </w:tc>
      </w:tr>
      <w:tr>
        <w:tc>
          <w:tcPr>
            <w:tcW w:type="dxa" w:w="2425"/>
            <w:shd w:fill="FDECD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금리 조정 후 (대출 3건)</w:t>
            </w:r>
          </w:p>
        </w:tc>
        <w:tc>
          <w:tcPr>
            <w:tcW w:type="dxa" w:w="2425"/>
            <w:shd w:fill="FDECD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3,106,000,000원</w:t>
            </w:r>
          </w:p>
        </w:tc>
        <w:tc>
          <w:tcPr>
            <w:tcW w:type="dxa" w:w="2425"/>
            <w:shd w:fill="FDECD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3.01%</w:t>
            </w:r>
          </w:p>
        </w:tc>
        <w:tc>
          <w:tcPr>
            <w:tcW w:type="dxa" w:w="2425"/>
            <w:shd w:fill="FDECD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7,798,200원</w:t>
            </w:r>
          </w:p>
        </w:tc>
      </w:tr>
    </w:tbl>
    <w:p>
      <w:pPr>
        <w:pStyle w:val="Heading1"/>
        <w:pBdr>
          <w:left w:val="single" w:color="E8830F" w:sz="24" w:space="6"/>
        </w:pBdr>
        <w:spacing w:after="160" w:before="320"/>
        <w:ind w:left="20"/>
      </w:pPr>
      <w:r>
        <w:rPr>
          <w:rFonts w:ascii="Cambria" w:cs="Cambria" w:eastAsia="Cambria" w:hAnsi="Cambria"/>
          <w:b/>
          <w:bCs/>
          <w:color w:val="0F1E33"/>
          <w:sz w:val="26"/>
          <w:szCs w:val="26"/>
        </w:rPr>
        <w:t xml:space="preserve">4. 참고사항</w:t>
      </w:r>
    </w:p>
    <w:p>
      <w:pPr>
        <w:spacing w:after="16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· 월 이자비용은 연이자(대출금액 × 금리)를 12개월로 단순 균등 배분한 값으로, 실제 상환일정·거치기간·이자계산 일수(365일/366일)에 따라 은행 청구액과 소폭 차이가 있을 수 있습니다.</w:t>
      </w:r>
    </w:p>
    <w:p>
      <w:pPr>
        <w:spacing w:after="16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· 대출 ③(500백만원)은 안산시 보전이율(1.79%) 적용을 전제로 한 금액이며, 보전 요건 미충족 시 이자비용이 달라질 수 있습니다.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2026-09-29T01:25:40.159Z</dcterms:created>
  <dcterms:modified xsi:type="dcterms:W3CDTF">2026-09-29T01:25:40.159Z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