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a365d"/>
          <w:sz w:val="40"/>
          <w:szCs w:val="40"/>
        </w:rPr>
        <w:t xml:space="preserve">오성철강 지출 사전결재 시스템 도입 기획서</w:t>
      </w:r>
    </w:p>
    <w:p>
      <w:pPr>
        <w:spacing w:after="60"/>
      </w:pPr>
      <w:r>
        <w:rPr>
          <w:color w:val="4a5568"/>
          <w:sz w:val="22"/>
          <w:szCs w:val="22"/>
        </w:rPr>
        <w:t xml:space="preserve">모든 지출을 "등록 → 결재 → 지급" 순서로 통제하는 운영 체계 제안</w:t>
      </w:r>
    </w:p>
    <w:p>
      <w:pPr>
        <w:spacing w:after="300"/>
      </w:pPr>
      <w:r>
        <w:rPr>
          <w:color w:val="718096"/>
          <w:sz w:val="20"/>
          <w:szCs w:val="20"/>
        </w:rPr>
        <w:t xml:space="preserve">작성일: 2026-07-16</w:t>
      </w:r>
    </w:p>
    <w:p>
      <w:pPr>
        <w:pBdr>
          <w:bottom w:val="single" w:color="1a365d" w:sz="6"/>
        </w:pBdr>
        <w:spacing w:after="200"/>
      </w:pPr>
    </w:p>
    <w:p>
      <w:pPr>
        <w:pStyle w:val="Heading1"/>
        <w:spacing w:after="160" w:before="360"/>
      </w:pPr>
      <w:r>
        <w:t xml:space="preserve">1. 배경 및 목적</w:t>
      </w:r>
    </w:p>
    <w:p>
      <w:pPr>
        <w:spacing w:after="140"/>
      </w:pPr>
      <w:r>
        <w:rPr>
          <w:sz w:val="21"/>
          <w:szCs w:val="21"/>
        </w:rPr>
        <w:t xml:space="preserve">현재 오성철강의 급여, 4대보험, 대출이자, 카드대금, 원자재 매입 대금 등 모든 지출이 사전 승인 절차 없이 계좌에서 자동이체·CMS·수동 송금으로 곧바로 나가고 있습니다. 우리은행·하나은행 계좌 실제 거래내역을 분석한 결과, 매월 정기적으로 반복되는 고정비뿐 아니라 거래처 매입 대금, 대표 앞 비정기 이체까지 결재 기록 없이 집행되는 상태였습니다.</w:t>
      </w:r>
    </w:p>
    <w:p>
      <w:pPr>
        <w:spacing w:after="140"/>
      </w:pPr>
      <w:r>
        <w:rPr>
          <w:sz w:val="21"/>
          <w:szCs w:val="21"/>
        </w:rPr>
        <w:t xml:space="preserve">과거 회사 자료(2024년지출결의서.xlsx)를 보면 2010년부터 2026년까지 매월 "미지급금결재내역"을 엑셀로 정리해 대표님 결재를 받아온 이력이 확인됩니다. 거래처·금액·은행·계좌번호·담당자를 표로 정리해 결재를 받던 방식으로, 취지 자체는 이미 오래전부터 운영되어 온 것입니다.</w:t>
      </w:r>
    </w:p>
    <w:p>
      <w:pPr>
        <w:spacing w:after="140"/>
      </w:pPr>
      <w:r>
        <w:rPr>
          <w:sz w:val="21"/>
          <w:szCs w:val="21"/>
        </w:rPr>
        <w:t xml:space="preserve">이번에 ERP에 구축한 지출결의서 기능(작성 → 결재 → 출력·결재함 → 결재완료 처리)을 활용해, 이 과거의 결재 관행을 다시 세우고 "결재가 끝난 건만 지급된다"는 원칙을 시스템적으로 강제하는 것이 이 기획의 목적입니다.</w:t>
      </w:r>
    </w:p>
    <w:p>
      <w:pPr>
        <w:pStyle w:val="Heading1"/>
        <w:spacing w:after="160" w:before="360"/>
      </w:pPr>
      <w:r>
        <w:t xml:space="preserve">2. 현황 분석 (AS-IS)</w:t>
      </w:r>
    </w:p>
    <w:p>
      <w:pPr>
        <w:spacing w:after="140"/>
      </w:pPr>
      <w:r>
        <w:rPr>
          <w:sz w:val="21"/>
          <w:szCs w:val="21"/>
        </w:rPr>
        <w:t xml:space="preserve">최근 3개월(2026년 5~7월) 실적 기준으로 매월 고정적으로 나가는 비용은 다음과 같습니다. 이 금액들은 현재 결재 없이 계좌에서 자동으로 빠져나가고 있습니다.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2200"/>
        <w:gridCol w:w="1706"/>
      </w:tblGrid>
      <w:tr>
        <w:trPr>
          <w:tblHeader/>
        </w:trPr>
        <w:tc>
          <w:tcPr>
            <w:tcW w:type="dxa" w:w="34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계좌</w:t>
            </w:r>
          </w:p>
        </w:tc>
        <w:tc>
          <w:tcPr>
            <w:tcW w:type="dxa" w:w="22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월평균 금액</w:t>
            </w:r>
          </w:p>
        </w:tc>
        <w:tc>
          <w:tcPr>
            <w:tcW w:type="dxa" w:w="1706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결재 여부</w:t>
            </w:r>
          </w:p>
        </w:tc>
      </w:tr>
      <w:tr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인건비(급여, 12명)</w:t>
            </w:r>
          </w:p>
        </w:tc>
        <w:tc>
          <w:tcPr>
            <w:tcW w:type="dxa" w:w="2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하나은행</w:t>
            </w:r>
          </w:p>
        </w:tc>
        <w:tc>
          <w:tcPr>
            <w:tcW w:type="dxa" w:w="22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35,867,627원</w:t>
            </w:r>
          </w:p>
        </w:tc>
        <w:tc>
          <w:tcPr>
            <w:tcW w:type="dxa" w:w="1706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미결재(자동송금)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대출이자(5개 구좌)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우리→하나 전환예정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6,982,455원</w:t>
            </w:r>
          </w:p>
        </w:tc>
        <w:tc>
          <w:tcPr>
            <w:tcW w:type="dxa" w:w="170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미결재(자동이체)</w:t>
            </w:r>
          </w:p>
        </w:tc>
      </w:tr>
      <w:tr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4대보험</w:t>
            </w:r>
          </w:p>
        </w:tc>
        <w:tc>
          <w:tcPr>
            <w:tcW w:type="dxa" w:w="2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우리은행</w:t>
            </w:r>
          </w:p>
        </w:tc>
        <w:tc>
          <w:tcPr>
            <w:tcW w:type="dxa" w:w="22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6,209,660원</w:t>
            </w:r>
          </w:p>
        </w:tc>
        <w:tc>
          <w:tcPr>
            <w:tcW w:type="dxa" w:w="1706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미결재(자동이체)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수도광열비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우리은행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5,036,610원</w:t>
            </w:r>
          </w:p>
        </w:tc>
        <w:tc>
          <w:tcPr>
            <w:tcW w:type="dxa" w:w="170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미결재(자동이체)</w:t>
            </w:r>
          </w:p>
        </w:tc>
      </w:tr>
      <w:tr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카드대금(2종)</w:t>
            </w:r>
          </w:p>
        </w:tc>
        <w:tc>
          <w:tcPr>
            <w:tcW w:type="dxa" w:w="2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우리+하나</w:t>
            </w:r>
          </w:p>
        </w:tc>
        <w:tc>
          <w:tcPr>
            <w:tcW w:type="dxa" w:w="22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3,057,967원</w:t>
            </w:r>
          </w:p>
        </w:tc>
        <w:tc>
          <w:tcPr>
            <w:tcW w:type="dxa" w:w="1706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미결재(자동인출)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위탁대행/기타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우리+하나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787,780원</w:t>
            </w:r>
          </w:p>
        </w:tc>
        <w:tc>
          <w:tcPr>
            <w:tcW w:type="dxa" w:w="170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미결재(자동이체)</w:t>
            </w:r>
          </w:p>
        </w:tc>
      </w:tr>
      <w:tr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퇴직연금</w:t>
            </w:r>
          </w:p>
        </w:tc>
        <w:tc>
          <w:tcPr>
            <w:tcW w:type="dxa" w:w="2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하나은행</w:t>
            </w:r>
          </w:p>
        </w:tc>
        <w:tc>
          <w:tcPr>
            <w:tcW w:type="dxa" w:w="22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341,940원</w:t>
            </w:r>
          </w:p>
        </w:tc>
        <w:tc>
          <w:tcPr>
            <w:tcW w:type="dxa" w:w="1706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미결재(자동이체)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통신비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우리+하나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125,490원</w:t>
            </w:r>
          </w:p>
        </w:tc>
        <w:tc>
          <w:tcPr>
            <w:tcW w:type="dxa" w:w="170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미결재(자동이체)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sz w:val="21"/>
          <w:szCs w:val="21"/>
        </w:rPr>
        <w:t xml:space="preserve">이 외에도 원자재/자재 매입처(철강·스틸 거래처 등) 대금 지급이 수시로 발생하며, 과거 "미지급금결재내역" 시트와 동일한 성격입니다. 또한 "남은우(오성철강사)" 적요로 하나은행에서 매월 1천만~8천만원 단위 이체가 있었는데, 날짜·금액을 대조한 결과 대부분 회사의 하나은행 계좌에서 우리은행 계좌로 자금을 옮긴 내부 이체로 확인되었습니다. 다만 "정부사업" 표기가 붙은 건 등 일부(6월 731,970원, 5,000,000원)는 우리은행 계좌에 대응 입금이 없어 용도 확인이 필요합니다.</w:t>
      </w:r>
    </w:p>
    <w:p>
      <w:pPr>
        <w:spacing w:after="100"/>
      </w:pPr>
      <w:r>
        <w:rPr>
          <w:i/>
          <w:iCs/>
          <w:color w:val="718096"/>
          <w:sz w:val="19"/>
          <w:szCs w:val="19"/>
        </w:rPr>
        <w:t xml:space="preserve">※ 참고: 위 수치는 별도로 전달드린 "오성철강_월별고정비_대표님보고_3p.pdf"의 최근 실적 분석과 동일합니다.</w:t>
      </w:r>
    </w:p>
    <w:p>
      <w:pPr>
        <w:pStyle w:val="Heading1"/>
        <w:spacing w:after="160" w:before="360"/>
      </w:pPr>
      <w:r>
        <w:t xml:space="preserve">3. 목표 (TO-BE)</w:t>
      </w:r>
    </w:p>
    <w:p>
      <w:pPr>
        <w:spacing w:after="140"/>
      </w:pPr>
      <w:r>
        <w:rPr>
          <w:sz w:val="21"/>
          <w:szCs w:val="21"/>
        </w:rPr>
        <w:t xml:space="preserve">원칙은 하나입니다 — "지급 전 결재, 결재 없는 지급 없음." 정기·비정기를 막론하고 회사 계좌에서 나가는 모든 지출은 지출결의서로 먼저 등록되고, 결재완료 상태가 된 건만 실제로 이체가 실행되도록 운영 절차를 바꿉니다.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모든 지출 항목(정기 고정비 + 비정기 매입 + 특수 이체)이 예외 없이 지출결의서를 거친다.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결재완료 전에는 이체를 실행하지 않는다 — 지급 담당자는 결재완료 상태만 확인하고 송금한다.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매월 반복되는 고정비는 매번 새로 입력하지 않고, 전월 실적을 바탕으로 초안이 자동 생성되어 담당자가 검토·상신만 하면 되도록 한다.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지출 유형 분류 및 처리 방식</w:t>
      </w:r>
    </w:p>
    <w:p>
      <w:pPr>
        <w:spacing w:after="140"/>
      </w:pPr>
      <w:r>
        <w:rPr>
          <w:sz w:val="21"/>
          <w:szCs w:val="21"/>
        </w:rPr>
        <w:t xml:space="preserve">지출을 성격에 따라 세 가지로 나누어 서로 다른 방식으로 결재 흐름에 태웁니다.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2600"/>
        <w:gridCol w:w="1400"/>
      </w:tblGrid>
      <w:tr>
        <w:trPr>
          <w:tblHeader/>
        </w:trPr>
        <w:tc>
          <w:tcPr>
            <w:tcW w:type="dxa" w:w="21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6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예시 항목</w:t>
            </w:r>
          </w:p>
        </w:tc>
        <w:tc>
          <w:tcPr>
            <w:tcW w:type="dxa" w:w="26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등록 방식</w:t>
            </w:r>
          </w:p>
        </w:tc>
        <w:tc>
          <w:tcPr>
            <w:tcW w:type="dxa" w:w="14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결재 주기</w:t>
            </w:r>
          </w:p>
        </w:tc>
      </w:tr>
      <w:tr>
        <w:tc>
          <w:tcPr>
            <w:tcW w:type="dxa" w:w="21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A. 정기 고정비</w:t>
            </w:r>
          </w:p>
        </w:tc>
        <w:tc>
          <w:tcPr>
            <w:tcW w:type="dxa" w:w="3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급여·4대보험·대출이자·카드대금·위탁대행비·퇴직연금·통신비</w:t>
            </w:r>
          </w:p>
        </w:tc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전월 실적 기반 자동 초안 생성 → 담당자 검토</w:t>
            </w:r>
          </w:p>
        </w:tc>
        <w:tc>
          <w:tcPr>
            <w:tcW w:type="dxa" w:w="1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1회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B. 비정기 매입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원자재·자재 거래처 대금 등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발생 건별 담당자 직접 등록 (기존 "미지급금결재내역" 대체)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수시</w:t>
            </w:r>
          </w:p>
        </w:tc>
      </w:tr>
      <w:tr>
        <w:tc>
          <w:tcPr>
            <w:tcW w:type="dxa" w:w="21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C. 대표 인출/특수건</w:t>
            </w:r>
          </w:p>
        </w:tc>
        <w:tc>
          <w:tcPr>
            <w:tcW w:type="dxa" w:w="3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대표 앞 비정기 고액 이체 등</w:t>
            </w:r>
          </w:p>
        </w:tc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용도·사유 기재를 의무화하여 별도 승인 트랙으로 등록</w:t>
            </w:r>
          </w:p>
        </w:tc>
        <w:tc>
          <w:tcPr>
            <w:tcW w:type="dxa" w:w="1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발생 시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4-1. A유형 — 정기 고정비 처리</w:t>
      </w:r>
    </w:p>
    <w:p>
      <w:pPr>
        <w:spacing w:after="140"/>
      </w:pPr>
      <w:r>
        <w:rPr>
          <w:sz w:val="21"/>
          <w:szCs w:val="21"/>
        </w:rPr>
        <w:t xml:space="preserve">8개 정기 항목은 금액과 지급일이 매월 거의 일정하므로, 전월 실적을 기준으로 지출결의서 초안이 자동 생성되도록 하고 담당자는 금액 변동분만 확인 후 상신합니다.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700"/>
      </w:tblGrid>
      <w:tr>
        <w:trPr>
          <w:tblHeader/>
        </w:trPr>
        <w:tc>
          <w:tcPr>
            <w:tcW w:type="dxa" w:w="26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통상 지급일</w:t>
            </w:r>
          </w:p>
        </w:tc>
        <w:tc>
          <w:tcPr>
            <w:tcW w:type="dxa" w:w="37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결재 상신 마감</w:t>
            </w:r>
          </w:p>
        </w:tc>
      </w:tr>
      <w:tr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4대보험</w:t>
            </w:r>
          </w:p>
        </w:tc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10일경</w:t>
            </w:r>
          </w:p>
        </w:tc>
        <w:tc>
          <w:tcPr>
            <w:tcW w:type="dxa" w:w="37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7일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급여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10~13일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8일</w:t>
            </w:r>
          </w:p>
        </w:tc>
      </w:tr>
      <w:tr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위탁대행/기타</w:t>
            </w:r>
          </w:p>
        </w:tc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15~20일</w:t>
            </w:r>
          </w:p>
        </w:tc>
        <w:tc>
          <w:tcPr>
            <w:tcW w:type="dxa" w:w="37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13일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퇴직연금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15일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13일</w:t>
            </w:r>
          </w:p>
        </w:tc>
      </w:tr>
      <w:tr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카드대금</w:t>
            </w:r>
          </w:p>
        </w:tc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15~23일</w:t>
            </w:r>
          </w:p>
        </w:tc>
        <w:tc>
          <w:tcPr>
            <w:tcW w:type="dxa" w:w="37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결제일 3일 전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대출이자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27~29일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24일</w:t>
            </w:r>
          </w:p>
        </w:tc>
      </w:tr>
      <w:tr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통신비</w:t>
            </w:r>
          </w:p>
        </w:tc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25~29일</w:t>
            </w:r>
          </w:p>
        </w:tc>
        <w:tc>
          <w:tcPr>
            <w:tcW w:type="dxa" w:w="37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23일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수도광열비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초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전월 28일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4-2. B유형 — 비정기 매입 대금 처리</w:t>
      </w:r>
    </w:p>
    <w:p>
      <w:pPr>
        <w:spacing w:after="140"/>
      </w:pPr>
      <w:r>
        <w:rPr>
          <w:sz w:val="21"/>
          <w:szCs w:val="21"/>
        </w:rPr>
        <w:t xml:space="preserve">원자재·자재 거래처 대금은 과거 "미지급금결재내역" 방식 그대로, 발생 시 거래처명·금액·은행·계좌번호를 지출결의서에 등록해 결재를 받습니다. 기존 ERP의 지출결의서 항목 입력 화면(거래처/품목/금액/입금은행/계좌번호/예금주)이 이미 이 용도에 맞게 구성되어 있어 추가 개발 없이 바로 사용 가능합니다.</w:t>
      </w:r>
    </w:p>
    <w:p>
      <w:pPr>
        <w:pStyle w:val="Heading2"/>
        <w:spacing w:after="120" w:before="220"/>
      </w:pPr>
      <w:r>
        <w:t xml:space="preserve">4-3. C유형 — 대표 인출/특수 이체</w:t>
      </w:r>
    </w:p>
    <w:p>
      <w:pPr>
        <w:spacing w:after="140"/>
      </w:pPr>
      <w:r>
        <w:rPr>
          <w:sz w:val="21"/>
          <w:szCs w:val="21"/>
        </w:rPr>
        <w:t xml:space="preserve">금액이 매월 크게 달라지고 성격이 불분명한 대표 앞 이체 건은, 용도(정부지원사업 자금 집행/대표 가지급금 등)를 반드시 기재하도록 하는 별도 승인 항목으로 관리합니다. 우선 최근 발생분의 성격부터 확인이 필요합니다.</w:t>
      </w:r>
    </w:p>
    <w:p>
      <w:pPr>
        <w:pStyle w:val="Heading1"/>
        <w:spacing w:after="160" w:before="360"/>
      </w:pPr>
      <w:r>
        <w:t xml:space="preserve">5. 운영 프로세스</w:t>
      </w:r>
    </w:p>
    <w:p>
      <w:pPr>
        <w:pStyle w:val="Heading2"/>
        <w:spacing w:after="120" w:before="220"/>
      </w:pPr>
      <w:r>
        <w:t xml:space="preserve">5-1. 처리 흐름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① 등록 — 담당자가 지출결의서를 작성합니다(정기 항목은 자동 초안, 비정기는 직접 입력).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② 결재 상신 — "결재대기" 상태로 전환하고 출력하여 결재라인(이사 → 실장 → 사장)에 상신합니다.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③ 결재 — 결재가 끝나면 서명된 문서를 스캔해 시스템에 업로드, 상태가 "결재완료"로 바뀝니다.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④ 지급 — 경리 담당자는 "결재완료" 상태인 건만 실제 계좌 이체를 실행합니다. 결재대기·반려 상태 건은 지급하지 않습니다.</w:t>
      </w:r>
    </w:p>
    <w:p>
      <w:pPr>
        <w:spacing w:after="140"/>
      </w:pPr>
      <w:r>
        <w:rPr>
          <w:sz w:val="21"/>
          <w:szCs w:val="21"/>
        </w:rPr>
        <w:t xml:space="preserve">현재 ExpenseList 화면에는 작성중/결재대기/결재완료/반려 네 가지 상태가 이미 구현되어 있어, 위 흐름을 그대로 적용할 수 있습니다.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시스템 보완이 필요한 부분</w:t>
      </w:r>
    </w:p>
    <w:p>
      <w:pPr>
        <w:spacing w:after="140"/>
      </w:pPr>
      <w:r>
        <w:rPr>
          <w:sz w:val="21"/>
          <w:szCs w:val="21"/>
        </w:rPr>
        <w:t xml:space="preserve">현재 ERP의 지출결의서 기능은 위 흐름을 담을 수 있는 기본 틀은 갖추고 있으나, 아래 사항이 보완되면 운영이 훨씬 수월해집니다.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보완 항목</w:t>
            </w:r>
          </w:p>
        </w:tc>
        <w:tc>
          <w:tcPr>
            <w:tcW w:type="dxa" w:w="69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계정과목 필드 추가</w:t>
            </w:r>
          </w:p>
        </w:tc>
        <w:tc>
          <w:tcPr>
            <w:tcW w:type="dxa" w:w="69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지출결의서 항목마다 계정과목(급여/4대보험/대출이자 등)을 선택하도록 하여, 월별·계정별 집계가 자동으로 나오게 합니다.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정기 항목 자동 초안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전월 결재완료 건을 복사해 이번 달 초안을 자동으로 만들어주는 기능. 담당자는 금액만 확인·수정합니다.</w:t>
            </w:r>
          </w:p>
        </w:tc>
      </w:tr>
      <w:tr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결재 대기 알림</w:t>
            </w:r>
          </w:p>
        </w:tc>
        <w:tc>
          <w:tcPr>
            <w:tcW w:type="dxa" w:w="69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결재대기 건이 있으면 로그인 시 또는 대시보드에 알림이 뜨도록 합니다.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계좌 잔액 연동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지급 실행 전에 해당 계좌 잔액이 충분한지 화면에서 바로 확인할 수 있게 합니다.</w:t>
            </w:r>
          </w:p>
        </w:tc>
      </w:tr>
      <w:tr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결재선 디지털화 검토</w:t>
            </w:r>
          </w:p>
        </w:tc>
        <w:tc>
          <w:tcPr>
            <w:tcW w:type="dxa" w:w="69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현재는 출력 → 도장 → 스캔 업로드 방식입니다. 향후 이사·실장·사장이 시스템에서 직접 승인 버튼을 누르는 방식으로 전환할지 검토가 필요합니다.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7. 역할 및 책임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3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32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작성(초안 등록)</w:t>
            </w:r>
          </w:p>
        </w:tc>
        <w:tc>
          <w:tcPr>
            <w:tcW w:type="dxa" w:w="63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경리 담당자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1차 확인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실장</w:t>
            </w:r>
          </w:p>
        </w:tc>
      </w:tr>
      <w:tr>
        <w:tc>
          <w:tcPr>
            <w:tcW w:type="dxa" w:w="32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최종 결재</w:t>
            </w:r>
          </w:p>
        </w:tc>
        <w:tc>
          <w:tcPr>
            <w:tcW w:type="dxa" w:w="63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사장(대표)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지급 실행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경리 담당자 (결재완료 건에 한함)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8. 도입 일정 제안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1"/>
          <w:szCs w:val="21"/>
        </w:rPr>
        <w:t xml:space="preserve">1단계(즉시 시행) — 정기 고정비 8개 항목부터 지출결의서 등록을 의무화합니다.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2단계(1개월 내) — 원자재 등 비정기 매입 건까지 확대해, 과거 수기 "미지급금결재내역" 방식을 완전히 대체합니다.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3단계(순차 개발) — 6장의 시스템 보완 항목을 우선순위에 따라 개발에 반영합니다.</w:t>
      </w:r>
    </w:p>
    <w:p>
      <w:pPr>
        <w:pStyle w:val="Heading1"/>
        <w:spacing w:after="160" w:before="360"/>
      </w:pPr>
      <w:r>
        <w:t xml:space="preserve">9. 확인이 필요한 사항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"정부사업" 표기 등 우리은행 계좌에 대응 입금이 없는 소액 이체 2건(6/15 5,000,000원, 6/18 731,970원)의 정확한 용도.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대출이자 계좌의 우리은행 → 하나은행 전환 일정 및 완료 여부.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결재선을 계속 출력·도장·스캔 방식으로 운영할지, 시스템 내 디지털 승인으로 전환할지에 대한 방향 결정.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2026-07-16T08:32:18.609Z</dcterms:created>
  <dcterms:modified xsi:type="dcterms:W3CDTF">2026-07-16T08:32:18.610Z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