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387A2">
      <w:pPr>
        <w:snapToGrid w:val="0"/>
        <w:spacing w:after="62" w:afterLines="20" w:line="400" w:lineRule="exact"/>
        <w:jc w:val="center"/>
        <w:rPr>
          <w:rFonts w:ascii="Arial" w:hAnsi="Arial" w:eastAsia="黑体" w:cs="Arial"/>
          <w:b/>
          <w:sz w:val="32"/>
          <w:szCs w:val="28"/>
        </w:rPr>
      </w:pPr>
      <w:r>
        <w:rPr>
          <w:rFonts w:ascii="Arial" w:hAnsi="Arial" w:eastAsia="黑体" w:cs="Arial"/>
          <w:b/>
          <w:sz w:val="32"/>
          <w:szCs w:val="32"/>
        </w:rPr>
        <w:t xml:space="preserve">Practice of Literature </w:t>
      </w:r>
      <w:r>
        <w:rPr>
          <w:rFonts w:hint="eastAsia" w:ascii="Arial" w:hAnsi="Arial" w:eastAsia="黑体" w:cs="Arial"/>
          <w:b/>
          <w:sz w:val="32"/>
          <w:szCs w:val="32"/>
        </w:rPr>
        <w:t>R</w:t>
      </w:r>
      <w:r>
        <w:rPr>
          <w:rFonts w:ascii="Arial" w:hAnsi="Arial" w:eastAsia="黑体" w:cs="Arial"/>
          <w:b/>
          <w:sz w:val="32"/>
          <w:szCs w:val="32"/>
        </w:rPr>
        <w:t>etrieval</w:t>
      </w:r>
    </w:p>
    <w:tbl>
      <w:tblPr>
        <w:tblStyle w:val="6"/>
        <w:tblW w:w="86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1789"/>
        <w:gridCol w:w="1701"/>
        <w:gridCol w:w="3436"/>
      </w:tblGrid>
      <w:tr w14:paraId="5B4EAE05">
        <w:trPr>
          <w:cantSplit/>
          <w:trHeight w:val="1089" w:hRule="atLeast"/>
          <w:jc w:val="center"/>
        </w:trPr>
        <w:tc>
          <w:tcPr>
            <w:tcW w:w="1750" w:type="dxa"/>
            <w:vAlign w:val="center"/>
          </w:tcPr>
          <w:p w14:paraId="3D8716C9">
            <w:pPr>
              <w:jc w:val="left"/>
              <w:rPr>
                <w:rFonts w:ascii="Arial" w:hAnsi="Arial" w:cs="Arial"/>
                <w:b/>
                <w:sz w:val="24"/>
              </w:rPr>
            </w:pPr>
            <w:r>
              <w:rPr>
                <w:rFonts w:ascii="Arial" w:hAnsi="Arial" w:cs="Arial"/>
                <w:b/>
                <w:sz w:val="24"/>
              </w:rPr>
              <w:t xml:space="preserve">Class </w:t>
            </w:r>
            <w:r>
              <w:rPr>
                <w:rFonts w:hint="eastAsia" w:ascii="Arial" w:hAnsi="Arial" w:cs="Arial"/>
                <w:b/>
                <w:sz w:val="24"/>
              </w:rPr>
              <w:t>&amp;</w:t>
            </w:r>
            <w:r>
              <w:rPr>
                <w:rFonts w:ascii="Arial" w:hAnsi="Arial" w:cs="Arial"/>
                <w:b/>
                <w:sz w:val="24"/>
              </w:rPr>
              <w:t xml:space="preserve"> </w:t>
            </w:r>
            <w:r>
              <w:rPr>
                <w:rFonts w:hint="eastAsia" w:ascii="Arial" w:hAnsi="Arial" w:cs="Arial"/>
                <w:b/>
                <w:sz w:val="24"/>
              </w:rPr>
              <w:t>Group</w:t>
            </w:r>
          </w:p>
        </w:tc>
        <w:tc>
          <w:tcPr>
            <w:tcW w:w="1789" w:type="dxa"/>
            <w:vAlign w:val="center"/>
          </w:tcPr>
          <w:p w14:paraId="5AAAF57D">
            <w:pPr>
              <w:rPr>
                <w:rFonts w:ascii="Arial" w:hAnsi="Arial" w:cs="Arial"/>
                <w:bCs/>
                <w:sz w:val="24"/>
              </w:rPr>
            </w:pPr>
            <w:r>
              <w:rPr>
                <w:rFonts w:hint="eastAsia" w:ascii="Arial" w:hAnsi="Arial" w:cs="Arial"/>
                <w:bCs/>
                <w:sz w:val="24"/>
              </w:rPr>
              <w:t>EAP</w:t>
            </w:r>
            <w:r>
              <w:rPr>
                <w:rFonts w:ascii="Arial" w:hAnsi="Arial" w:cs="Arial"/>
                <w:bCs/>
                <w:sz w:val="24"/>
              </w:rPr>
              <w:t>-</w:t>
            </w:r>
            <w:r>
              <w:rPr>
                <w:rFonts w:hint="eastAsia" w:ascii="Arial" w:hAnsi="Arial" w:cs="Arial"/>
                <w:bCs/>
                <w:sz w:val="24"/>
              </w:rPr>
              <w:t>28 Group</w:t>
            </w:r>
            <w:r>
              <w:rPr>
                <w:rFonts w:ascii="Arial" w:hAnsi="Arial" w:cs="Arial"/>
                <w:bCs/>
                <w:sz w:val="24"/>
              </w:rPr>
              <w:t>-6</w:t>
            </w:r>
          </w:p>
        </w:tc>
        <w:tc>
          <w:tcPr>
            <w:tcW w:w="1701" w:type="dxa"/>
            <w:vAlign w:val="center"/>
          </w:tcPr>
          <w:p w14:paraId="6B989041">
            <w:pPr>
              <w:rPr>
                <w:rFonts w:ascii="Arial" w:hAnsi="Arial" w:cs="Arial"/>
                <w:b/>
                <w:sz w:val="24"/>
              </w:rPr>
            </w:pPr>
            <w:r>
              <w:rPr>
                <w:rFonts w:hint="eastAsia" w:ascii="Arial" w:hAnsi="Arial" w:cs="Arial"/>
                <w:b/>
                <w:sz w:val="24"/>
              </w:rPr>
              <w:t>Group</w:t>
            </w:r>
            <w:r>
              <w:rPr>
                <w:rFonts w:ascii="Arial" w:hAnsi="Arial" w:cs="Arial"/>
                <w:b/>
                <w:sz w:val="24"/>
              </w:rPr>
              <w:t xml:space="preserve"> </w:t>
            </w:r>
            <w:r>
              <w:rPr>
                <w:rFonts w:hint="eastAsia" w:ascii="Arial" w:hAnsi="Arial" w:cs="Arial"/>
                <w:b/>
                <w:sz w:val="24"/>
              </w:rPr>
              <w:t>Member</w:t>
            </w:r>
            <w:r>
              <w:rPr>
                <w:rFonts w:ascii="Arial" w:hAnsi="Arial" w:cs="Arial"/>
                <w:b/>
                <w:sz w:val="24"/>
              </w:rPr>
              <w:t>s</w:t>
            </w:r>
          </w:p>
        </w:tc>
        <w:tc>
          <w:tcPr>
            <w:tcW w:w="3436" w:type="dxa"/>
            <w:vAlign w:val="center"/>
          </w:tcPr>
          <w:p w14:paraId="6803285F">
            <w:pPr>
              <w:rPr>
                <w:rFonts w:ascii="Arial" w:hAnsi="Arial" w:cs="Arial"/>
                <w:bCs/>
                <w:sz w:val="24"/>
              </w:rPr>
            </w:pPr>
            <w:r>
              <w:rPr>
                <w:rFonts w:ascii="Arial" w:hAnsi="Arial" w:cs="Arial"/>
                <w:bCs/>
                <w:sz w:val="24"/>
              </w:rPr>
              <w:t>12311410</w:t>
            </w:r>
          </w:p>
          <w:p w14:paraId="2F1613C5">
            <w:pPr>
              <w:rPr>
                <w:rFonts w:ascii="Arial" w:hAnsi="Arial" w:cs="Arial"/>
                <w:bCs/>
                <w:sz w:val="24"/>
              </w:rPr>
            </w:pPr>
            <w:r>
              <w:rPr>
                <w:rFonts w:ascii="Arial" w:hAnsi="Arial" w:cs="Arial"/>
                <w:bCs/>
                <w:sz w:val="24"/>
              </w:rPr>
              <w:t>12313329</w:t>
            </w:r>
          </w:p>
          <w:p w14:paraId="56E2F144">
            <w:pPr>
              <w:rPr>
                <w:rFonts w:ascii="Arial" w:hAnsi="Arial" w:cs="Arial"/>
                <w:b/>
                <w:sz w:val="24"/>
              </w:rPr>
            </w:pPr>
            <w:r>
              <w:rPr>
                <w:rFonts w:ascii="Arial" w:hAnsi="Arial" w:cs="Arial"/>
                <w:bCs/>
                <w:sz w:val="24"/>
              </w:rPr>
              <w:t>12311225</w:t>
            </w:r>
          </w:p>
        </w:tc>
      </w:tr>
      <w:tr w14:paraId="4E19C638">
        <w:trPr>
          <w:trHeight w:val="770" w:hRule="atLeast"/>
          <w:jc w:val="center"/>
        </w:trPr>
        <w:tc>
          <w:tcPr>
            <w:tcW w:w="1750" w:type="dxa"/>
            <w:vAlign w:val="center"/>
          </w:tcPr>
          <w:p w14:paraId="7476DA5E">
            <w:pPr>
              <w:spacing w:before="93" w:beforeLines="30" w:after="93" w:afterLines="30"/>
              <w:jc w:val="left"/>
              <w:rPr>
                <w:rFonts w:ascii="Arial" w:hAnsi="Arial" w:cs="Arial"/>
                <w:b/>
                <w:sz w:val="24"/>
              </w:rPr>
            </w:pPr>
            <w:r>
              <w:rPr>
                <w:rFonts w:hint="eastAsia" w:ascii="Arial" w:hAnsi="Arial" w:cs="Arial"/>
                <w:b/>
                <w:sz w:val="24"/>
              </w:rPr>
              <w:t>Topic</w:t>
            </w:r>
          </w:p>
        </w:tc>
        <w:tc>
          <w:tcPr>
            <w:tcW w:w="6926" w:type="dxa"/>
            <w:gridSpan w:val="3"/>
            <w:vAlign w:val="center"/>
          </w:tcPr>
          <w:p w14:paraId="0EA43F36">
            <w:pPr>
              <w:spacing w:before="93" w:beforeLines="30" w:after="93" w:afterLines="30"/>
              <w:rPr>
                <w:rFonts w:hint="eastAsia" w:ascii="Arial" w:hAnsi="Arial" w:cs="Arial"/>
                <w:bCs/>
                <w:sz w:val="24"/>
              </w:rPr>
            </w:pPr>
            <w:r>
              <w:rPr>
                <w:rFonts w:ascii="Arial" w:hAnsi="Arial" w:cs="Arial"/>
                <w:bCs/>
                <w:sz w:val="24"/>
              </w:rPr>
              <w:t>Big data analytics tools have become essential for crafting systematic strategies.</w:t>
            </w:r>
          </w:p>
        </w:tc>
      </w:tr>
      <w:tr w14:paraId="1DA5FD1C">
        <w:trPr>
          <w:cantSplit/>
          <w:trHeight w:val="694" w:hRule="atLeast"/>
          <w:jc w:val="center"/>
        </w:trPr>
        <w:tc>
          <w:tcPr>
            <w:tcW w:w="1750" w:type="dxa"/>
            <w:vAlign w:val="center"/>
          </w:tcPr>
          <w:p w14:paraId="4DD636BF">
            <w:pPr>
              <w:spacing w:before="93" w:beforeLines="30" w:after="93" w:afterLines="30"/>
              <w:jc w:val="left"/>
              <w:rPr>
                <w:rFonts w:ascii="Arial" w:hAnsi="Arial" w:cs="Arial"/>
                <w:b/>
                <w:sz w:val="24"/>
              </w:rPr>
            </w:pPr>
            <w:r>
              <w:rPr>
                <w:rFonts w:ascii="Arial" w:hAnsi="Arial" w:cs="Arial"/>
                <w:b/>
                <w:sz w:val="24"/>
              </w:rPr>
              <w:t>Keywords</w:t>
            </w:r>
          </w:p>
        </w:tc>
        <w:tc>
          <w:tcPr>
            <w:tcW w:w="6926" w:type="dxa"/>
            <w:gridSpan w:val="3"/>
            <w:vAlign w:val="center"/>
          </w:tcPr>
          <w:p w14:paraId="3075435C">
            <w:pPr>
              <w:spacing w:before="93" w:beforeLines="30" w:after="93" w:afterLines="30"/>
              <w:rPr>
                <w:rFonts w:ascii="Arial" w:hAnsi="Arial" w:cs="Arial"/>
                <w:bCs/>
                <w:sz w:val="24"/>
              </w:rPr>
            </w:pPr>
            <w:r>
              <w:rPr>
                <w:rFonts w:ascii="Arial" w:hAnsi="Arial" w:cs="Arial"/>
                <w:bCs/>
                <w:sz w:val="24"/>
              </w:rPr>
              <w:t>Data Science, Optimization, Strategic Planning</w:t>
            </w:r>
          </w:p>
        </w:tc>
      </w:tr>
      <w:tr w14:paraId="7C7C5E9C">
        <w:trPr>
          <w:cantSplit/>
          <w:trHeight w:val="850" w:hRule="atLeast"/>
          <w:jc w:val="center"/>
        </w:trPr>
        <w:tc>
          <w:tcPr>
            <w:tcW w:w="1750" w:type="dxa"/>
            <w:vAlign w:val="center"/>
          </w:tcPr>
          <w:p w14:paraId="03EBE91A">
            <w:pPr>
              <w:spacing w:before="93" w:beforeLines="30" w:after="93" w:afterLines="30"/>
              <w:jc w:val="left"/>
              <w:rPr>
                <w:rFonts w:ascii="Arial" w:hAnsi="Arial" w:cs="Arial"/>
                <w:b/>
                <w:sz w:val="24"/>
              </w:rPr>
            </w:pPr>
            <w:r>
              <w:rPr>
                <w:rFonts w:hint="eastAsia" w:ascii="Arial" w:hAnsi="Arial" w:cs="Arial"/>
                <w:b/>
                <w:sz w:val="24"/>
              </w:rPr>
              <w:t>Related</w:t>
            </w:r>
            <w:r>
              <w:rPr>
                <w:rFonts w:ascii="Arial" w:hAnsi="Arial" w:cs="Arial"/>
                <w:b/>
                <w:sz w:val="24"/>
              </w:rPr>
              <w:t xml:space="preserve"> Words</w:t>
            </w:r>
          </w:p>
        </w:tc>
        <w:tc>
          <w:tcPr>
            <w:tcW w:w="6926" w:type="dxa"/>
            <w:gridSpan w:val="3"/>
            <w:vAlign w:val="center"/>
          </w:tcPr>
          <w:p w14:paraId="638DAF51">
            <w:pPr>
              <w:spacing w:before="93" w:beforeLines="30" w:after="93" w:afterLines="30"/>
              <w:rPr>
                <w:rFonts w:ascii="Arial" w:hAnsi="Arial" w:cs="Arial"/>
                <w:bCs/>
                <w:sz w:val="24"/>
              </w:rPr>
            </w:pPr>
            <w:r>
              <w:rPr>
                <w:rFonts w:ascii="Arial" w:hAnsi="Arial" w:cs="Arial"/>
                <w:bCs/>
                <w:sz w:val="24"/>
              </w:rPr>
              <w:t>Data Science: Data Analytics, Machine Learning, Big Data, Data Mining</w:t>
            </w:r>
          </w:p>
          <w:p w14:paraId="105E1DAD">
            <w:pPr>
              <w:spacing w:before="93" w:beforeLines="30" w:after="93" w:afterLines="30"/>
              <w:rPr>
                <w:rFonts w:ascii="Arial" w:hAnsi="Arial" w:cs="Arial"/>
                <w:bCs/>
                <w:sz w:val="24"/>
              </w:rPr>
            </w:pPr>
            <w:r>
              <w:rPr>
                <w:rFonts w:ascii="Arial" w:hAnsi="Arial" w:cs="Arial"/>
                <w:bCs/>
                <w:sz w:val="24"/>
              </w:rPr>
              <w:t>Optimization: Predictive Analytics</w:t>
            </w:r>
          </w:p>
          <w:p w14:paraId="0C5A3A54">
            <w:pPr>
              <w:spacing w:before="93" w:beforeLines="30" w:after="93" w:afterLines="30"/>
              <w:rPr>
                <w:rFonts w:ascii="Arial" w:hAnsi="Arial" w:cs="Arial"/>
                <w:bCs/>
                <w:sz w:val="24"/>
              </w:rPr>
            </w:pPr>
            <w:r>
              <w:rPr>
                <w:rFonts w:ascii="Arial" w:hAnsi="Arial" w:cs="Arial"/>
                <w:bCs/>
                <w:sz w:val="24"/>
              </w:rPr>
              <w:t>Strategic Planning: Business Strategy, Business Intelligence, Business Insight</w:t>
            </w:r>
          </w:p>
        </w:tc>
      </w:tr>
      <w:tr w14:paraId="6C2380F9">
        <w:trPr>
          <w:cantSplit/>
          <w:trHeight w:val="1134" w:hRule="atLeast"/>
          <w:jc w:val="center"/>
        </w:trPr>
        <w:tc>
          <w:tcPr>
            <w:tcW w:w="1750" w:type="dxa"/>
            <w:vAlign w:val="center"/>
          </w:tcPr>
          <w:p w14:paraId="4A468C6B">
            <w:pPr>
              <w:spacing w:before="93" w:beforeLines="30" w:after="93" w:afterLines="30"/>
              <w:jc w:val="left"/>
              <w:rPr>
                <w:rFonts w:ascii="Arial" w:hAnsi="Arial" w:cs="Arial"/>
                <w:b/>
                <w:sz w:val="24"/>
              </w:rPr>
            </w:pPr>
            <w:r>
              <w:rPr>
                <w:rFonts w:hint="eastAsia" w:ascii="Arial" w:hAnsi="Arial" w:cs="Arial"/>
                <w:b/>
                <w:sz w:val="24"/>
              </w:rPr>
              <w:t>Search</w:t>
            </w:r>
            <w:r>
              <w:rPr>
                <w:rFonts w:ascii="Arial" w:hAnsi="Arial" w:cs="Arial"/>
                <w:b/>
                <w:sz w:val="24"/>
              </w:rPr>
              <w:t xml:space="preserve"> </w:t>
            </w:r>
            <w:r>
              <w:rPr>
                <w:rFonts w:hint="eastAsia" w:ascii="Arial" w:hAnsi="Arial" w:cs="Arial"/>
                <w:b/>
                <w:sz w:val="24"/>
              </w:rPr>
              <w:t>Strategy</w:t>
            </w:r>
            <w:r>
              <w:rPr>
                <w:rFonts w:ascii="Arial" w:hAnsi="Arial" w:cs="Arial"/>
                <w:b/>
                <w:sz w:val="24"/>
              </w:rPr>
              <w:t xml:space="preserve"> </w:t>
            </w:r>
            <w:r>
              <w:rPr>
                <w:rFonts w:hint="eastAsia" w:ascii="Arial" w:hAnsi="Arial" w:cs="Arial"/>
                <w:b/>
                <w:sz w:val="24"/>
              </w:rPr>
              <w:t>(Search</w:t>
            </w:r>
            <w:r>
              <w:rPr>
                <w:rFonts w:ascii="Arial" w:hAnsi="Arial" w:cs="Arial"/>
                <w:b/>
                <w:sz w:val="24"/>
              </w:rPr>
              <w:t xml:space="preserve"> Query)</w:t>
            </w:r>
          </w:p>
        </w:tc>
        <w:tc>
          <w:tcPr>
            <w:tcW w:w="6926" w:type="dxa"/>
            <w:gridSpan w:val="3"/>
          </w:tcPr>
          <w:p w14:paraId="6EEC4659">
            <w:pPr>
              <w:spacing w:before="93" w:beforeLines="30" w:after="93" w:afterLines="30"/>
              <w:rPr>
                <w:bCs/>
              </w:rPr>
            </w:pPr>
            <w:r>
              <w:rPr>
                <w:rFonts w:hint="eastAsia" w:ascii="Arial" w:hAnsi="Arial" w:cs="Arial"/>
                <w:bCs/>
                <w:sz w:val="24"/>
              </w:rPr>
              <w:t>Search</w:t>
            </w:r>
            <w:r>
              <w:rPr>
                <w:rFonts w:ascii="Arial" w:hAnsi="Arial" w:cs="Arial"/>
                <w:bCs/>
                <w:sz w:val="24"/>
              </w:rPr>
              <w:t xml:space="preserve"> Query:</w:t>
            </w:r>
            <w:r>
              <w:rPr>
                <w:bCs/>
              </w:rPr>
              <w:t xml:space="preserve"> </w:t>
            </w:r>
          </w:p>
          <w:p w14:paraId="0F85C78E">
            <w:pPr>
              <w:spacing w:before="93" w:beforeLines="30" w:after="93" w:afterLines="30"/>
              <w:rPr>
                <w:rFonts w:ascii="Arial" w:hAnsi="Arial" w:cs="Arial"/>
                <w:bCs/>
                <w:sz w:val="24"/>
              </w:rPr>
            </w:pPr>
            <w:r>
              <w:rPr>
                <w:rFonts w:ascii="Arial" w:hAnsi="Arial" w:cs="Arial"/>
                <w:bCs/>
                <w:sz w:val="24"/>
              </w:rPr>
              <w:t>title("Data Science" OR "Data Analytics" OR "Machine Learning" OR "Big Data" OR ("Data Mining")) AND title("Optimization" OR "Predictive Analytics") AND fulltext("Business Strategy" OR "Strategic Planning" OR "Business Intelligence" OR "Business Insight")</w:t>
            </w:r>
          </w:p>
          <w:p w14:paraId="1A454E88">
            <w:pPr>
              <w:spacing w:before="93" w:beforeLines="30" w:after="93" w:afterLines="30"/>
              <w:rPr>
                <w:rFonts w:ascii="Arial" w:hAnsi="Arial" w:cs="Arial"/>
                <w:bCs/>
                <w:sz w:val="24"/>
              </w:rPr>
            </w:pPr>
          </w:p>
          <w:p w14:paraId="5FE835EE">
            <w:pPr>
              <w:spacing w:before="93" w:beforeLines="30" w:after="93" w:afterLines="30"/>
              <w:rPr>
                <w:rFonts w:ascii="Arial" w:hAnsi="Arial" w:cs="Arial"/>
                <w:bCs/>
                <w:sz w:val="24"/>
              </w:rPr>
            </w:pPr>
            <w:r>
              <w:rPr>
                <w:rFonts w:hint="eastAsia" w:ascii="Arial" w:hAnsi="Arial" w:cs="Arial"/>
                <w:bCs/>
                <w:sz w:val="24"/>
              </w:rPr>
              <w:t>Search</w:t>
            </w:r>
            <w:r>
              <w:rPr>
                <w:rFonts w:ascii="Arial" w:hAnsi="Arial" w:cs="Arial"/>
                <w:bCs/>
                <w:sz w:val="24"/>
              </w:rPr>
              <w:t xml:space="preserve"> Field: </w:t>
            </w:r>
          </w:p>
          <w:p w14:paraId="6FE276DE">
            <w:pPr>
              <w:spacing w:before="93" w:beforeLines="30" w:after="93" w:afterLines="30"/>
              <w:rPr>
                <w:rFonts w:ascii="Arial" w:hAnsi="Arial" w:cs="Arial"/>
                <w:bCs/>
                <w:sz w:val="24"/>
              </w:rPr>
            </w:pPr>
            <w:r>
              <w:rPr>
                <w:rFonts w:ascii="Arial" w:hAnsi="Arial" w:cs="Arial"/>
                <w:bCs/>
                <w:sz w:val="24"/>
              </w:rPr>
              <w:t>as shown above</w:t>
            </w:r>
          </w:p>
          <w:p w14:paraId="674D0EC0">
            <w:pPr>
              <w:spacing w:before="93" w:beforeLines="30" w:after="93" w:afterLines="30"/>
              <w:rPr>
                <w:rFonts w:ascii="Arial" w:hAnsi="Arial" w:cs="Arial"/>
                <w:bCs/>
                <w:sz w:val="24"/>
              </w:rPr>
            </w:pPr>
          </w:p>
          <w:p w14:paraId="7797A312">
            <w:pPr>
              <w:spacing w:before="93" w:beforeLines="30" w:after="93" w:afterLines="30"/>
              <w:rPr>
                <w:rFonts w:ascii="Arial" w:hAnsi="Arial" w:cs="Arial"/>
                <w:bCs/>
                <w:sz w:val="24"/>
              </w:rPr>
            </w:pPr>
            <w:r>
              <w:rPr>
                <w:rFonts w:ascii="Arial" w:hAnsi="Arial" w:cs="Arial"/>
                <w:bCs/>
                <w:sz w:val="24"/>
              </w:rPr>
              <w:t xml:space="preserve">Limiters: </w:t>
            </w:r>
          </w:p>
          <w:p w14:paraId="5DF71D14">
            <w:pPr>
              <w:spacing w:before="93" w:beforeLines="30" w:after="93" w:afterLines="30"/>
              <w:rPr>
                <w:rFonts w:ascii="Arial" w:hAnsi="Arial" w:cs="Arial"/>
                <w:bCs/>
                <w:sz w:val="24"/>
              </w:rPr>
            </w:pPr>
            <w:r>
              <w:rPr>
                <w:rFonts w:ascii="Arial" w:hAnsi="Arial" w:cs="Arial"/>
                <w:bCs/>
                <w:sz w:val="24"/>
              </w:rPr>
              <w:t xml:space="preserve">Full Text, Peer Reviewed, </w:t>
            </w:r>
            <w:r>
              <w:rPr>
                <w:rFonts w:hint="eastAsia" w:ascii="Arial" w:hAnsi="Arial" w:cs="Arial"/>
                <w:bCs/>
                <w:sz w:val="24"/>
              </w:rPr>
              <w:t>P</w:t>
            </w:r>
            <w:r>
              <w:rPr>
                <w:rFonts w:ascii="Arial" w:hAnsi="Arial" w:cs="Arial"/>
                <w:bCs/>
                <w:sz w:val="24"/>
              </w:rPr>
              <w:t>ublication Date: 20150101-20251231</w:t>
            </w:r>
            <w:bookmarkStart w:id="0" w:name="_GoBack"/>
            <w:bookmarkEnd w:id="0"/>
          </w:p>
        </w:tc>
      </w:tr>
      <w:tr w14:paraId="069B116A">
        <w:trPr>
          <w:cantSplit/>
          <w:trHeight w:val="555" w:hRule="atLeast"/>
          <w:jc w:val="center"/>
        </w:trPr>
        <w:tc>
          <w:tcPr>
            <w:tcW w:w="1750" w:type="dxa"/>
            <w:vAlign w:val="center"/>
          </w:tcPr>
          <w:p w14:paraId="2917C233">
            <w:pPr>
              <w:spacing w:before="93" w:beforeLines="30" w:after="93" w:afterLines="30"/>
              <w:jc w:val="left"/>
              <w:rPr>
                <w:rFonts w:ascii="Arial" w:hAnsi="Arial" w:cs="Arial"/>
                <w:b/>
                <w:sz w:val="24"/>
              </w:rPr>
            </w:pPr>
            <w:r>
              <w:rPr>
                <w:rFonts w:hint="eastAsia" w:ascii="Arial" w:hAnsi="Arial" w:cs="Arial"/>
                <w:b/>
                <w:sz w:val="24"/>
              </w:rPr>
              <w:t>D</w:t>
            </w:r>
            <w:r>
              <w:rPr>
                <w:rFonts w:ascii="Arial" w:hAnsi="Arial" w:cs="Arial"/>
                <w:b/>
                <w:sz w:val="24"/>
              </w:rPr>
              <w:t>atabases</w:t>
            </w:r>
          </w:p>
        </w:tc>
        <w:tc>
          <w:tcPr>
            <w:tcW w:w="6926" w:type="dxa"/>
            <w:gridSpan w:val="3"/>
            <w:vAlign w:val="center"/>
          </w:tcPr>
          <w:p w14:paraId="66923958">
            <w:pPr>
              <w:spacing w:before="93" w:beforeLines="30" w:after="93" w:afterLines="30"/>
              <w:jc w:val="left"/>
              <w:rPr>
                <w:rFonts w:ascii="Arial" w:hAnsi="Arial" w:cs="Arial"/>
                <w:bCs/>
                <w:sz w:val="24"/>
              </w:rPr>
            </w:pPr>
            <w:r>
              <w:rPr>
                <w:rFonts w:ascii="Arial" w:hAnsi="Arial" w:cs="Arial"/>
                <w:bCs/>
                <w:sz w:val="24"/>
              </w:rPr>
              <w:t>ProQuest</w:t>
            </w:r>
          </w:p>
        </w:tc>
      </w:tr>
      <w:tr w14:paraId="19AB7B42">
        <w:trPr>
          <w:cantSplit/>
          <w:trHeight w:val="622" w:hRule="atLeast"/>
          <w:jc w:val="center"/>
        </w:trPr>
        <w:tc>
          <w:tcPr>
            <w:tcW w:w="1750" w:type="dxa"/>
            <w:vAlign w:val="center"/>
          </w:tcPr>
          <w:p w14:paraId="05F7B38D">
            <w:pPr>
              <w:spacing w:before="93" w:beforeLines="30" w:after="93" w:afterLines="30"/>
              <w:jc w:val="left"/>
              <w:rPr>
                <w:rFonts w:ascii="Arial" w:hAnsi="Arial" w:cs="Arial"/>
                <w:b/>
                <w:sz w:val="24"/>
              </w:rPr>
            </w:pPr>
            <w:r>
              <w:rPr>
                <w:rFonts w:hint="eastAsia" w:ascii="Arial" w:hAnsi="Arial" w:cs="Arial"/>
                <w:b/>
                <w:sz w:val="24"/>
              </w:rPr>
              <w:t>R</w:t>
            </w:r>
            <w:r>
              <w:rPr>
                <w:rFonts w:ascii="Arial" w:hAnsi="Arial" w:cs="Arial"/>
                <w:b/>
                <w:sz w:val="24"/>
              </w:rPr>
              <w:t>esults</w:t>
            </w:r>
            <w:r>
              <w:rPr>
                <w:rFonts w:hint="eastAsia" w:ascii="Arial" w:hAnsi="Arial" w:cs="Arial"/>
                <w:b/>
                <w:sz w:val="24"/>
              </w:rPr>
              <w:t>（</w:t>
            </w:r>
            <w:r>
              <w:rPr>
                <w:rFonts w:ascii="Arial" w:hAnsi="Arial" w:cs="Arial"/>
                <w:b/>
                <w:sz w:val="24"/>
              </w:rPr>
              <w:t>L</w:t>
            </w:r>
            <w:r>
              <w:rPr>
                <w:rFonts w:hint="eastAsia" w:ascii="Arial" w:hAnsi="Arial" w:cs="Arial"/>
                <w:b/>
                <w:sz w:val="24"/>
              </w:rPr>
              <w:t>ess</w:t>
            </w:r>
            <w:r>
              <w:rPr>
                <w:rFonts w:ascii="Arial" w:hAnsi="Arial" w:cs="Arial"/>
                <w:b/>
                <w:sz w:val="24"/>
              </w:rPr>
              <w:t xml:space="preserve"> than </w:t>
            </w:r>
            <w:r>
              <w:rPr>
                <w:rFonts w:hint="eastAsia" w:ascii="Arial" w:hAnsi="Arial" w:cs="Arial"/>
                <w:b/>
                <w:sz w:val="24"/>
              </w:rPr>
              <w:t>2</w:t>
            </w:r>
            <w:r>
              <w:rPr>
                <w:rFonts w:ascii="Arial" w:hAnsi="Arial" w:cs="Arial"/>
                <w:b/>
                <w:sz w:val="24"/>
              </w:rPr>
              <w:t>00</w:t>
            </w:r>
            <w:r>
              <w:rPr>
                <w:rFonts w:hint="eastAsia" w:ascii="Arial" w:hAnsi="Arial" w:cs="Arial"/>
                <w:b/>
                <w:sz w:val="24"/>
              </w:rPr>
              <w:t>）</w:t>
            </w:r>
          </w:p>
        </w:tc>
        <w:tc>
          <w:tcPr>
            <w:tcW w:w="6926" w:type="dxa"/>
            <w:gridSpan w:val="3"/>
            <w:vAlign w:val="center"/>
          </w:tcPr>
          <w:p w14:paraId="0AAFE9DD">
            <w:pPr>
              <w:spacing w:before="93" w:beforeLines="30" w:after="93" w:afterLines="30"/>
              <w:jc w:val="left"/>
              <w:rPr>
                <w:rFonts w:ascii="Arial" w:hAnsi="Arial" w:cs="Arial"/>
                <w:bCs/>
                <w:sz w:val="24"/>
              </w:rPr>
            </w:pPr>
            <w:r>
              <w:rPr>
                <w:rFonts w:ascii="Arial" w:hAnsi="Arial" w:cs="Arial"/>
                <w:bCs/>
                <w:sz w:val="24"/>
              </w:rPr>
              <w:t>76 (until 6</w:t>
            </w:r>
            <w:r>
              <w:rPr>
                <w:rFonts w:ascii="Arial" w:hAnsi="Arial" w:cs="Arial"/>
                <w:bCs/>
                <w:sz w:val="24"/>
                <w:vertAlign w:val="superscript"/>
              </w:rPr>
              <w:t>th</w:t>
            </w:r>
            <w:r>
              <w:rPr>
                <w:rFonts w:ascii="Arial" w:hAnsi="Arial" w:cs="Arial"/>
                <w:bCs/>
                <w:sz w:val="24"/>
              </w:rPr>
              <w:t xml:space="preserve"> March, 2025)</w:t>
            </w:r>
          </w:p>
        </w:tc>
      </w:tr>
      <w:tr w14:paraId="412B5592">
        <w:trPr>
          <w:trHeight w:val="5519" w:hRule="atLeast"/>
          <w:jc w:val="center"/>
        </w:trPr>
        <w:tc>
          <w:tcPr>
            <w:tcW w:w="1750" w:type="dxa"/>
            <w:vAlign w:val="center"/>
          </w:tcPr>
          <w:p w14:paraId="574C1B0F">
            <w:pPr>
              <w:jc w:val="left"/>
              <w:rPr>
                <w:rFonts w:ascii="Arial" w:hAnsi="Arial" w:cs="Arial"/>
                <w:b/>
                <w:sz w:val="24"/>
              </w:rPr>
            </w:pPr>
            <w:r>
              <w:rPr>
                <w:rFonts w:ascii="Arial" w:hAnsi="Arial" w:cs="Arial"/>
                <w:b/>
                <w:sz w:val="24"/>
              </w:rPr>
              <w:t>Bibliographic information of related articles</w:t>
            </w:r>
          </w:p>
          <w:p w14:paraId="62A460C0">
            <w:pPr>
              <w:jc w:val="left"/>
              <w:rPr>
                <w:rFonts w:ascii="Arial" w:hAnsi="Arial" w:cs="Arial"/>
                <w:b/>
                <w:sz w:val="24"/>
              </w:rPr>
            </w:pPr>
            <w:r>
              <w:rPr>
                <w:rFonts w:ascii="Arial" w:hAnsi="Arial" w:cs="Arial"/>
                <w:b/>
                <w:sz w:val="24"/>
              </w:rPr>
              <w:t xml:space="preserve"> </w:t>
            </w:r>
            <w:r>
              <w:rPr>
                <w:rFonts w:hint="eastAsia" w:ascii="Arial" w:hAnsi="Arial" w:cs="Arial"/>
                <w:b/>
                <w:sz w:val="24"/>
              </w:rPr>
              <w:t>(</w:t>
            </w:r>
            <w:r>
              <w:rPr>
                <w:rFonts w:ascii="Arial" w:hAnsi="Arial" w:cs="Arial"/>
                <w:b/>
                <w:sz w:val="24"/>
              </w:rPr>
              <w:t>At least 5)</w:t>
            </w:r>
          </w:p>
        </w:tc>
        <w:tc>
          <w:tcPr>
            <w:tcW w:w="6926" w:type="dxa"/>
            <w:gridSpan w:val="3"/>
          </w:tcPr>
          <w:p w14:paraId="2774FBBF">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Bradlow, E. T., Gangwar, M., Kopalle, P., &amp; Voleti, S. (2017). The Role of Big Data and Predictive Analytics in Retailing.</w:t>
            </w:r>
            <w:r>
              <w:rPr>
                <w:rStyle w:val="20"/>
                <w:rFonts w:ascii="Verdana" w:hAnsi="Verdana"/>
                <w:i/>
                <w:iCs/>
                <w:color w:val="555555"/>
                <w:sz w:val="18"/>
                <w:szCs w:val="18"/>
              </w:rPr>
              <w:t> </w:t>
            </w:r>
            <w:r>
              <w:rPr>
                <w:rFonts w:ascii="Verdana" w:hAnsi="Verdana"/>
                <w:i/>
                <w:iCs/>
                <w:color w:val="555555"/>
                <w:sz w:val="18"/>
                <w:szCs w:val="18"/>
              </w:rPr>
              <w:t>Journal of Retailing,</w:t>
            </w:r>
            <w:r>
              <w:rPr>
                <w:rStyle w:val="20"/>
                <w:rFonts w:ascii="Verdana" w:hAnsi="Verdana"/>
                <w:i/>
                <w:iCs/>
                <w:color w:val="555555"/>
                <w:sz w:val="18"/>
                <w:szCs w:val="18"/>
              </w:rPr>
              <w:t> </w:t>
            </w:r>
            <w:r>
              <w:rPr>
                <w:rFonts w:ascii="Verdana" w:hAnsi="Verdana"/>
                <w:i/>
                <w:iCs/>
                <w:color w:val="555555"/>
                <w:sz w:val="18"/>
                <w:szCs w:val="18"/>
              </w:rPr>
              <w:t>93</w:t>
            </w:r>
            <w:r>
              <w:rPr>
                <w:rFonts w:ascii="Verdana" w:hAnsi="Verdana"/>
                <w:color w:val="555555"/>
                <w:sz w:val="18"/>
                <w:szCs w:val="18"/>
                <w:shd w:val="clear" w:color="auto" w:fill="FFFFFF"/>
              </w:rPr>
              <w:t xml:space="preserve">(1), 79-95. </w:t>
            </w:r>
            <w:r>
              <w:fldChar w:fldCharType="begin"/>
            </w:r>
            <w:r>
              <w:instrText xml:space="preserve"> HYPERLINK "https://doi.org/10.1016/j.jretai.2016.12.004" </w:instrText>
            </w:r>
            <w:r>
              <w:fldChar w:fldCharType="separate"/>
            </w:r>
            <w:r>
              <w:rPr>
                <w:rStyle w:val="9"/>
                <w:rFonts w:ascii="Verdana" w:hAnsi="Verdana"/>
                <w:sz w:val="18"/>
                <w:szCs w:val="18"/>
                <w:shd w:val="clear" w:color="auto" w:fill="FFFFFF"/>
              </w:rPr>
              <w:t>https://doi.org/10.1016/j.jretai.2016.12.004</w:t>
            </w:r>
            <w:r>
              <w:rPr>
                <w:rStyle w:val="9"/>
                <w:rFonts w:ascii="Verdana" w:hAnsi="Verdana"/>
                <w:sz w:val="18"/>
                <w:szCs w:val="18"/>
                <w:shd w:val="clear" w:color="auto" w:fill="FFFFFF"/>
              </w:rPr>
              <w:fldChar w:fldCharType="end"/>
            </w:r>
          </w:p>
          <w:p w14:paraId="36D15CFB">
            <w:pPr>
              <w:jc w:val="left"/>
              <w:rPr>
                <w:rFonts w:ascii="Verdana" w:hAnsi="Verdana"/>
                <w:color w:val="555555"/>
                <w:sz w:val="18"/>
                <w:szCs w:val="18"/>
                <w:shd w:val="clear" w:color="auto" w:fill="FFFFFF"/>
              </w:rPr>
            </w:pPr>
          </w:p>
          <w:p w14:paraId="488B845F">
            <w:pPr>
              <w:jc w:val="left"/>
              <w:rPr>
                <w:rFonts w:ascii="Verdana" w:hAnsi="Verdana"/>
                <w:color w:val="555555"/>
                <w:sz w:val="18"/>
                <w:szCs w:val="18"/>
                <w:shd w:val="clear" w:color="auto" w:fill="FFFFFF"/>
              </w:rPr>
            </w:pPr>
          </w:p>
          <w:p w14:paraId="4A75733A">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Chen, Y., Li, C., &amp; Wang, H. (2022). Big Data and Predictive Analytics for Business Intelligence: A Bibliographic Study (2000–2021).</w:t>
            </w:r>
            <w:r>
              <w:rPr>
                <w:rStyle w:val="20"/>
                <w:rFonts w:ascii="Verdana" w:hAnsi="Verdana"/>
                <w:i/>
                <w:iCs/>
                <w:color w:val="555555"/>
                <w:sz w:val="18"/>
                <w:szCs w:val="18"/>
              </w:rPr>
              <w:t> </w:t>
            </w:r>
            <w:r>
              <w:rPr>
                <w:rFonts w:ascii="Verdana" w:hAnsi="Verdana"/>
                <w:i/>
                <w:iCs/>
                <w:color w:val="555555"/>
                <w:sz w:val="18"/>
                <w:szCs w:val="18"/>
              </w:rPr>
              <w:t>Forecasting,</w:t>
            </w:r>
            <w:r>
              <w:rPr>
                <w:rStyle w:val="20"/>
                <w:rFonts w:ascii="Verdana" w:hAnsi="Verdana"/>
                <w:i/>
                <w:iCs/>
                <w:color w:val="555555"/>
                <w:sz w:val="18"/>
                <w:szCs w:val="18"/>
              </w:rPr>
              <w:t> </w:t>
            </w:r>
            <w:r>
              <w:rPr>
                <w:rFonts w:ascii="Verdana" w:hAnsi="Verdana"/>
                <w:i/>
                <w:iCs/>
                <w:color w:val="555555"/>
                <w:sz w:val="18"/>
                <w:szCs w:val="18"/>
              </w:rPr>
              <w:t>4</w:t>
            </w:r>
            <w:r>
              <w:rPr>
                <w:rFonts w:ascii="Verdana" w:hAnsi="Verdana"/>
                <w:color w:val="555555"/>
                <w:sz w:val="18"/>
                <w:szCs w:val="18"/>
                <w:shd w:val="clear" w:color="auto" w:fill="FFFFFF"/>
              </w:rPr>
              <w:t xml:space="preserve">(4), 767. </w:t>
            </w:r>
            <w:r>
              <w:fldChar w:fldCharType="begin"/>
            </w:r>
            <w:r>
              <w:instrText xml:space="preserve"> HYPERLINK "https://doi.org/10.3390/forecast4040042" </w:instrText>
            </w:r>
            <w:r>
              <w:fldChar w:fldCharType="separate"/>
            </w:r>
            <w:r>
              <w:rPr>
                <w:rStyle w:val="9"/>
                <w:rFonts w:ascii="Verdana" w:hAnsi="Verdana"/>
                <w:sz w:val="18"/>
                <w:szCs w:val="18"/>
                <w:shd w:val="clear" w:color="auto" w:fill="FFFFFF"/>
              </w:rPr>
              <w:t>https://doi.org/10.3390/forecast4040042</w:t>
            </w:r>
            <w:r>
              <w:rPr>
                <w:rStyle w:val="9"/>
                <w:rFonts w:ascii="Verdana" w:hAnsi="Verdana"/>
                <w:sz w:val="18"/>
                <w:szCs w:val="18"/>
                <w:shd w:val="clear" w:color="auto" w:fill="FFFFFF"/>
              </w:rPr>
              <w:fldChar w:fldCharType="end"/>
            </w:r>
          </w:p>
          <w:p w14:paraId="19837D6F">
            <w:pPr>
              <w:jc w:val="left"/>
              <w:rPr>
                <w:rFonts w:ascii="Verdana" w:hAnsi="Verdana"/>
                <w:color w:val="555555"/>
                <w:sz w:val="18"/>
                <w:szCs w:val="18"/>
                <w:shd w:val="clear" w:color="auto" w:fill="FFFFFF"/>
              </w:rPr>
            </w:pPr>
          </w:p>
          <w:p w14:paraId="5CE29CCE">
            <w:pPr>
              <w:jc w:val="left"/>
              <w:rPr>
                <w:rFonts w:ascii="Verdana" w:hAnsi="Verdana"/>
                <w:color w:val="555555"/>
                <w:sz w:val="18"/>
                <w:szCs w:val="18"/>
                <w:shd w:val="clear" w:color="auto" w:fill="FFFFFF"/>
              </w:rPr>
            </w:pPr>
          </w:p>
          <w:p w14:paraId="1CBBEF87">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Jawad, Z. N., &amp; Balázs, V. (2024). Machine learning-driven optimization of enterprise resource planning (ERP) systems: a comprehensive review.</w:t>
            </w:r>
            <w:r>
              <w:rPr>
                <w:rStyle w:val="20"/>
                <w:rFonts w:ascii="Verdana" w:hAnsi="Verdana"/>
                <w:i/>
                <w:iCs/>
                <w:color w:val="555555"/>
                <w:sz w:val="18"/>
                <w:szCs w:val="18"/>
              </w:rPr>
              <w:t> </w:t>
            </w:r>
            <w:r>
              <w:rPr>
                <w:rFonts w:ascii="Verdana" w:hAnsi="Verdana"/>
                <w:i/>
                <w:iCs/>
                <w:color w:val="555555"/>
                <w:sz w:val="18"/>
                <w:szCs w:val="18"/>
              </w:rPr>
              <w:t>Beni-Suef University Journal of Basic and Applied Sciences,</w:t>
            </w:r>
            <w:r>
              <w:rPr>
                <w:rStyle w:val="20"/>
                <w:rFonts w:ascii="Verdana" w:hAnsi="Verdana"/>
                <w:i/>
                <w:iCs/>
                <w:color w:val="555555"/>
                <w:sz w:val="18"/>
                <w:szCs w:val="18"/>
              </w:rPr>
              <w:t> </w:t>
            </w:r>
            <w:r>
              <w:rPr>
                <w:rFonts w:ascii="Verdana" w:hAnsi="Verdana"/>
                <w:i/>
                <w:iCs/>
                <w:color w:val="555555"/>
                <w:sz w:val="18"/>
                <w:szCs w:val="18"/>
              </w:rPr>
              <w:t>13</w:t>
            </w:r>
            <w:r>
              <w:rPr>
                <w:rFonts w:ascii="Verdana" w:hAnsi="Verdana"/>
                <w:color w:val="555555"/>
                <w:sz w:val="18"/>
                <w:szCs w:val="18"/>
                <w:shd w:val="clear" w:color="auto" w:fill="FFFFFF"/>
              </w:rPr>
              <w:t xml:space="preserve">(1), 4. </w:t>
            </w:r>
            <w:r>
              <w:fldChar w:fldCharType="begin"/>
            </w:r>
            <w:r>
              <w:instrText xml:space="preserve"> HYPERLINK "https://doi.org/10.1186/s43088-023-00460-y" </w:instrText>
            </w:r>
            <w:r>
              <w:fldChar w:fldCharType="separate"/>
            </w:r>
            <w:r>
              <w:rPr>
                <w:rStyle w:val="9"/>
                <w:rFonts w:ascii="Verdana" w:hAnsi="Verdana"/>
                <w:sz w:val="18"/>
                <w:szCs w:val="18"/>
                <w:shd w:val="clear" w:color="auto" w:fill="FFFFFF"/>
              </w:rPr>
              <w:t>https://doi.org/10.1186/s43088-023-00460-y</w:t>
            </w:r>
            <w:r>
              <w:rPr>
                <w:rStyle w:val="9"/>
                <w:rFonts w:ascii="Verdana" w:hAnsi="Verdana"/>
                <w:sz w:val="18"/>
                <w:szCs w:val="18"/>
                <w:shd w:val="clear" w:color="auto" w:fill="FFFFFF"/>
              </w:rPr>
              <w:fldChar w:fldCharType="end"/>
            </w:r>
          </w:p>
          <w:p w14:paraId="7742302C">
            <w:pPr>
              <w:jc w:val="left"/>
              <w:rPr>
                <w:rFonts w:ascii="Arial" w:hAnsi="Arial"/>
                <w:b/>
                <w:bCs/>
                <w:sz w:val="24"/>
              </w:rPr>
            </w:pPr>
          </w:p>
          <w:p w14:paraId="5EBD1A9E">
            <w:pPr>
              <w:jc w:val="left"/>
              <w:rPr>
                <w:rFonts w:ascii="Arial" w:hAnsi="Arial"/>
                <w:b/>
                <w:bCs/>
                <w:sz w:val="24"/>
              </w:rPr>
            </w:pPr>
          </w:p>
          <w:p w14:paraId="47B5CC37">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Ji, G., Yu, M., Tan, K. H., Kumar, A., &amp; Gupta, S. (2024). Decision optimization in cooperation innovation: the impact of big data analytics capability and cooperative modes.</w:t>
            </w:r>
            <w:r>
              <w:rPr>
                <w:rStyle w:val="20"/>
                <w:rFonts w:ascii="Verdana" w:hAnsi="Verdana"/>
                <w:i/>
                <w:iCs/>
                <w:color w:val="555555"/>
                <w:sz w:val="18"/>
                <w:szCs w:val="18"/>
              </w:rPr>
              <w:t> </w:t>
            </w:r>
            <w:r>
              <w:rPr>
                <w:rFonts w:ascii="Verdana" w:hAnsi="Verdana"/>
                <w:i/>
                <w:iCs/>
                <w:color w:val="555555"/>
                <w:sz w:val="18"/>
                <w:szCs w:val="18"/>
              </w:rPr>
              <w:t>Annals of Operations Research,</w:t>
            </w:r>
            <w:r>
              <w:rPr>
                <w:rStyle w:val="20"/>
                <w:rFonts w:ascii="Verdana" w:hAnsi="Verdana"/>
                <w:i/>
                <w:iCs/>
                <w:color w:val="555555"/>
                <w:sz w:val="18"/>
                <w:szCs w:val="18"/>
              </w:rPr>
              <w:t> </w:t>
            </w:r>
            <w:r>
              <w:rPr>
                <w:rFonts w:ascii="Verdana" w:hAnsi="Verdana"/>
                <w:i/>
                <w:iCs/>
                <w:color w:val="555555"/>
                <w:sz w:val="18"/>
                <w:szCs w:val="18"/>
              </w:rPr>
              <w:t>333</w:t>
            </w:r>
            <w:r>
              <w:rPr>
                <w:rFonts w:ascii="Verdana" w:hAnsi="Verdana"/>
                <w:color w:val="555555"/>
                <w:sz w:val="18"/>
                <w:szCs w:val="18"/>
                <w:shd w:val="clear" w:color="auto" w:fill="FFFFFF"/>
              </w:rPr>
              <w:t xml:space="preserve">(2-3), 871-894. </w:t>
            </w:r>
            <w:r>
              <w:fldChar w:fldCharType="begin"/>
            </w:r>
            <w:r>
              <w:instrText xml:space="preserve"> HYPERLINK "https://doi.org/10.1007/s10479-022-04867-1" </w:instrText>
            </w:r>
            <w:r>
              <w:fldChar w:fldCharType="separate"/>
            </w:r>
            <w:r>
              <w:rPr>
                <w:rStyle w:val="9"/>
                <w:rFonts w:ascii="Verdana" w:hAnsi="Verdana"/>
                <w:sz w:val="18"/>
                <w:szCs w:val="18"/>
                <w:shd w:val="clear" w:color="auto" w:fill="FFFFFF"/>
              </w:rPr>
              <w:t>https://doi.org/10.1007/s10479-022-04867-1</w:t>
            </w:r>
            <w:r>
              <w:rPr>
                <w:rStyle w:val="9"/>
                <w:rFonts w:ascii="Verdana" w:hAnsi="Verdana"/>
                <w:sz w:val="18"/>
                <w:szCs w:val="18"/>
                <w:shd w:val="clear" w:color="auto" w:fill="FFFFFF"/>
              </w:rPr>
              <w:fldChar w:fldCharType="end"/>
            </w:r>
          </w:p>
          <w:p w14:paraId="590A3FA7">
            <w:pPr>
              <w:jc w:val="left"/>
              <w:rPr>
                <w:rFonts w:ascii="Arial" w:hAnsi="Arial"/>
                <w:b/>
                <w:bCs/>
                <w:sz w:val="24"/>
              </w:rPr>
            </w:pPr>
          </w:p>
          <w:p w14:paraId="66717852">
            <w:pPr>
              <w:jc w:val="left"/>
              <w:rPr>
                <w:rFonts w:ascii="Arial" w:hAnsi="Arial"/>
                <w:b/>
                <w:bCs/>
                <w:sz w:val="24"/>
              </w:rPr>
            </w:pPr>
          </w:p>
          <w:p w14:paraId="3EF33609">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Pasupuleti, V., Thuraka, B., Chandra, S. K., &amp; Malisetty, S. (2024). Enhancing Supply Chain Agility and Sustainability through Machine Learning: Optimization Techniques for Logistics and Inventory Management.</w:t>
            </w:r>
            <w:r>
              <w:rPr>
                <w:rStyle w:val="20"/>
                <w:rFonts w:ascii="Verdana" w:hAnsi="Verdana"/>
                <w:i/>
                <w:iCs/>
                <w:color w:val="555555"/>
                <w:sz w:val="18"/>
                <w:szCs w:val="18"/>
              </w:rPr>
              <w:t> </w:t>
            </w:r>
            <w:r>
              <w:rPr>
                <w:rFonts w:ascii="Verdana" w:hAnsi="Verdana"/>
                <w:i/>
                <w:iCs/>
                <w:color w:val="555555"/>
                <w:sz w:val="18"/>
                <w:szCs w:val="18"/>
              </w:rPr>
              <w:t>Logistics,</w:t>
            </w:r>
            <w:r>
              <w:rPr>
                <w:rStyle w:val="20"/>
                <w:rFonts w:ascii="Verdana" w:hAnsi="Verdana"/>
                <w:i/>
                <w:iCs/>
                <w:color w:val="555555"/>
                <w:sz w:val="18"/>
                <w:szCs w:val="18"/>
              </w:rPr>
              <w:t> </w:t>
            </w:r>
            <w:r>
              <w:rPr>
                <w:rFonts w:ascii="Verdana" w:hAnsi="Verdana"/>
                <w:i/>
                <w:iCs/>
                <w:color w:val="555555"/>
                <w:sz w:val="18"/>
                <w:szCs w:val="18"/>
              </w:rPr>
              <w:t>8</w:t>
            </w:r>
            <w:r>
              <w:rPr>
                <w:rFonts w:ascii="Verdana" w:hAnsi="Verdana"/>
                <w:color w:val="555555"/>
                <w:sz w:val="18"/>
                <w:szCs w:val="18"/>
                <w:shd w:val="clear" w:color="auto" w:fill="FFFFFF"/>
              </w:rPr>
              <w:t xml:space="preserve">(3), 73. </w:t>
            </w:r>
            <w:r>
              <w:fldChar w:fldCharType="begin"/>
            </w:r>
            <w:r>
              <w:instrText xml:space="preserve"> HYPERLINK "https://doi.org/10.3390/logistics8030073" </w:instrText>
            </w:r>
            <w:r>
              <w:fldChar w:fldCharType="separate"/>
            </w:r>
            <w:r>
              <w:rPr>
                <w:rStyle w:val="9"/>
                <w:rFonts w:ascii="Verdana" w:hAnsi="Verdana"/>
                <w:sz w:val="18"/>
                <w:szCs w:val="18"/>
                <w:shd w:val="clear" w:color="auto" w:fill="FFFFFF"/>
              </w:rPr>
              <w:t>https://doi.org/10.3390/logistics8030073</w:t>
            </w:r>
            <w:r>
              <w:rPr>
                <w:rStyle w:val="9"/>
                <w:rFonts w:ascii="Verdana" w:hAnsi="Verdana"/>
                <w:sz w:val="18"/>
                <w:szCs w:val="18"/>
                <w:shd w:val="clear" w:color="auto" w:fill="FFFFFF"/>
              </w:rPr>
              <w:fldChar w:fldCharType="end"/>
            </w:r>
          </w:p>
          <w:p w14:paraId="1F81ABB6">
            <w:pPr>
              <w:jc w:val="left"/>
              <w:rPr>
                <w:rFonts w:ascii="Arial" w:hAnsi="Arial"/>
                <w:b/>
                <w:bCs/>
                <w:sz w:val="24"/>
              </w:rPr>
            </w:pPr>
          </w:p>
          <w:p w14:paraId="4E318188">
            <w:pPr>
              <w:jc w:val="left"/>
              <w:rPr>
                <w:rFonts w:ascii="Arial" w:hAnsi="Arial"/>
                <w:b/>
                <w:bCs/>
                <w:sz w:val="24"/>
              </w:rPr>
            </w:pPr>
          </w:p>
          <w:p w14:paraId="3E82F630">
            <w:pPr>
              <w:jc w:val="left"/>
              <w:rPr>
                <w:rFonts w:ascii="Verdana" w:hAnsi="Verdana"/>
                <w:color w:val="555555"/>
                <w:sz w:val="18"/>
                <w:szCs w:val="18"/>
                <w:shd w:val="clear" w:color="auto" w:fill="FFFFFF"/>
              </w:rPr>
            </w:pPr>
            <w:r>
              <w:rPr>
                <w:rFonts w:ascii="Verdana" w:hAnsi="Verdana"/>
                <w:color w:val="555555"/>
                <w:sz w:val="18"/>
                <w:szCs w:val="18"/>
                <w:shd w:val="clear" w:color="auto" w:fill="FFFFFF"/>
              </w:rPr>
              <w:t>Trifu, M. R., &amp; Ivan, M. (2016). Big Data Components for Business Process Optimization.</w:t>
            </w:r>
            <w:r>
              <w:rPr>
                <w:rStyle w:val="20"/>
                <w:rFonts w:ascii="Verdana" w:hAnsi="Verdana"/>
                <w:i/>
                <w:iCs/>
                <w:color w:val="555555"/>
                <w:sz w:val="18"/>
                <w:szCs w:val="18"/>
              </w:rPr>
              <w:t> </w:t>
            </w:r>
            <w:r>
              <w:rPr>
                <w:rFonts w:ascii="Verdana" w:hAnsi="Verdana"/>
                <w:i/>
                <w:iCs/>
                <w:color w:val="555555"/>
                <w:sz w:val="18"/>
                <w:szCs w:val="18"/>
              </w:rPr>
              <w:t>Informatica Economica,</w:t>
            </w:r>
            <w:r>
              <w:rPr>
                <w:rStyle w:val="20"/>
                <w:rFonts w:ascii="Verdana" w:hAnsi="Verdana"/>
                <w:i/>
                <w:iCs/>
                <w:color w:val="555555"/>
                <w:sz w:val="18"/>
                <w:szCs w:val="18"/>
              </w:rPr>
              <w:t> </w:t>
            </w:r>
            <w:r>
              <w:rPr>
                <w:rFonts w:ascii="Verdana" w:hAnsi="Verdana"/>
                <w:i/>
                <w:iCs/>
                <w:color w:val="555555"/>
                <w:sz w:val="18"/>
                <w:szCs w:val="18"/>
              </w:rPr>
              <w:t>20</w:t>
            </w:r>
            <w:r>
              <w:rPr>
                <w:rFonts w:ascii="Verdana" w:hAnsi="Verdana"/>
                <w:color w:val="555555"/>
                <w:sz w:val="18"/>
                <w:szCs w:val="18"/>
                <w:shd w:val="clear" w:color="auto" w:fill="FFFFFF"/>
              </w:rPr>
              <w:t xml:space="preserve">(1), 72-78. </w:t>
            </w:r>
            <w:r>
              <w:fldChar w:fldCharType="begin"/>
            </w:r>
            <w:r>
              <w:instrText xml:space="preserve"> HYPERLINK "https://doi.org/10.12948/issn14531305/20.1.2016.07" </w:instrText>
            </w:r>
            <w:r>
              <w:fldChar w:fldCharType="separate"/>
            </w:r>
            <w:r>
              <w:rPr>
                <w:rStyle w:val="9"/>
                <w:rFonts w:ascii="Verdana" w:hAnsi="Verdana"/>
                <w:sz w:val="18"/>
                <w:szCs w:val="18"/>
                <w:shd w:val="clear" w:color="auto" w:fill="FFFFFF"/>
              </w:rPr>
              <w:t>https://doi.org/10.12948/issn14531305/20.1.2016.07</w:t>
            </w:r>
            <w:r>
              <w:rPr>
                <w:rStyle w:val="9"/>
                <w:rFonts w:ascii="Verdana" w:hAnsi="Verdana"/>
                <w:sz w:val="18"/>
                <w:szCs w:val="18"/>
                <w:shd w:val="clear" w:color="auto" w:fill="FFFFFF"/>
              </w:rPr>
              <w:fldChar w:fldCharType="end"/>
            </w:r>
          </w:p>
        </w:tc>
      </w:tr>
    </w:tbl>
    <w:p w14:paraId="30F5A74E">
      <w:pPr>
        <w:snapToGrid w:val="0"/>
        <w:spacing w:after="62" w:afterLines="20" w:line="400" w:lineRule="exact"/>
        <w:jc w:val="center"/>
        <w:rPr>
          <w:rFonts w:ascii="Arial" w:hAnsi="Arial" w:cs="Aria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swiss"/>
    <w:pitch w:val="default"/>
    <w:sig w:usb0="A10006FF" w:usb1="4000205B" w:usb2="00000010" w:usb3="00000000" w:csb0="2000019F"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CFB3CF">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E4FDB"/>
    <w:rsid w:val="00050BD1"/>
    <w:rsid w:val="0005493E"/>
    <w:rsid w:val="0005568B"/>
    <w:rsid w:val="00097F5D"/>
    <w:rsid w:val="000A44CA"/>
    <w:rsid w:val="000C271F"/>
    <w:rsid w:val="00104C08"/>
    <w:rsid w:val="00111DBB"/>
    <w:rsid w:val="001325F7"/>
    <w:rsid w:val="00172CD0"/>
    <w:rsid w:val="00191C6C"/>
    <w:rsid w:val="001B11E6"/>
    <w:rsid w:val="001E4FDB"/>
    <w:rsid w:val="002134EC"/>
    <w:rsid w:val="00226A63"/>
    <w:rsid w:val="00237D61"/>
    <w:rsid w:val="00240A77"/>
    <w:rsid w:val="00247E23"/>
    <w:rsid w:val="0028521B"/>
    <w:rsid w:val="0029587B"/>
    <w:rsid w:val="002B1AB4"/>
    <w:rsid w:val="002D46DB"/>
    <w:rsid w:val="002F7910"/>
    <w:rsid w:val="003144D5"/>
    <w:rsid w:val="003A0912"/>
    <w:rsid w:val="003C7AB1"/>
    <w:rsid w:val="003D5812"/>
    <w:rsid w:val="003E5B07"/>
    <w:rsid w:val="004144A4"/>
    <w:rsid w:val="00452BCF"/>
    <w:rsid w:val="0048598F"/>
    <w:rsid w:val="004A3524"/>
    <w:rsid w:val="004A3E71"/>
    <w:rsid w:val="004C26F4"/>
    <w:rsid w:val="004F3DD7"/>
    <w:rsid w:val="005050D4"/>
    <w:rsid w:val="0051332C"/>
    <w:rsid w:val="00525CEA"/>
    <w:rsid w:val="00532020"/>
    <w:rsid w:val="005720CB"/>
    <w:rsid w:val="00574E8A"/>
    <w:rsid w:val="00575642"/>
    <w:rsid w:val="005963FC"/>
    <w:rsid w:val="005A2771"/>
    <w:rsid w:val="005A561E"/>
    <w:rsid w:val="005F2B07"/>
    <w:rsid w:val="006421C9"/>
    <w:rsid w:val="00674F66"/>
    <w:rsid w:val="006A6EC7"/>
    <w:rsid w:val="006B07F5"/>
    <w:rsid w:val="006B6212"/>
    <w:rsid w:val="00700BFF"/>
    <w:rsid w:val="00715551"/>
    <w:rsid w:val="00737B0D"/>
    <w:rsid w:val="007620A6"/>
    <w:rsid w:val="00775F47"/>
    <w:rsid w:val="007901E5"/>
    <w:rsid w:val="00791643"/>
    <w:rsid w:val="007C3A67"/>
    <w:rsid w:val="007E3318"/>
    <w:rsid w:val="007E6E74"/>
    <w:rsid w:val="00813D6F"/>
    <w:rsid w:val="008363D9"/>
    <w:rsid w:val="00842E73"/>
    <w:rsid w:val="008947AE"/>
    <w:rsid w:val="008A7807"/>
    <w:rsid w:val="008D2508"/>
    <w:rsid w:val="008F197D"/>
    <w:rsid w:val="00910701"/>
    <w:rsid w:val="00923027"/>
    <w:rsid w:val="00956EC7"/>
    <w:rsid w:val="00973CE4"/>
    <w:rsid w:val="009808D1"/>
    <w:rsid w:val="009E4F76"/>
    <w:rsid w:val="00A156F3"/>
    <w:rsid w:val="00A22A91"/>
    <w:rsid w:val="00A44832"/>
    <w:rsid w:val="00A51028"/>
    <w:rsid w:val="00A7539C"/>
    <w:rsid w:val="00AA3123"/>
    <w:rsid w:val="00AD3665"/>
    <w:rsid w:val="00AE1BAC"/>
    <w:rsid w:val="00AF041F"/>
    <w:rsid w:val="00AF505F"/>
    <w:rsid w:val="00B16046"/>
    <w:rsid w:val="00B233AA"/>
    <w:rsid w:val="00B51CCD"/>
    <w:rsid w:val="00B74291"/>
    <w:rsid w:val="00B77C3B"/>
    <w:rsid w:val="00BC5432"/>
    <w:rsid w:val="00BD19B4"/>
    <w:rsid w:val="00BD1F98"/>
    <w:rsid w:val="00BF0E80"/>
    <w:rsid w:val="00C0613E"/>
    <w:rsid w:val="00C220A1"/>
    <w:rsid w:val="00C22971"/>
    <w:rsid w:val="00C3051A"/>
    <w:rsid w:val="00C32B9D"/>
    <w:rsid w:val="00C3553F"/>
    <w:rsid w:val="00C357AE"/>
    <w:rsid w:val="00C405B7"/>
    <w:rsid w:val="00C40EC2"/>
    <w:rsid w:val="00C52E5F"/>
    <w:rsid w:val="00C90957"/>
    <w:rsid w:val="00CE013F"/>
    <w:rsid w:val="00CF7CC0"/>
    <w:rsid w:val="00D35029"/>
    <w:rsid w:val="00D37BAE"/>
    <w:rsid w:val="00D82A1D"/>
    <w:rsid w:val="00D913BD"/>
    <w:rsid w:val="00DA208F"/>
    <w:rsid w:val="00DC13CB"/>
    <w:rsid w:val="00E30628"/>
    <w:rsid w:val="00E34C9A"/>
    <w:rsid w:val="00E35719"/>
    <w:rsid w:val="00E55BC8"/>
    <w:rsid w:val="00E66D87"/>
    <w:rsid w:val="00EB0566"/>
    <w:rsid w:val="00EC001D"/>
    <w:rsid w:val="00EC249E"/>
    <w:rsid w:val="00EE668A"/>
    <w:rsid w:val="00EF39DA"/>
    <w:rsid w:val="00EF72C0"/>
    <w:rsid w:val="00F50112"/>
    <w:rsid w:val="00FC2B7C"/>
    <w:rsid w:val="06D87DFC"/>
    <w:rsid w:val="39E52109"/>
    <w:rsid w:val="559D61F4"/>
    <w:rsid w:val="67266A33"/>
    <w:rsid w:val="9BDF7958"/>
    <w:rsid w:val="FABFE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0"/>
    <w:rPr>
      <w:rFonts w:ascii="宋体" w:hAnsi="Courier New"/>
      <w:szCs w:val="21"/>
    </w:rPr>
  </w:style>
  <w:style w:type="paragraph" w:styleId="3">
    <w:name w:val="Balloon Text"/>
    <w:basedOn w:val="1"/>
    <w:link w:val="18"/>
    <w:semiHidden/>
    <w:unhideWhenUsed/>
    <w:uiPriority w:val="99"/>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页眉 字符"/>
    <w:basedOn w:val="8"/>
    <w:link w:val="5"/>
    <w:qFormat/>
    <w:uiPriority w:val="0"/>
    <w:rPr>
      <w:rFonts w:ascii="Times New Roman" w:hAnsi="Times New Roman" w:eastAsia="宋体" w:cs="Times New Roman"/>
      <w:sz w:val="18"/>
      <w:szCs w:val="18"/>
    </w:rPr>
  </w:style>
  <w:style w:type="character" w:customStyle="1" w:styleId="11">
    <w:name w:val="页脚 字符"/>
    <w:basedOn w:val="8"/>
    <w:link w:val="4"/>
    <w:qFormat/>
    <w:uiPriority w:val="0"/>
    <w:rPr>
      <w:rFonts w:ascii="Times New Roman" w:hAnsi="Times New Roman" w:eastAsia="宋体" w:cs="Times New Roman"/>
      <w:sz w:val="18"/>
      <w:szCs w:val="18"/>
    </w:rPr>
  </w:style>
  <w:style w:type="character" w:customStyle="1" w:styleId="12">
    <w:name w:val="纯文本 字符"/>
    <w:basedOn w:val="8"/>
    <w:link w:val="2"/>
    <w:qFormat/>
    <w:uiPriority w:val="0"/>
    <w:rPr>
      <w:rFonts w:ascii="宋体" w:hAnsi="Courier New" w:eastAsia="宋体" w:cs="Times New Roman"/>
      <w:szCs w:val="21"/>
    </w:rPr>
  </w:style>
  <w:style w:type="paragraph" w:customStyle="1" w:styleId="13">
    <w:name w:val="EndNote Bibliography Title"/>
    <w:basedOn w:val="1"/>
    <w:link w:val="14"/>
    <w:qFormat/>
    <w:uiPriority w:val="0"/>
    <w:pPr>
      <w:jc w:val="center"/>
    </w:pPr>
    <w:rPr>
      <w:sz w:val="20"/>
    </w:rPr>
  </w:style>
  <w:style w:type="character" w:customStyle="1" w:styleId="14">
    <w:name w:val="EndNote Bibliography Title Char"/>
    <w:basedOn w:val="8"/>
    <w:link w:val="13"/>
    <w:qFormat/>
    <w:uiPriority w:val="0"/>
    <w:rPr>
      <w:rFonts w:ascii="Times New Roman" w:hAnsi="Times New Roman" w:eastAsia="宋体" w:cs="Times New Roman"/>
      <w:sz w:val="20"/>
      <w:szCs w:val="24"/>
    </w:rPr>
  </w:style>
  <w:style w:type="paragraph" w:customStyle="1" w:styleId="15">
    <w:name w:val="EndNote Bibliography"/>
    <w:basedOn w:val="1"/>
    <w:link w:val="16"/>
    <w:qFormat/>
    <w:uiPriority w:val="0"/>
    <w:rPr>
      <w:sz w:val="20"/>
    </w:rPr>
  </w:style>
  <w:style w:type="character" w:customStyle="1" w:styleId="16">
    <w:name w:val="EndNote Bibliography Char"/>
    <w:basedOn w:val="8"/>
    <w:link w:val="15"/>
    <w:qFormat/>
    <w:uiPriority w:val="0"/>
    <w:rPr>
      <w:rFonts w:ascii="Times New Roman" w:hAnsi="Times New Roman" w:eastAsia="宋体" w:cs="Times New Roman"/>
      <w:sz w:val="20"/>
      <w:szCs w:val="24"/>
    </w:rPr>
  </w:style>
  <w:style w:type="character" w:customStyle="1" w:styleId="17">
    <w:name w:val="未处理的提及1"/>
    <w:basedOn w:val="8"/>
    <w:semiHidden/>
    <w:unhideWhenUsed/>
    <w:qFormat/>
    <w:uiPriority w:val="99"/>
    <w:rPr>
      <w:color w:val="605E5C"/>
      <w:shd w:val="clear" w:color="auto" w:fill="E1DFDD"/>
    </w:rPr>
  </w:style>
  <w:style w:type="character" w:customStyle="1" w:styleId="18">
    <w:name w:val="批注框文本 字符"/>
    <w:basedOn w:val="8"/>
    <w:link w:val="3"/>
    <w:semiHidden/>
    <w:qFormat/>
    <w:uiPriority w:val="99"/>
    <w:rPr>
      <w:rFonts w:ascii="Times New Roman" w:hAnsi="Times New Roman" w:eastAsia="宋体" w:cs="Times New Roman"/>
      <w:sz w:val="18"/>
      <w:szCs w:val="18"/>
    </w:rPr>
  </w:style>
  <w:style w:type="character" w:customStyle="1" w:styleId="19">
    <w:name w:val="未处理的提及2"/>
    <w:basedOn w:val="8"/>
    <w:semiHidden/>
    <w:unhideWhenUsed/>
    <w:qFormat/>
    <w:uiPriority w:val="99"/>
    <w:rPr>
      <w:color w:val="605E5C"/>
      <w:shd w:val="clear" w:color="auto" w:fill="E1DFDD"/>
    </w:rPr>
  </w:style>
  <w:style w:type="character" w:customStyle="1" w:styleId="20">
    <w:name w:val="apple-converted-space"/>
    <w:basedOn w:val="8"/>
    <w:uiPriority w:val="0"/>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405</Words>
  <Characters>2311</Characters>
  <Lines>19</Lines>
  <Paragraphs>5</Paragraphs>
  <TotalTime>32</TotalTime>
  <ScaleCrop>false</ScaleCrop>
  <LinksUpToDate>false</LinksUpToDate>
  <CharactersWithSpaces>2711</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2021-02-25T22:36:00Z</dcterms:created>
  <dc:creator>49545</dc:creator>
  <cp:lastModifiedBy>陈恺</cp:lastModifiedBy>
  <cp:lastPrinted>2023-02-21T23:42:00Z</cp:lastPrinted>
  <dcterms:modified xsi:type="dcterms:W3CDTF">2025-03-12T09:48:09Z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776712b0aa81d26fb153c8a25f83019571a842f7bbd9aea579305e3132c06894</vt:lpwstr>
  </property>
  <property fmtid="{D5CDD505-2E9C-101B-9397-08002B2CF9AE}" pid="3" name="KSOTemplateDocerSaveRecord">
    <vt:lpwstr>eyJoZGlkIjoiMTZlM2I1YzcwODk0NzIzOTE3NWE4MjZkMzE2NDFiZDAiLCJ1c2VySWQiOiI0NDE4MzM1MTMifQ==</vt:lpwstr>
  </property>
  <property fmtid="{D5CDD505-2E9C-101B-9397-08002B2CF9AE}" pid="4" name="KSOProductBuildVer">
    <vt:lpwstr>2052-7.2.2.8955</vt:lpwstr>
  </property>
  <property fmtid="{D5CDD505-2E9C-101B-9397-08002B2CF9AE}" pid="5" name="ICV">
    <vt:lpwstr>73E0FB678366489A8FAD5F47EE1B2A33_13</vt:lpwstr>
  </property>
</Properties>
</file>