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7AD6D">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In</w:t>
      </w:r>
      <w:r>
        <w:rPr>
          <w:rFonts w:hint="default" w:ascii="Times New Roman Regular" w:hAnsi="Times New Roman Regular" w:cs="Times New Roman Regular"/>
          <w:sz w:val="24"/>
          <w:szCs w:val="24"/>
          <w:lang w:val="en-US" w:eastAsia="zh-CN"/>
        </w:rPr>
        <w:t xml:space="preserve"> summary, big data analytics tools are a kind of newly developed tools which have become essential for crafting systematical strategies in many areas. Such tools not only have capabilities of facilitating the uncovering of hidden correlations which could not be detected efficiently in the past, but could enable personalized experiences by powering recommendation and decision systems across industries. Also, their application extends to many areas of everyday life, including weather forecasting and shopping recommendation systems. Although some are concerned about its widespread adoption and equitable application, scientists have been addressing such problems efficiently. In a world which is full of all kinds of data, big data analytics tools could make a big difference to everyone’s life.</w:t>
      </w:r>
    </w:p>
    <w:p w14:paraId="2E28834F">
      <w:pPr>
        <w:keepNext w:val="0"/>
        <w:keepLines w:val="0"/>
        <w:pageBreakBefore w:val="0"/>
        <w:kinsoku/>
        <w:wordWrap/>
        <w:overflowPunct/>
        <w:topLinePunct w:val="0"/>
        <w:autoSpaceDE/>
        <w:autoSpaceDN/>
        <w:bidi w:val="0"/>
        <w:adjustRightInd/>
        <w:snapToGrid/>
        <w:spacing w:beforeAutospacing="0" w:afterAutospacing="0" w:line="480" w:lineRule="auto"/>
        <w:jc w:val="both"/>
        <w:textAlignment w:val="auto"/>
        <w:rPr>
          <w:rFonts w:hint="default" w:ascii="Times New Roman" w:hAnsi="Times New Roman" w:cs="Times New Roman"/>
          <w:b w:val="0"/>
          <w:bCs w:val="0"/>
          <w:sz w:val="24"/>
          <w:szCs w:val="24"/>
        </w:rPr>
      </w:pPr>
      <w:r>
        <w:rPr>
          <w:rFonts w:hint="default" w:ascii="Times New Roman Regular" w:hAnsi="Times New Roman Regular" w:cs="Times New Roman Regular" w:eastAsiaTheme="minorEastAsia"/>
          <w:sz w:val="24"/>
          <w:szCs w:val="24"/>
          <w:lang w:val="en-US" w:eastAsia="zh-CN"/>
        </w:rPr>
        <w:drawing>
          <wp:anchor distT="0" distB="0" distL="114300" distR="114300" simplePos="0" relativeHeight="251659264" behindDoc="0" locked="0" layoutInCell="1" allowOverlap="1">
            <wp:simplePos x="0" y="0"/>
            <wp:positionH relativeFrom="column">
              <wp:posOffset>3116580</wp:posOffset>
            </wp:positionH>
            <wp:positionV relativeFrom="paragraph">
              <wp:posOffset>340995</wp:posOffset>
            </wp:positionV>
            <wp:extent cx="3321685" cy="2157730"/>
            <wp:effectExtent l="0" t="0" r="5715" b="1270"/>
            <wp:wrapSquare wrapText="bothSides"/>
            <wp:docPr id="2" name="Picture 2" descr="Screenshot 2025-05-14 at 11.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5-14 at 11.28.21"/>
                    <pic:cNvPicPr>
                      <a:picLocks noChangeAspect="1"/>
                    </pic:cNvPicPr>
                  </pic:nvPicPr>
                  <pic:blipFill>
                    <a:blip r:embed="rId4"/>
                    <a:stretch>
                      <a:fillRect/>
                    </a:stretch>
                  </pic:blipFill>
                  <pic:spPr>
                    <a:xfrm>
                      <a:off x="0" y="0"/>
                      <a:ext cx="3321685" cy="2157730"/>
                    </a:xfrm>
                    <a:prstGeom prst="rect">
                      <a:avLst/>
                    </a:prstGeom>
                  </pic:spPr>
                </pic:pic>
              </a:graphicData>
            </a:graphic>
          </wp:anchor>
        </w:drawing>
      </w:r>
    </w:p>
    <w:p w14:paraId="647002BA">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w:hAnsi="Times New Roman" w:cs="Times New Roman"/>
          <w:i w:val="0"/>
          <w:iCs/>
          <w:sz w:val="24"/>
          <w:szCs w:val="24"/>
        </w:rPr>
      </w:pPr>
      <w:r>
        <w:rPr>
          <w:rFonts w:hint="default" w:ascii="Times New Roman Regular" w:hAnsi="Times New Roman Regular" w:cs="Times New Roman Regular"/>
          <w:sz w:val="24"/>
          <w:szCs w:val="24"/>
          <w:lang w:val="en-US" w:eastAsia="zh-CN"/>
        </w:rPr>
        <w:drawing>
          <wp:inline distT="0" distB="0" distL="114300" distR="114300">
            <wp:extent cx="3355340" cy="2179955"/>
            <wp:effectExtent l="0" t="0" r="22860" b="4445"/>
            <wp:docPr id="1" name="Picture 1" descr="Screenshot 2025-05-14 at 11.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5-14 at 11.28.05"/>
                    <pic:cNvPicPr>
                      <a:picLocks noChangeAspect="1"/>
                    </pic:cNvPicPr>
                  </pic:nvPicPr>
                  <pic:blipFill>
                    <a:blip r:embed="rId5"/>
                    <a:stretch>
                      <a:fillRect/>
                    </a:stretch>
                  </pic:blipFill>
                  <pic:spPr>
                    <a:xfrm>
                      <a:off x="0" y="0"/>
                      <a:ext cx="3355340" cy="2179955"/>
                    </a:xfrm>
                    <a:prstGeom prst="rect">
                      <a:avLst/>
                    </a:prstGeom>
                  </pic:spPr>
                </pic:pic>
              </a:graphicData>
            </a:graphic>
          </wp:inline>
        </w:drawing>
      </w:r>
    </w:p>
    <w:p w14:paraId="648308B1">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5D6D3A16">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5C20B754">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5C20577C">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104F0033">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5555EBD5">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6FDA8DC9">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1147D8FB">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bookmarkStart w:id="0" w:name="_GoBack"/>
      <w:bookmarkEnd w:id="0"/>
    </w:p>
    <w:p w14:paraId="6A255D16">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p w14:paraId="4E63C7FD">
      <w:pPr>
        <w:keepNext w:val="0"/>
        <w:keepLines w:val="0"/>
        <w:pageBreakBefore w:val="0"/>
        <w:kinsoku/>
        <w:wordWrap/>
        <w:overflowPunct/>
        <w:topLinePunct w:val="0"/>
        <w:autoSpaceDE/>
        <w:autoSpaceDN/>
        <w:bidi w:val="0"/>
        <w:adjustRightInd/>
        <w:snapToGrid/>
        <w:spacing w:beforeAutospacing="0" w:afterAutospacing="0" w:line="480" w:lineRule="auto"/>
        <w:jc w:val="center"/>
        <w:textAlignment w:val="auto"/>
        <w:rPr>
          <w:rFonts w:hint="default" w:ascii="Times New Roman Regular" w:hAnsi="Times New Roman Regular" w:cs="Times New Roman Regular"/>
          <w:sz w:val="24"/>
          <w:szCs w:val="24"/>
          <w:lang w:val="en-US" w:eastAsia="zh-CN"/>
        </w:rPr>
      </w:pPr>
      <w:r>
        <w:rPr>
          <w:rFonts w:hint="default" w:ascii="Times New Roman" w:hAnsi="Times New Roman" w:cs="Times New Roman"/>
          <w:b/>
          <w:bCs/>
          <w:sz w:val="24"/>
          <w:szCs w:val="24"/>
        </w:rPr>
        <w:t>References</w:t>
      </w:r>
    </w:p>
    <w:p w14:paraId="5DADC949">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Duarte, F. (2025, April 24). Amount of data created daily (2025). </w:t>
      </w:r>
      <w:r>
        <w:rPr>
          <w:rFonts w:hint="default" w:ascii="Times New Roman Italic" w:hAnsi="Times New Roman Italic" w:cs="Times New Roman Italic"/>
          <w:i/>
          <w:iCs w:val="0"/>
          <w:sz w:val="24"/>
          <w:szCs w:val="24"/>
        </w:rPr>
        <w:t>Exploding Topics</w:t>
      </w:r>
      <w:r>
        <w:rPr>
          <w:rFonts w:hint="default" w:ascii="Times New Roman" w:hAnsi="Times New Roman" w:cs="Times New Roman"/>
          <w:i w:val="0"/>
          <w:iCs/>
          <w:sz w:val="24"/>
          <w:szCs w:val="24"/>
        </w:rPr>
        <w:t xml:space="preserve">.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"https://explodingtopics.com/blog/data-generated-per-day"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https://explodingtopics.com/blog/data-generated-per-day</w:t>
      </w:r>
      <w:r>
        <w:rPr>
          <w:rFonts w:hint="default" w:ascii="Times New Roman" w:hAnsi="Times New Roman" w:cs="Times New Roman"/>
          <w:i w:val="0"/>
          <w:iCs/>
          <w:sz w:val="24"/>
          <w:szCs w:val="24"/>
        </w:rPr>
        <w:fldChar w:fldCharType="end"/>
      </w:r>
    </w:p>
    <w:p w14:paraId="7060632E">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Estape, E. A., Mays, M. H., &amp; Sternke, E. A. (2016). Translation in Data Mining to Advance Personalized Medicine for Health Equity. </w:t>
      </w:r>
      <w:r>
        <w:rPr>
          <w:rFonts w:hint="default" w:ascii="Times New Roman Italic" w:hAnsi="Times New Roman Italic" w:cs="Times New Roman Italic"/>
          <w:i/>
          <w:iCs w:val="0"/>
          <w:sz w:val="24"/>
          <w:szCs w:val="24"/>
        </w:rPr>
        <w:t>Intelligent Information Management</w:t>
      </w:r>
      <w:r>
        <w:rPr>
          <w:rFonts w:hint="default" w:ascii="Times New Roman" w:hAnsi="Times New Roman" w:cs="Times New Roman"/>
          <w:i w:val="0"/>
          <w:iCs/>
          <w:sz w:val="24"/>
          <w:szCs w:val="24"/>
        </w:rPr>
        <w:t xml:space="preserve">, 8(1), 9-16.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"https://doi.org/10.4236/iim.2016.81002"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https://doi.org/10.4236/iim.2016.81002</w:t>
      </w:r>
      <w:r>
        <w:rPr>
          <w:rFonts w:hint="default" w:ascii="Times New Roman" w:hAnsi="Times New Roman" w:cs="Times New Roman"/>
          <w:i w:val="0"/>
          <w:iCs/>
          <w:sz w:val="24"/>
          <w:szCs w:val="24"/>
        </w:rPr>
        <w:fldChar w:fldCharType="end"/>
      </w:r>
    </w:p>
    <w:p w14:paraId="747A0C97">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textAlignment w:val="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Luo, Y. (2024). Optimization of product marketing and management path of cross-border e-commerce enterprises relying on big data technology. </w:t>
      </w:r>
      <w:r>
        <w:rPr>
          <w:rFonts w:hint="default" w:ascii="Times New Roman Italic" w:hAnsi="Times New Roman Italic" w:cs="Times New Roman Italic"/>
          <w:i/>
          <w:iCs w:val="0"/>
          <w:sz w:val="24"/>
          <w:szCs w:val="24"/>
        </w:rPr>
        <w:t>Applied Mathematics and Nonlinear Sciences</w:t>
      </w:r>
      <w:r>
        <w:rPr>
          <w:rFonts w:hint="default" w:ascii="Times New Roman" w:hAnsi="Times New Roman" w:cs="Times New Roman"/>
          <w:i w:val="0"/>
          <w:iCs/>
          <w:sz w:val="24"/>
          <w:szCs w:val="24"/>
        </w:rPr>
        <w:t xml:space="preserve">, 9(1), 1-19.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"https://doi.org/10.2478/amns.2024.1.00001"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https://doi.org/10.2478/amns.2024.1.00001</w:t>
      </w:r>
      <w:r>
        <w:rPr>
          <w:rFonts w:hint="default" w:ascii="Times New Roman" w:hAnsi="Times New Roman" w:cs="Times New Roman"/>
          <w:i w:val="0"/>
          <w:iCs/>
          <w:sz w:val="24"/>
          <w:szCs w:val="24"/>
        </w:rPr>
        <w:fldChar w:fldCharType="end"/>
      </w:r>
    </w:p>
    <w:p w14:paraId="02C52B4A">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textAlignment w:val="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Precision medicine needs an equity agenda. (2021). </w:t>
      </w:r>
      <w:r>
        <w:rPr>
          <w:rFonts w:hint="default" w:ascii="Times New Roman Italic" w:hAnsi="Times New Roman Italic" w:cs="Times New Roman Italic"/>
          <w:i/>
          <w:iCs w:val="0"/>
          <w:sz w:val="24"/>
          <w:szCs w:val="24"/>
        </w:rPr>
        <w:t>Nature Medicine</w:t>
      </w:r>
      <w:r>
        <w:rPr>
          <w:rFonts w:hint="default" w:ascii="Times New Roman" w:hAnsi="Times New Roman" w:cs="Times New Roman"/>
          <w:i w:val="0"/>
          <w:iCs/>
          <w:sz w:val="24"/>
          <w:szCs w:val="24"/>
        </w:rPr>
        <w:t xml:space="preserve">, 27(5), 737.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"https://doi.org/10.1038/s41591-021-01373-y"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https://doi.org/10.1038/s41591-021-01373-y</w:t>
      </w:r>
      <w:r>
        <w:rPr>
          <w:rFonts w:hint="default" w:ascii="Times New Roman" w:hAnsi="Times New Roman" w:cs="Times New Roman"/>
          <w:i w:val="0"/>
          <w:iCs/>
          <w:sz w:val="24"/>
          <w:szCs w:val="24"/>
        </w:rPr>
        <w:fldChar w:fldCharType="end"/>
      </w:r>
    </w:p>
    <w:p w14:paraId="62C8E289">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Ren, S. (2022). Optimization of enterprise financial management and Decision-Making systems based on big data. </w:t>
      </w:r>
      <w:r>
        <w:rPr>
          <w:rFonts w:hint="default" w:ascii="Times New Roman Italic" w:hAnsi="Times New Roman Italic" w:cs="Times New Roman Italic"/>
          <w:i/>
          <w:iCs w:val="0"/>
          <w:sz w:val="24"/>
          <w:szCs w:val="24"/>
        </w:rPr>
        <w:t>Journal of Mathematics</w:t>
      </w:r>
      <w:r>
        <w:rPr>
          <w:rFonts w:hint="default" w:ascii="Times New Roman" w:hAnsi="Times New Roman" w:cs="Times New Roman"/>
          <w:i w:val="0"/>
          <w:iCs/>
          <w:sz w:val="24"/>
          <w:szCs w:val="24"/>
        </w:rPr>
        <w:t xml:space="preserve">, 2022(1).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"https://doi.org/10.1155/2022/1708506"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https://doi.org/10.1155/2022/1708506</w:t>
      </w:r>
      <w:r>
        <w:rPr>
          <w:rFonts w:hint="default" w:ascii="Times New Roman" w:hAnsi="Times New Roman" w:cs="Times New Roman"/>
          <w:i w:val="0"/>
          <w:iCs/>
          <w:sz w:val="24"/>
          <w:szCs w:val="24"/>
        </w:rPr>
        <w:fldChar w:fldCharType="end"/>
      </w:r>
    </w:p>
    <w:p w14:paraId="43E5368F">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Thimmanna, Sharma, A. V. N. S., Naik, M. S., Radhakrishnan, S., &amp; Sharma, A. (2024). Personalized Learning Paths: Adapting Education with AI-Driven Curriculum. </w:t>
      </w:r>
      <w:r>
        <w:rPr>
          <w:rFonts w:hint="default" w:ascii="Times New Roman Italic" w:hAnsi="Times New Roman Italic" w:cs="Times New Roman Italic"/>
          <w:i/>
          <w:iCs w:val="0"/>
          <w:sz w:val="24"/>
          <w:szCs w:val="24"/>
        </w:rPr>
        <w:t>European Economic Letters</w:t>
      </w:r>
      <w:r>
        <w:rPr>
          <w:rFonts w:hint="default" w:ascii="Times New Roman" w:hAnsi="Times New Roman" w:cs="Times New Roman"/>
          <w:i w:val="0"/>
          <w:iCs/>
          <w:sz w:val="24"/>
          <w:szCs w:val="24"/>
        </w:rPr>
        <w:t xml:space="preserve">, 14(1).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"https://doi.org/10.52783/eel.v14i1.993"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https://doi.org/10.52783/eel.v14i1.993</w:t>
      </w:r>
      <w:r>
        <w:rPr>
          <w:rFonts w:hint="default" w:ascii="Times New Roman" w:hAnsi="Times New Roman" w:cs="Times New Roman"/>
          <w:i w:val="0"/>
          <w:iCs/>
          <w:sz w:val="24"/>
          <w:szCs w:val="24"/>
        </w:rPr>
        <w:fldChar w:fldCharType="end"/>
      </w:r>
    </w:p>
    <w:p w14:paraId="686CB16B">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w:hAnsi="Times New Roman" w:cs="Times New Roman"/>
          <w:i/>
          <w:sz w:val="24"/>
          <w:szCs w:val="24"/>
        </w:rPr>
      </w:pPr>
      <w:r>
        <w:rPr>
          <w:rFonts w:hint="default" w:ascii="Times New Roman" w:hAnsi="Times New Roman" w:cs="Times New Roman"/>
          <w:i w:val="0"/>
          <w:iCs/>
          <w:sz w:val="24"/>
          <w:szCs w:val="24"/>
        </w:rPr>
        <w:t xml:space="preserve">Ward, M. M. (2012). Personalized therapeutics: a potential threat to health equity. </w:t>
      </w:r>
      <w:r>
        <w:rPr>
          <w:rFonts w:hint="default" w:ascii="Times New Roman Italic" w:hAnsi="Times New Roman Italic" w:cs="Times New Roman Italic"/>
          <w:i/>
          <w:iCs w:val="0"/>
          <w:sz w:val="24"/>
          <w:szCs w:val="24"/>
        </w:rPr>
        <w:t>Journal of General Internal Medicine</w:t>
      </w:r>
      <w:r>
        <w:rPr>
          <w:rFonts w:hint="default" w:ascii="Times New Roman" w:hAnsi="Times New Roman" w:cs="Times New Roman"/>
          <w:i w:val="0"/>
          <w:iCs/>
          <w:sz w:val="24"/>
          <w:szCs w:val="24"/>
        </w:rPr>
        <w:t xml:space="preserve">, 27(7), 868–870. </w:t>
      </w:r>
      <w:r>
        <w:rPr>
          <w:rFonts w:hint="default" w:ascii="Times New Roman" w:hAnsi="Times New Roman" w:cs="Times New Roman"/>
          <w:i w:val="0"/>
          <w:iCs/>
          <w:sz w:val="24"/>
          <w:szCs w:val="24"/>
        </w:rPr>
        <w:fldChar w:fldCharType="begin"/>
      </w:r>
      <w:r>
        <w:rPr>
          <w:rFonts w:hint="default" w:ascii="Times New Roman" w:hAnsi="Times New Roman" w:cs="Times New Roman"/>
          <w:i w:val="0"/>
          <w:iCs/>
          <w:sz w:val="24"/>
          <w:szCs w:val="24"/>
        </w:rPr>
        <w:instrText xml:space="preserve"> HYPERLINK "https://doi.org/10.1007/s11606-012-2002-z" </w:instrText>
      </w:r>
      <w:r>
        <w:rPr>
          <w:rFonts w:hint="default" w:ascii="Times New Roman" w:hAnsi="Times New Roman" w:cs="Times New Roman"/>
          <w:i w:val="0"/>
          <w:iCs/>
          <w:sz w:val="24"/>
          <w:szCs w:val="24"/>
        </w:rPr>
        <w:fldChar w:fldCharType="separate"/>
      </w:r>
      <w:r>
        <w:rPr>
          <w:rStyle w:val="7"/>
          <w:rFonts w:hint="default" w:ascii="Times New Roman" w:hAnsi="Times New Roman" w:cs="Times New Roman"/>
          <w:i w:val="0"/>
          <w:iCs/>
          <w:sz w:val="24"/>
          <w:szCs w:val="24"/>
        </w:rPr>
        <w:t>https://doi.org/10.1007/s11606-012-2002-z</w:t>
      </w:r>
      <w:r>
        <w:rPr>
          <w:rFonts w:hint="default" w:ascii="Times New Roman" w:hAnsi="Times New Roman" w:cs="Times New Roman"/>
          <w:i w:val="0"/>
          <w:iCs/>
          <w:sz w:val="24"/>
          <w:szCs w:val="24"/>
        </w:rPr>
        <w:fldChar w:fldCharType="end"/>
      </w:r>
    </w:p>
    <w:p w14:paraId="35ECFF31">
      <w:pPr>
        <w:keepNext w:val="0"/>
        <w:keepLines w:val="0"/>
        <w:pageBreakBefore w:val="0"/>
        <w:widowControl w:val="0"/>
        <w:kinsoku/>
        <w:wordWrap/>
        <w:overflowPunct/>
        <w:topLinePunct w:val="0"/>
        <w:autoSpaceDE/>
        <w:autoSpaceDN/>
        <w:bidi w:val="0"/>
        <w:adjustRightInd/>
        <w:snapToGrid/>
        <w:spacing w:beforeAutospacing="0" w:afterAutospacing="0" w:line="480" w:lineRule="auto"/>
        <w:ind w:left="480" w:hanging="480" w:hangingChars="200"/>
        <w:jc w:val="left"/>
        <w:textAlignment w:val="auto"/>
        <w:rPr>
          <w:rFonts w:hint="default" w:ascii="Times New Roman Regular" w:hAnsi="Times New Roman Regular" w:cs="Times New Roman Regular" w:eastAsiaTheme="minorEastAsia"/>
          <w:sz w:val="24"/>
          <w:szCs w:val="24"/>
          <w:lang w:val="en-US" w:eastAsia="zh-C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2F9FD3C"/>
    <w:rsid w:val="4FFFEDA2"/>
    <w:rsid w:val="6B7DA839"/>
    <w:rsid w:val="7CDFC6D6"/>
    <w:rsid w:val="BF96237C"/>
    <w:rsid w:val="D2F9FD3C"/>
    <w:rsid w:val="FFAF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tabs>
        <w:tab w:val="center" w:pos="4153"/>
        <w:tab w:val="right" w:pos="8306"/>
      </w:tabs>
      <w:snapToGrid w:val="0"/>
      <w:jc w:val="center"/>
    </w:pPr>
    <w:rPr>
      <w:sz w:val="18"/>
      <w:szCs w:val="18"/>
    </w:rPr>
  </w:style>
  <w:style w:type="character" w:styleId="7">
    <w:name w:val="Hyperlink"/>
    <w:basedOn w:val="2"/>
    <w:unhideWhenUsed/>
    <w:qFormat/>
    <w:uiPriority w:val="99"/>
    <w:rPr>
      <w:color w:val="0026E5"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2025-05-15T02:34:00Z</dcterms:created>
  <dc:creator>陈恺</dc:creator>
  <cp:lastModifiedBy>陈恺</cp:lastModifiedBy>
  <dcterms:modified xsi:type="dcterms:W3CDTF">2025-05-14T11:38:33Z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1A12826A983296A3530124681063F668_41</vt:lpwstr>
  </property>
</Properties>
</file>