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C890" w14:textId="77777777" w:rsidR="00E12DB9" w:rsidRPr="00E12DB9" w:rsidRDefault="00E12DB9" w:rsidP="00085B4C">
      <w:pPr>
        <w:jc w:val="center"/>
        <w:rPr>
          <w:rFonts w:ascii="Calibri" w:hAnsi="Calibri" w:cs="Calibri"/>
          <w:b/>
          <w:bCs/>
        </w:rPr>
      </w:pPr>
    </w:p>
    <w:p w14:paraId="5B55411B" w14:textId="40446ACB" w:rsidR="00E12DB9" w:rsidRPr="00E12DB9" w:rsidRDefault="00E12DB9" w:rsidP="00085B4C">
      <w:pPr>
        <w:jc w:val="center"/>
        <w:rPr>
          <w:rFonts w:ascii="Calibri" w:hAnsi="Calibri" w:cs="Calibri"/>
          <w:b/>
          <w:bCs/>
        </w:rPr>
      </w:pPr>
      <w:r w:rsidRPr="00E12DB9">
        <w:rPr>
          <w:rFonts w:ascii="Calibri" w:hAnsi="Calibri" w:cs="Calibri"/>
          <w:b/>
          <w:bCs/>
        </w:rPr>
        <w:t>Law 237 Principles of Commercial Law</w:t>
      </w:r>
    </w:p>
    <w:p w14:paraId="21D1603A" w14:textId="77777777" w:rsidR="00E12DB9" w:rsidRPr="00E12DB9" w:rsidRDefault="00E12DB9" w:rsidP="00085B4C">
      <w:pPr>
        <w:jc w:val="center"/>
        <w:rPr>
          <w:rFonts w:ascii="Calibri" w:hAnsi="Calibri" w:cs="Calibri"/>
          <w:b/>
          <w:bCs/>
        </w:rPr>
      </w:pPr>
    </w:p>
    <w:p w14:paraId="5AC12F67" w14:textId="77777777" w:rsidR="00E12DB9" w:rsidRPr="00E12DB9" w:rsidRDefault="00E12DB9" w:rsidP="00085B4C">
      <w:pPr>
        <w:jc w:val="center"/>
        <w:rPr>
          <w:rFonts w:ascii="Calibri" w:hAnsi="Calibri" w:cs="Calibri"/>
          <w:b/>
          <w:bCs/>
        </w:rPr>
      </w:pPr>
      <w:r w:rsidRPr="00E12DB9">
        <w:rPr>
          <w:rFonts w:ascii="Calibri" w:hAnsi="Calibri" w:cs="Calibri"/>
          <w:b/>
          <w:bCs/>
        </w:rPr>
        <w:t>Topic 6</w:t>
      </w:r>
    </w:p>
    <w:p w14:paraId="5383880C" w14:textId="77777777" w:rsidR="00E12DB9" w:rsidRPr="00E12DB9" w:rsidRDefault="00E12DB9" w:rsidP="00E12DB9">
      <w:pPr>
        <w:rPr>
          <w:rFonts w:ascii="Calibri" w:hAnsi="Calibri" w:cs="Calibri"/>
          <w:b/>
          <w:bCs/>
        </w:rPr>
      </w:pPr>
    </w:p>
    <w:p w14:paraId="2BB67D1C" w14:textId="543699C6" w:rsidR="00E12DB9" w:rsidRPr="00E12DB9" w:rsidRDefault="00E12DB9" w:rsidP="00EC1A8A">
      <w:pPr>
        <w:rPr>
          <w:rFonts w:ascii="Calibri" w:hAnsi="Calibri" w:cs="Calibri"/>
          <w:b/>
          <w:bCs/>
        </w:rPr>
      </w:pPr>
      <w:r w:rsidRPr="00E12DB9">
        <w:rPr>
          <w:rFonts w:ascii="Calibri" w:hAnsi="Calibri" w:cs="Calibri"/>
          <w:b/>
          <w:bCs/>
        </w:rPr>
        <w:t>Required Reading</w:t>
      </w:r>
      <w:r w:rsidRPr="00E12DB9">
        <w:rPr>
          <w:rFonts w:ascii="Calibri" w:eastAsia="Times New Roman" w:hAnsi="Calibri" w:cs="Calibri"/>
          <w:b/>
          <w:bCs/>
          <w:color w:val="000000" w:themeColor="text1"/>
          <w:lang w:eastAsia="en-GB"/>
        </w:rPr>
        <w:br/>
        <w:t>Articles:</w:t>
      </w:r>
    </w:p>
    <w:p w14:paraId="12EA602F"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S Booysen, ‘Cheques: to be or not to be?’ (2018) 4 Journal of Business Law 283-299</w:t>
      </w:r>
    </w:p>
    <w:p w14:paraId="4478A9B7"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 xml:space="preserve">Zhu, </w:t>
      </w:r>
      <w:proofErr w:type="spellStart"/>
      <w:r w:rsidRPr="00E12DB9">
        <w:rPr>
          <w:rFonts w:ascii="Calibri" w:eastAsia="Times New Roman" w:hAnsi="Calibri" w:cs="Calibri"/>
          <w:color w:val="000000" w:themeColor="text1"/>
          <w:lang w:eastAsia="en-GB"/>
        </w:rPr>
        <w:t>Qinhao</w:t>
      </w:r>
      <w:proofErr w:type="spellEnd"/>
      <w:r w:rsidRPr="00E12DB9">
        <w:rPr>
          <w:rFonts w:ascii="Calibri" w:eastAsia="Times New Roman" w:hAnsi="Calibri" w:cs="Calibri"/>
          <w:color w:val="000000" w:themeColor="text1"/>
          <w:lang w:eastAsia="en-GB"/>
        </w:rPr>
        <w:t>, ’</w:t>
      </w:r>
      <w:proofErr w:type="spellStart"/>
      <w:r w:rsidRPr="00E12DB9">
        <w:rPr>
          <w:rFonts w:ascii="Calibri" w:eastAsia="Times New Roman" w:hAnsi="Calibri" w:cs="Calibri"/>
          <w:color w:val="000000" w:themeColor="text1"/>
          <w:lang w:eastAsia="en-GB"/>
        </w:rPr>
        <w:t>Quincecare</w:t>
      </w:r>
      <w:proofErr w:type="spellEnd"/>
      <w:r w:rsidRPr="00E12DB9">
        <w:rPr>
          <w:rFonts w:ascii="Calibri" w:eastAsia="Times New Roman" w:hAnsi="Calibri" w:cs="Calibri"/>
          <w:color w:val="000000" w:themeColor="text1"/>
          <w:lang w:eastAsia="en-GB"/>
        </w:rPr>
        <w:t xml:space="preserve"> is Dead, Long Live </w:t>
      </w:r>
      <w:proofErr w:type="spellStart"/>
      <w:r w:rsidRPr="00E12DB9">
        <w:rPr>
          <w:rFonts w:ascii="Calibri" w:eastAsia="Times New Roman" w:hAnsi="Calibri" w:cs="Calibri"/>
          <w:color w:val="000000" w:themeColor="text1"/>
          <w:lang w:eastAsia="en-GB"/>
        </w:rPr>
        <w:t>Quincecare</w:t>
      </w:r>
      <w:proofErr w:type="spellEnd"/>
      <w:r w:rsidRPr="00E12DB9">
        <w:rPr>
          <w:rFonts w:ascii="Calibri" w:eastAsia="Times New Roman" w:hAnsi="Calibri" w:cs="Calibri"/>
          <w:color w:val="000000" w:themeColor="text1"/>
          <w:lang w:eastAsia="en-GB"/>
        </w:rPr>
        <w:t>!</w:t>
      </w:r>
      <w:proofErr w:type="gramStart"/>
      <w:r w:rsidRPr="00E12DB9">
        <w:rPr>
          <w:rFonts w:ascii="Calibri" w:eastAsia="Times New Roman" w:hAnsi="Calibri" w:cs="Calibri"/>
          <w:color w:val="000000" w:themeColor="text1"/>
          <w:lang w:eastAsia="en-GB"/>
        </w:rPr>
        <w:t>’(</w:t>
      </w:r>
      <w:proofErr w:type="gramEnd"/>
      <w:r w:rsidRPr="00E12DB9">
        <w:rPr>
          <w:rFonts w:ascii="Calibri" w:eastAsia="Times New Roman" w:hAnsi="Calibri" w:cs="Calibri"/>
          <w:color w:val="000000" w:themeColor="text1"/>
          <w:lang w:eastAsia="en-GB"/>
        </w:rPr>
        <w:t>June 09, 2024). Company and Securities Law Bulletin 2</w:t>
      </w:r>
    </w:p>
    <w:p w14:paraId="6413A5A0"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J Braithwaite, 'Authorised Push Payment' Bank Fraud: What Does an Effective Regulatory Response Look Like' (2024) 10(2) Journal of Financial Regulation 174-193</w:t>
      </w:r>
    </w:p>
    <w:p w14:paraId="60C5C44A" w14:textId="77777777" w:rsidR="00E12DB9" w:rsidRPr="00E12DB9" w:rsidRDefault="00E12DB9" w:rsidP="00E12DB9">
      <w:pPr>
        <w:spacing w:after="100" w:afterAutospacing="1"/>
        <w:outlineLvl w:val="2"/>
        <w:rPr>
          <w:rFonts w:ascii="Calibri" w:eastAsia="Times New Roman" w:hAnsi="Calibri" w:cs="Calibri"/>
          <w:color w:val="000000" w:themeColor="text1"/>
          <w:lang w:eastAsia="en-GB"/>
        </w:rPr>
      </w:pPr>
      <w:proofErr w:type="gramStart"/>
      <w:r w:rsidRPr="00E12DB9">
        <w:rPr>
          <w:rFonts w:ascii="Calibri" w:eastAsia="Times New Roman" w:hAnsi="Calibri" w:cs="Calibri"/>
          <w:b/>
          <w:bCs/>
          <w:color w:val="000000" w:themeColor="text1"/>
          <w:lang w:eastAsia="en-GB"/>
        </w:rPr>
        <w:t>Text Books</w:t>
      </w:r>
      <w:proofErr w:type="gramEnd"/>
      <w:r w:rsidRPr="00E12DB9">
        <w:rPr>
          <w:rFonts w:ascii="Calibri" w:eastAsia="Times New Roman" w:hAnsi="Calibri" w:cs="Calibri"/>
          <w:b/>
          <w:bCs/>
          <w:color w:val="000000" w:themeColor="text1"/>
          <w:lang w:eastAsia="en-GB"/>
        </w:rPr>
        <w:t>:</w:t>
      </w:r>
    </w:p>
    <w:p w14:paraId="1E082A92"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R Austen-Baker, K Akintola, M Ahmed et al, </w:t>
      </w:r>
      <w:r w:rsidRPr="00E12DB9">
        <w:rPr>
          <w:rFonts w:ascii="Calibri" w:eastAsia="Times New Roman" w:hAnsi="Calibri" w:cs="Calibri"/>
          <w:i/>
          <w:iCs/>
          <w:color w:val="000000" w:themeColor="text1"/>
          <w:lang w:eastAsia="en-GB"/>
        </w:rPr>
        <w:t>Principles of Commercial Law</w:t>
      </w:r>
      <w:r w:rsidRPr="00E12DB9">
        <w:rPr>
          <w:rFonts w:ascii="Calibri" w:eastAsia="Times New Roman" w:hAnsi="Calibri" w:cs="Calibri"/>
          <w:color w:val="000000" w:themeColor="text1"/>
          <w:lang w:eastAsia="en-GB"/>
        </w:rPr>
        <w:t> (Edward Elgar 2022) – Chapter 14.</w:t>
      </w:r>
    </w:p>
    <w:p w14:paraId="3A55D4CB"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Baskind et al, </w:t>
      </w:r>
      <w:r w:rsidRPr="00E12DB9">
        <w:rPr>
          <w:rFonts w:ascii="Calibri" w:eastAsia="Times New Roman" w:hAnsi="Calibri" w:cs="Calibri"/>
          <w:i/>
          <w:iCs/>
          <w:color w:val="000000" w:themeColor="text1"/>
          <w:lang w:eastAsia="en-GB"/>
        </w:rPr>
        <w:t>Commercial Law</w:t>
      </w:r>
      <w:r w:rsidRPr="00E12DB9">
        <w:rPr>
          <w:rFonts w:ascii="Calibri" w:eastAsia="Times New Roman" w:hAnsi="Calibri" w:cs="Calibri"/>
          <w:color w:val="000000" w:themeColor="text1"/>
          <w:lang w:eastAsia="en-GB"/>
        </w:rPr>
        <w:t xml:space="preserve"> (5th </w:t>
      </w:r>
      <w:proofErr w:type="spellStart"/>
      <w:r w:rsidRPr="00E12DB9">
        <w:rPr>
          <w:rFonts w:ascii="Calibri" w:eastAsia="Times New Roman" w:hAnsi="Calibri" w:cs="Calibri"/>
          <w:color w:val="000000" w:themeColor="text1"/>
          <w:lang w:eastAsia="en-GB"/>
        </w:rPr>
        <w:t>edn</w:t>
      </w:r>
      <w:proofErr w:type="spellEnd"/>
      <w:r w:rsidRPr="00E12DB9">
        <w:rPr>
          <w:rFonts w:ascii="Calibri" w:eastAsia="Times New Roman" w:hAnsi="Calibri" w:cs="Calibri"/>
          <w:color w:val="000000" w:themeColor="text1"/>
          <w:lang w:eastAsia="en-GB"/>
        </w:rPr>
        <w:t>) – Chapter 23 and 24</w:t>
      </w:r>
    </w:p>
    <w:p w14:paraId="09D13A9A"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Goode on </w:t>
      </w:r>
      <w:r w:rsidRPr="00E12DB9">
        <w:rPr>
          <w:rFonts w:ascii="Calibri" w:eastAsia="Times New Roman" w:hAnsi="Calibri" w:cs="Calibri"/>
          <w:i/>
          <w:iCs/>
          <w:color w:val="000000" w:themeColor="text1"/>
          <w:lang w:eastAsia="en-GB"/>
        </w:rPr>
        <w:t>Commercial Law</w:t>
      </w:r>
      <w:r w:rsidRPr="00E12DB9">
        <w:rPr>
          <w:rFonts w:ascii="Calibri" w:eastAsia="Times New Roman" w:hAnsi="Calibri" w:cs="Calibri"/>
          <w:color w:val="000000" w:themeColor="text1"/>
          <w:lang w:eastAsia="en-GB"/>
        </w:rPr>
        <w:t xml:space="preserve"> (6th </w:t>
      </w:r>
      <w:proofErr w:type="spellStart"/>
      <w:r w:rsidRPr="00E12DB9">
        <w:rPr>
          <w:rFonts w:ascii="Calibri" w:eastAsia="Times New Roman" w:hAnsi="Calibri" w:cs="Calibri"/>
          <w:color w:val="000000" w:themeColor="text1"/>
          <w:lang w:eastAsia="en-GB"/>
        </w:rPr>
        <w:t>edn</w:t>
      </w:r>
      <w:proofErr w:type="spellEnd"/>
      <w:r w:rsidRPr="00E12DB9">
        <w:rPr>
          <w:rFonts w:ascii="Calibri" w:eastAsia="Times New Roman" w:hAnsi="Calibri" w:cs="Calibri"/>
          <w:color w:val="000000" w:themeColor="text1"/>
          <w:lang w:eastAsia="en-GB"/>
        </w:rPr>
        <w:t>) – Chapter 17 and 18 </w:t>
      </w:r>
    </w:p>
    <w:p w14:paraId="3AC1EB08" w14:textId="5EEE6092" w:rsidR="00E12DB9" w:rsidRPr="00E12DB9" w:rsidRDefault="00E12DB9" w:rsidP="00E12DB9">
      <w:pPr>
        <w:spacing w:after="100" w:afterAutospacing="1"/>
        <w:outlineLvl w:val="2"/>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C</w:t>
      </w:r>
      <w:r w:rsidR="00EC1A8A">
        <w:rPr>
          <w:rFonts w:ascii="Calibri" w:eastAsia="Times New Roman" w:hAnsi="Calibri" w:cs="Calibri"/>
          <w:b/>
          <w:bCs/>
          <w:color w:val="000000" w:themeColor="text1"/>
          <w:lang w:eastAsia="en-GB"/>
        </w:rPr>
        <w:t>a</w:t>
      </w:r>
      <w:r w:rsidRPr="00E12DB9">
        <w:rPr>
          <w:rFonts w:ascii="Calibri" w:eastAsia="Times New Roman" w:hAnsi="Calibri" w:cs="Calibri"/>
          <w:b/>
          <w:bCs/>
          <w:color w:val="000000" w:themeColor="text1"/>
          <w:lang w:eastAsia="en-GB"/>
        </w:rPr>
        <w:t>ses:</w:t>
      </w:r>
    </w:p>
    <w:p w14:paraId="3C625784"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Owen v Tate [1976] QB 402</w:t>
      </w:r>
    </w:p>
    <w:p w14:paraId="23C432FB"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 xml:space="preserve">TSB Bank of </w:t>
      </w:r>
      <w:proofErr w:type="spellStart"/>
      <w:r w:rsidRPr="00E12DB9">
        <w:rPr>
          <w:rFonts w:ascii="Calibri" w:eastAsia="Times New Roman" w:hAnsi="Calibri" w:cs="Calibri"/>
          <w:b/>
          <w:bCs/>
          <w:color w:val="000000" w:themeColor="text1"/>
          <w:lang w:eastAsia="en-GB"/>
        </w:rPr>
        <w:t>Scorland</w:t>
      </w:r>
      <w:proofErr w:type="spellEnd"/>
      <w:r w:rsidRPr="00E12DB9">
        <w:rPr>
          <w:rFonts w:ascii="Calibri" w:eastAsia="Times New Roman" w:hAnsi="Calibri" w:cs="Calibri"/>
          <w:b/>
          <w:bCs/>
          <w:color w:val="000000" w:themeColor="text1"/>
          <w:lang w:eastAsia="en-GB"/>
        </w:rPr>
        <w:t xml:space="preserve"> plc v Welwyn Hatfield DC [1993] 2 Bank LR 267 (QB)</w:t>
      </w:r>
    </w:p>
    <w:p w14:paraId="38E47A5C"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Miller v Race [1758] </w:t>
      </w:r>
    </w:p>
    <w:p w14:paraId="3036F796"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Re Charge Card Services (No 2) [1989] Ch 497</w:t>
      </w:r>
    </w:p>
    <w:p w14:paraId="47C4F901"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Aldridge v Johnson (1857</w:t>
      </w:r>
      <w:proofErr w:type="gramStart"/>
      <w:r w:rsidRPr="00E12DB9">
        <w:rPr>
          <w:rFonts w:ascii="Calibri" w:eastAsia="Times New Roman" w:hAnsi="Calibri" w:cs="Calibri"/>
          <w:b/>
          <w:bCs/>
          <w:color w:val="000000" w:themeColor="text1"/>
          <w:lang w:eastAsia="en-GB"/>
        </w:rPr>
        <w:t>))E</w:t>
      </w:r>
      <w:proofErr w:type="gramEnd"/>
      <w:r w:rsidRPr="00E12DB9">
        <w:rPr>
          <w:rFonts w:ascii="Calibri" w:eastAsia="Times New Roman" w:hAnsi="Calibri" w:cs="Calibri"/>
          <w:b/>
          <w:bCs/>
          <w:color w:val="000000" w:themeColor="text1"/>
          <w:lang w:eastAsia="en-GB"/>
        </w:rPr>
        <w:t xml:space="preserve"> &amp; B 88</w:t>
      </w:r>
    </w:p>
    <w:p w14:paraId="6A916816"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Stain v Blake (1996)</w:t>
      </w:r>
    </w:p>
    <w:p w14:paraId="67531431"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Tayeb v HSBC [2004] EWHC 1529 (Comm)</w:t>
      </w:r>
    </w:p>
    <w:p w14:paraId="793A93D5"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Philipp v Barclays [2023] UKSC 25</w:t>
      </w:r>
    </w:p>
    <w:p w14:paraId="57465221"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Tidal Energy Ltd v. Bank of Scotland Plc [2014] EWCA Civ1107</w:t>
      </w:r>
    </w:p>
    <w:p w14:paraId="3FC9B0A7"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 xml:space="preserve">Banque </w:t>
      </w:r>
      <w:proofErr w:type="spellStart"/>
      <w:r w:rsidRPr="00E12DB9">
        <w:rPr>
          <w:rFonts w:ascii="Calibri" w:eastAsia="Times New Roman" w:hAnsi="Calibri" w:cs="Calibri"/>
          <w:color w:val="000000" w:themeColor="text1"/>
          <w:lang w:eastAsia="en-GB"/>
        </w:rPr>
        <w:t>Cantonale</w:t>
      </w:r>
      <w:proofErr w:type="spellEnd"/>
      <w:r w:rsidRPr="00E12DB9">
        <w:rPr>
          <w:rFonts w:ascii="Calibri" w:eastAsia="Times New Roman" w:hAnsi="Calibri" w:cs="Calibri"/>
          <w:color w:val="000000" w:themeColor="text1"/>
          <w:lang w:eastAsia="en-GB"/>
        </w:rPr>
        <w:t xml:space="preserve"> de Geneve v Sanomi [2016]</w:t>
      </w:r>
    </w:p>
    <w:p w14:paraId="378AC964"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Roberts &amp; Co v. Marsh [1915]</w:t>
      </w:r>
    </w:p>
    <w:p w14:paraId="625CC92F"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Clutton v. Attenborough &amp; Son [1897]</w:t>
      </w:r>
    </w:p>
    <w:p w14:paraId="1C9EF155" w14:textId="77777777" w:rsidR="00E12DB9" w:rsidRPr="00E12DB9" w:rsidRDefault="00E12DB9" w:rsidP="00E12DB9">
      <w:pPr>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Greenwood v Martins Bank [1933]</w:t>
      </w:r>
      <w:r w:rsidRPr="00E12DB9">
        <w:rPr>
          <w:rFonts w:ascii="Calibri" w:eastAsia="Times New Roman" w:hAnsi="Calibri" w:cs="Calibri"/>
          <w:b/>
          <w:bCs/>
          <w:color w:val="000000" w:themeColor="text1"/>
          <w:lang w:eastAsia="en-GB"/>
        </w:rPr>
        <w:br/>
      </w:r>
    </w:p>
    <w:p w14:paraId="189D1AE1" w14:textId="77777777" w:rsidR="00E12DB9" w:rsidRPr="00E12DB9" w:rsidRDefault="00E12DB9" w:rsidP="00E12DB9">
      <w:pPr>
        <w:spacing w:after="100" w:afterAutospacing="1"/>
        <w:outlineLvl w:val="2"/>
        <w:rPr>
          <w:rFonts w:ascii="Calibri" w:eastAsia="Times New Roman" w:hAnsi="Calibri" w:cs="Calibri"/>
          <w:color w:val="000000" w:themeColor="text1"/>
          <w:lang w:eastAsia="en-GB"/>
        </w:rPr>
      </w:pPr>
      <w:r w:rsidRPr="00E12DB9">
        <w:rPr>
          <w:rFonts w:ascii="Calibri" w:eastAsia="Times New Roman" w:hAnsi="Calibri" w:cs="Calibri"/>
          <w:b/>
          <w:bCs/>
          <w:color w:val="000000" w:themeColor="text1"/>
          <w:lang w:eastAsia="en-GB"/>
        </w:rPr>
        <w:t>Legislation:</w:t>
      </w:r>
    </w:p>
    <w:p w14:paraId="5E1CEAC6"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Bills of Exchange Act 1882</w:t>
      </w:r>
    </w:p>
    <w:p w14:paraId="1667A13F"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Sale of Goods Act 1979</w:t>
      </w:r>
    </w:p>
    <w:p w14:paraId="20A1B645" w14:textId="77777777" w:rsidR="00E12DB9" w:rsidRPr="00E12DB9" w:rsidRDefault="00E12DB9" w:rsidP="00E12DB9">
      <w:pPr>
        <w:spacing w:after="100" w:afterAutospacing="1"/>
        <w:rPr>
          <w:rFonts w:ascii="Calibri" w:eastAsia="Times New Roman" w:hAnsi="Calibri" w:cs="Calibri"/>
          <w:color w:val="000000" w:themeColor="text1"/>
          <w:lang w:eastAsia="en-GB"/>
        </w:rPr>
      </w:pPr>
      <w:r w:rsidRPr="00E12DB9">
        <w:rPr>
          <w:rFonts w:ascii="Calibri" w:eastAsia="Times New Roman" w:hAnsi="Calibri" w:cs="Calibri"/>
          <w:color w:val="000000" w:themeColor="text1"/>
          <w:lang w:eastAsia="en-GB"/>
        </w:rPr>
        <w:t>Coinage Act 1971</w:t>
      </w:r>
    </w:p>
    <w:p w14:paraId="2DE80C2B" w14:textId="77777777" w:rsidR="00E12DB9" w:rsidRPr="00E12DB9" w:rsidRDefault="00E12DB9" w:rsidP="00085B4C">
      <w:pPr>
        <w:jc w:val="center"/>
        <w:rPr>
          <w:rFonts w:ascii="Calibri" w:hAnsi="Calibri" w:cs="Calibri"/>
          <w:b/>
          <w:bCs/>
        </w:rPr>
      </w:pPr>
    </w:p>
    <w:p w14:paraId="033737C8" w14:textId="77777777" w:rsidR="00E12DB9" w:rsidRPr="00E12DB9" w:rsidRDefault="00E12DB9" w:rsidP="00E12DB9">
      <w:pPr>
        <w:pStyle w:val="Heading1"/>
        <w:spacing w:line="276" w:lineRule="auto"/>
        <w:jc w:val="both"/>
        <w:rPr>
          <w:rFonts w:ascii="Calibri" w:hAnsi="Calibri" w:cs="Calibri"/>
          <w:b/>
          <w:sz w:val="24"/>
          <w:szCs w:val="20"/>
        </w:rPr>
      </w:pPr>
      <w:r w:rsidRPr="00E12DB9">
        <w:rPr>
          <w:rFonts w:ascii="Calibri" w:hAnsi="Calibri" w:cs="Calibri"/>
          <w:b/>
          <w:sz w:val="24"/>
          <w:szCs w:val="20"/>
        </w:rPr>
        <w:t xml:space="preserve">Methods of Payment    </w:t>
      </w:r>
    </w:p>
    <w:p w14:paraId="7863A57B" w14:textId="77777777" w:rsidR="00E12DB9" w:rsidRDefault="00E12DB9" w:rsidP="00E12DB9"/>
    <w:p w14:paraId="1E9E82F9" w14:textId="77777777" w:rsidR="00E12DB9" w:rsidRDefault="00E12DB9" w:rsidP="00E12DB9">
      <w:pPr>
        <w:jc w:val="both"/>
      </w:pPr>
      <w:r>
        <w:t xml:space="preserve">There are various methods of payment in English commercial law – some will be more familiar to you than others (for example, we are probably more familiar with our excessive routine contactless payments at the local </w:t>
      </w:r>
      <w:r>
        <w:rPr>
          <w:i/>
          <w:iCs/>
        </w:rPr>
        <w:t xml:space="preserve">Chippy </w:t>
      </w:r>
      <w:r>
        <w:t xml:space="preserve">than we are alive to our parents/funders transferring that precious tuition fee to LU’s bank account). While it is crucial to understand the conceptual nature of varied forms of payment, of more importance is understanding that such conceptual nature could determine the success or otherwise of legal claims to payments. Put differently, the nature of payment has a bearing on (a) the nature of obligation on the payer; and (b) the right of the payee. </w:t>
      </w:r>
    </w:p>
    <w:p w14:paraId="421353AA" w14:textId="77777777" w:rsidR="00E12DB9" w:rsidRDefault="00E12DB9" w:rsidP="00E12DB9">
      <w:pPr>
        <w:jc w:val="both"/>
      </w:pPr>
    </w:p>
    <w:p w14:paraId="7A7D65FD" w14:textId="77777777" w:rsidR="00E12DB9" w:rsidRPr="006A3A54" w:rsidRDefault="00E12DB9" w:rsidP="00E12DB9">
      <w:pPr>
        <w:jc w:val="both"/>
      </w:pPr>
      <w:r>
        <w:t xml:space="preserve">By “Payment”, we mean the performance or discharge of a money obligation. We have seen (or will see) on this module that a contract of sale of goods will give rise to such obligation which the buyer is bound to discharge by paying the price of the goods sold. See </w:t>
      </w:r>
      <w:r>
        <w:rPr>
          <w:b/>
          <w:bCs/>
        </w:rPr>
        <w:t>Sale of Goods Act 1979, s 2(1), s 28</w:t>
      </w:r>
      <w:r>
        <w:t>.  For a payment to be effective in law, it must be made by the debtor (i.e. the person who owes the money obligation) or a person having authority to make the payment on behalf of the debtor. A debtor is however at liberty to ratify an unauthorised payment by accepting the benefit of such payment (</w:t>
      </w:r>
      <w:r>
        <w:rPr>
          <w:b/>
          <w:bCs/>
          <w:i/>
          <w:iCs/>
        </w:rPr>
        <w:t>Owen v Tate</w:t>
      </w:r>
      <w:r>
        <w:rPr>
          <w:b/>
          <w:bCs/>
        </w:rPr>
        <w:t xml:space="preserve"> [1976] QB 402</w:t>
      </w:r>
      <w:r>
        <w:t xml:space="preserve">). Further, the payment must also be accepted by the creditor (i.e. the person to whom the money obligation is owed). Where the parties have agreed to use a particular mode of payment, payment by a different mode need not be accepted as payment by the creditor. See </w:t>
      </w:r>
      <w:r w:rsidRPr="00414338">
        <w:rPr>
          <w:b/>
          <w:bCs/>
          <w:i/>
          <w:iCs/>
        </w:rPr>
        <w:t xml:space="preserve">Re Charge Card Services Ltd (No 2) </w:t>
      </w:r>
      <w:r w:rsidRPr="00414338">
        <w:rPr>
          <w:b/>
          <w:bCs/>
        </w:rPr>
        <w:t>[1989] Ch 497 (CA)</w:t>
      </w:r>
      <w:r>
        <w:t xml:space="preserve">. </w:t>
      </w:r>
      <w:r w:rsidRPr="00414338">
        <w:t>Much</w:t>
      </w:r>
      <w:r>
        <w:t xml:space="preserve"> of what constitutes a valid payment is premised on contractual construction. For now, we will now turn to some methods of payment. </w:t>
      </w:r>
    </w:p>
    <w:p w14:paraId="37BE94D2" w14:textId="77777777" w:rsidR="00E12DB9" w:rsidRDefault="00E12DB9" w:rsidP="00E12DB9">
      <w:pPr>
        <w:jc w:val="both"/>
      </w:pPr>
    </w:p>
    <w:p w14:paraId="25600426" w14:textId="77777777" w:rsidR="00E12DB9" w:rsidRDefault="00E12DB9" w:rsidP="00E12DB9">
      <w:pPr>
        <w:pStyle w:val="Heading2"/>
        <w:numPr>
          <w:ilvl w:val="0"/>
          <w:numId w:val="3"/>
        </w:numPr>
        <w:ind w:left="1815" w:hanging="375"/>
        <w:rPr>
          <w:rFonts w:ascii="Verdana" w:hAnsi="Verdana"/>
          <w:sz w:val="20"/>
          <w:szCs w:val="20"/>
        </w:rPr>
      </w:pPr>
      <w:r w:rsidRPr="003F3213">
        <w:rPr>
          <w:rFonts w:ascii="Verdana" w:hAnsi="Verdana"/>
          <w:sz w:val="20"/>
          <w:szCs w:val="20"/>
        </w:rPr>
        <w:t>Money</w:t>
      </w:r>
      <w:r>
        <w:rPr>
          <w:rFonts w:ascii="Verdana" w:hAnsi="Verdana"/>
          <w:sz w:val="20"/>
          <w:szCs w:val="20"/>
        </w:rPr>
        <w:t xml:space="preserve"> (Cash and Funds Transfer)</w:t>
      </w:r>
    </w:p>
    <w:p w14:paraId="6F8BE0B2" w14:textId="77777777" w:rsidR="00E12DB9" w:rsidRDefault="00E12DB9" w:rsidP="00E12DB9"/>
    <w:p w14:paraId="64380406" w14:textId="77777777" w:rsidR="00E12DB9" w:rsidRPr="002466BC" w:rsidRDefault="00E12DB9" w:rsidP="00E12DB9">
      <w:pPr>
        <w:jc w:val="both"/>
        <w:rPr>
          <w:b/>
        </w:rPr>
      </w:pPr>
      <w:r>
        <w:t xml:space="preserve">This is possibly one of the oldest methods of payment. Nevertheless, the meaning of money could very much depend on its myriad uses. For example, money could be used as a store of value or a measure of value/unit of account. It could also be used as a medium of exchange, which is the focus of our discussion. In this sense, money would include chattel (cash i.e. notes or coin) issued by the Bank of England and designated as legal tender - often called physical/fiat money - and bank money or electronic money (sometimes called intangible money). Thus, </w:t>
      </w:r>
      <w:r w:rsidRPr="002466BC">
        <w:rPr>
          <w:b/>
        </w:rPr>
        <w:t>money payment could take the form of cash/coins payment</w:t>
      </w:r>
      <w:r>
        <w:rPr>
          <w:b/>
        </w:rPr>
        <w:t>, electronic payments</w:t>
      </w:r>
      <w:r w:rsidRPr="002466BC">
        <w:rPr>
          <w:b/>
        </w:rPr>
        <w:t xml:space="preserve"> or transfer of funds in bank accounts. </w:t>
      </w:r>
    </w:p>
    <w:p w14:paraId="53FF41A8" w14:textId="77777777" w:rsidR="00E12DB9" w:rsidRDefault="00E12DB9" w:rsidP="00E12DB9">
      <w:pPr>
        <w:jc w:val="both"/>
      </w:pPr>
    </w:p>
    <w:p w14:paraId="02869DF4" w14:textId="77777777" w:rsidR="00E12DB9" w:rsidRPr="00F905E6" w:rsidRDefault="00E12DB9" w:rsidP="00E12DB9">
      <w:pPr>
        <w:jc w:val="both"/>
      </w:pPr>
      <w:r w:rsidRPr="00F905E6">
        <w:t xml:space="preserve">In law, </w:t>
      </w:r>
      <w:r>
        <w:t xml:space="preserve">physical money </w:t>
      </w:r>
      <w:r w:rsidRPr="00F905E6">
        <w:t>has the following characteristics:</w:t>
      </w:r>
    </w:p>
    <w:p w14:paraId="01665DE8" w14:textId="77777777" w:rsidR="00E12DB9" w:rsidRDefault="00E12DB9" w:rsidP="00E12DB9">
      <w:pPr>
        <w:numPr>
          <w:ilvl w:val="0"/>
          <w:numId w:val="7"/>
        </w:numPr>
        <w:jc w:val="both"/>
      </w:pPr>
      <w:r w:rsidRPr="00F905E6">
        <w:t>It is a chattel capable of physical possession and could form the basis of an action in conversion where there is unlawful interference with such possession.</w:t>
      </w:r>
    </w:p>
    <w:p w14:paraId="4F2D2C9A" w14:textId="77777777" w:rsidR="00E12DB9" w:rsidRPr="00F905E6" w:rsidRDefault="00E12DB9" w:rsidP="00E12DB9">
      <w:pPr>
        <w:ind w:left="720"/>
        <w:jc w:val="both"/>
      </w:pPr>
    </w:p>
    <w:p w14:paraId="1314FDF0" w14:textId="77777777" w:rsidR="00E12DB9" w:rsidRDefault="00E12DB9" w:rsidP="00E12DB9">
      <w:pPr>
        <w:numPr>
          <w:ilvl w:val="0"/>
          <w:numId w:val="7"/>
        </w:numPr>
        <w:jc w:val="both"/>
      </w:pPr>
      <w:r w:rsidRPr="00F905E6">
        <w:t>The value of the chattel itself – the physical paper or coin – is different from the value it represents.</w:t>
      </w:r>
    </w:p>
    <w:p w14:paraId="275E996F" w14:textId="77777777" w:rsidR="00E12DB9" w:rsidRPr="00F905E6" w:rsidRDefault="00E12DB9" w:rsidP="00E12DB9">
      <w:pPr>
        <w:jc w:val="both"/>
      </w:pPr>
    </w:p>
    <w:p w14:paraId="73310878" w14:textId="77777777" w:rsidR="00E12DB9" w:rsidRPr="00F905E6" w:rsidRDefault="00E12DB9" w:rsidP="00E12DB9">
      <w:pPr>
        <w:numPr>
          <w:ilvl w:val="0"/>
          <w:numId w:val="7"/>
        </w:numPr>
        <w:jc w:val="both"/>
      </w:pPr>
      <w:r w:rsidRPr="00F905E6">
        <w:lastRenderedPageBreak/>
        <w:t xml:space="preserve">It is a thing or chose in possession. This means that title to it passes on delivery (documentary intangible). In other words, title to this money will pass where the holder delivers it to a person who gives value for it. This point is worth elaborating upon </w:t>
      </w:r>
      <w:proofErr w:type="gramStart"/>
      <w:r w:rsidRPr="00F905E6">
        <w:t>in light of</w:t>
      </w:r>
      <w:proofErr w:type="gramEnd"/>
      <w:r w:rsidRPr="00F905E6">
        <w:t xml:space="preserve"> our earlier distinction between a thing in action and a thing in possession. Let us use the example of A, who has a £10 note in his pocket and who is owed £5 by B. The £10 note in A’s pocket is a chose in possession. The £5 debt owed to A by B is a chose in action that could entitle A to initiate legal action against B in the event of default. </w:t>
      </w:r>
    </w:p>
    <w:p w14:paraId="3B1ED8EF" w14:textId="77777777" w:rsidR="00E12DB9" w:rsidRDefault="00E12DB9" w:rsidP="00E12DB9">
      <w:pPr>
        <w:numPr>
          <w:ilvl w:val="0"/>
          <w:numId w:val="7"/>
        </w:numPr>
        <w:jc w:val="both"/>
      </w:pPr>
      <w:r w:rsidRPr="00F905E6">
        <w:t xml:space="preserve">It is not bought or exchanged; it may be borrowed, received as a gift, or given in discharge of an obligation owed to the payee/creditor. </w:t>
      </w:r>
    </w:p>
    <w:p w14:paraId="29750DAF" w14:textId="77777777" w:rsidR="00E12DB9" w:rsidRPr="00F905E6" w:rsidRDefault="00E12DB9" w:rsidP="00E12DB9">
      <w:pPr>
        <w:ind w:left="720"/>
        <w:jc w:val="both"/>
      </w:pPr>
    </w:p>
    <w:p w14:paraId="0A9AC9A5" w14:textId="77777777" w:rsidR="00E12DB9" w:rsidRDefault="00E12DB9" w:rsidP="00E12DB9">
      <w:pPr>
        <w:numPr>
          <w:ilvl w:val="0"/>
          <w:numId w:val="7"/>
        </w:numPr>
        <w:jc w:val="both"/>
      </w:pPr>
      <w:r w:rsidRPr="00F905E6">
        <w:t xml:space="preserve">It is fully negotiable – title to physical money passes with delivery, even where the payer/debtor merely had possession not title, provided the payee/creditor received the money in good faith and for value. See </w:t>
      </w:r>
      <w:r w:rsidRPr="00F905E6">
        <w:rPr>
          <w:b/>
          <w:bCs/>
          <w:i/>
          <w:iCs/>
        </w:rPr>
        <w:t>Miller v Race</w:t>
      </w:r>
      <w:r w:rsidRPr="00F905E6">
        <w:rPr>
          <w:b/>
          <w:bCs/>
        </w:rPr>
        <w:t xml:space="preserve"> (1758) 1 Burr 452</w:t>
      </w:r>
      <w:r w:rsidRPr="00F905E6">
        <w:t>.</w:t>
      </w:r>
    </w:p>
    <w:p w14:paraId="6F3674F6" w14:textId="77777777" w:rsidR="00E12DB9" w:rsidRPr="00F905E6" w:rsidRDefault="00E12DB9" w:rsidP="00E12DB9">
      <w:pPr>
        <w:jc w:val="both"/>
      </w:pPr>
    </w:p>
    <w:p w14:paraId="17320026" w14:textId="77777777" w:rsidR="00E12DB9" w:rsidRDefault="00E12DB9" w:rsidP="00E12DB9">
      <w:pPr>
        <w:numPr>
          <w:ilvl w:val="0"/>
          <w:numId w:val="7"/>
        </w:numPr>
        <w:jc w:val="both"/>
      </w:pPr>
      <w:r w:rsidRPr="00F905E6">
        <w:t>Physical money is fungible – where cash is loaned, it is repayable by an identical chattel without obligation to return the exact cash borrowed.</w:t>
      </w:r>
    </w:p>
    <w:p w14:paraId="743C722A" w14:textId="77777777" w:rsidR="00E12DB9" w:rsidRPr="00F905E6" w:rsidRDefault="00E12DB9" w:rsidP="00E12DB9">
      <w:pPr>
        <w:jc w:val="both"/>
      </w:pPr>
    </w:p>
    <w:p w14:paraId="4DF4B695" w14:textId="77777777" w:rsidR="00E12DB9" w:rsidRPr="00F905E6" w:rsidRDefault="00E12DB9" w:rsidP="00E12DB9">
      <w:pPr>
        <w:numPr>
          <w:ilvl w:val="0"/>
          <w:numId w:val="7"/>
        </w:numPr>
        <w:jc w:val="both"/>
      </w:pPr>
      <w:r w:rsidRPr="00F905E6">
        <w:t xml:space="preserve">It is legal tender – see </w:t>
      </w:r>
      <w:r w:rsidRPr="00F905E6">
        <w:rPr>
          <w:b/>
          <w:bCs/>
        </w:rPr>
        <w:t>Section 2 of the Coinage Act 1971</w:t>
      </w:r>
      <w:r w:rsidRPr="00F905E6">
        <w:t xml:space="preserve">. This point may seem fairly </w:t>
      </w:r>
      <w:proofErr w:type="gramStart"/>
      <w:r w:rsidRPr="00F905E6">
        <w:t>obvious</w:t>
      </w:r>
      <w:proofErr w:type="gramEnd"/>
      <w:r w:rsidRPr="00F905E6">
        <w:t xml:space="preserve"> but it has implications in a dispute between the parties. It is accepted that a payment obligation is </w:t>
      </w:r>
      <w:r w:rsidRPr="00F905E6">
        <w:rPr>
          <w:i/>
          <w:iCs/>
        </w:rPr>
        <w:t xml:space="preserve">prima </w:t>
      </w:r>
      <w:r w:rsidRPr="00F905E6">
        <w:t xml:space="preserve">facie discharged by legal tender – </w:t>
      </w:r>
      <w:r w:rsidRPr="00F905E6">
        <w:rPr>
          <w:b/>
          <w:bCs/>
          <w:i/>
          <w:iCs/>
        </w:rPr>
        <w:t xml:space="preserve">Halsbury’s Laws of </w:t>
      </w:r>
      <w:r w:rsidRPr="00F905E6">
        <w:rPr>
          <w:b/>
          <w:bCs/>
        </w:rPr>
        <w:t>England (5</w:t>
      </w:r>
      <w:r w:rsidRPr="00F905E6">
        <w:rPr>
          <w:b/>
          <w:bCs/>
          <w:vertAlign w:val="superscript"/>
        </w:rPr>
        <w:t>th</w:t>
      </w:r>
      <w:r w:rsidRPr="00F905E6">
        <w:rPr>
          <w:b/>
          <w:bCs/>
        </w:rPr>
        <w:t xml:space="preserve"> </w:t>
      </w:r>
      <w:proofErr w:type="spellStart"/>
      <w:r w:rsidRPr="00F905E6">
        <w:rPr>
          <w:b/>
          <w:bCs/>
        </w:rPr>
        <w:t>edn</w:t>
      </w:r>
      <w:proofErr w:type="spellEnd"/>
      <w:r w:rsidRPr="00F905E6">
        <w:rPr>
          <w:b/>
          <w:bCs/>
        </w:rPr>
        <w:t>, 2010) vol 22, para 542</w:t>
      </w:r>
      <w:r w:rsidRPr="00F905E6">
        <w:t>. Further, given that much of what constitutes a valid payment is tied to the parties’ agreement, a contractual prescription of payment in cash should be adhered to unless a contrary intention appears from the conduct of the parties – for example, where the payee/creditor has previously accepted another method of payment. Ultimately, given the importance of acceptance by the payee/creditor, it is imperative that a payer/debtor whose payee/creditor refuses to accept payment pays the legal tender in court, which will serve as a defence to any action by the payee/creditor for non-performance.</w:t>
      </w:r>
    </w:p>
    <w:p w14:paraId="400D5FC0" w14:textId="77777777" w:rsidR="00E12DB9" w:rsidRPr="00F905E6" w:rsidRDefault="00E12DB9" w:rsidP="00E12DB9">
      <w:pPr>
        <w:pStyle w:val="ListParagraph"/>
        <w:spacing w:line="480" w:lineRule="auto"/>
        <w:rPr>
          <w:rFonts w:ascii="Gill Sans MT" w:hAnsi="Gill Sans M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1"/>
      </w:tblGrid>
      <w:tr w:rsidR="00E12DB9" w:rsidRPr="007108A8" w14:paraId="1DE42CFA" w14:textId="77777777" w:rsidTr="008D2D1E">
        <w:tc>
          <w:tcPr>
            <w:tcW w:w="1985" w:type="dxa"/>
          </w:tcPr>
          <w:p w14:paraId="5C1F189F" w14:textId="77777777" w:rsidR="00E12DB9" w:rsidRDefault="00E12DB9" w:rsidP="008D2D1E">
            <w:pPr>
              <w:spacing w:line="480" w:lineRule="auto"/>
              <w:rPr>
                <w:rFonts w:ascii="Gill Sans MT" w:hAnsi="Gill Sans MT"/>
                <w:sz w:val="24"/>
                <w:szCs w:val="24"/>
              </w:rPr>
            </w:pPr>
            <w:r w:rsidRPr="007108A8">
              <w:rPr>
                <w:rFonts w:ascii="Gill Sans MT" w:hAnsi="Gill Sans MT"/>
                <w:color w:val="FF0000"/>
                <w:sz w:val="96"/>
                <w:szCs w:val="24"/>
              </w:rPr>
              <w:sym w:font="Wingdings" w:char="F046"/>
            </w:r>
          </w:p>
        </w:tc>
        <w:tc>
          <w:tcPr>
            <w:tcW w:w="7031" w:type="dxa"/>
          </w:tcPr>
          <w:p w14:paraId="30007DBB" w14:textId="77777777" w:rsidR="00E12DB9" w:rsidRPr="007108A8" w:rsidRDefault="00E12DB9" w:rsidP="008D2D1E">
            <w:pPr>
              <w:spacing w:line="480" w:lineRule="auto"/>
              <w:rPr>
                <w:rFonts w:ascii="Gill Sans MT" w:hAnsi="Gill Sans MT"/>
                <w:b/>
                <w:sz w:val="24"/>
                <w:szCs w:val="24"/>
              </w:rPr>
            </w:pPr>
            <w:r>
              <w:rPr>
                <w:rFonts w:ascii="Gill Sans MT" w:hAnsi="Gill Sans MT"/>
                <w:b/>
                <w:color w:val="FF0000"/>
                <w:sz w:val="24"/>
                <w:szCs w:val="24"/>
              </w:rPr>
              <w:t>Physical money is negotiable in the sense that once it passes into currency and is transferred to a bona fide purchaser</w:t>
            </w:r>
            <w:r w:rsidRPr="00ED4569">
              <w:rPr>
                <w:rFonts w:ascii="Gill Sans MT" w:hAnsi="Gill Sans MT"/>
                <w:b/>
                <w:color w:val="FF0000"/>
                <w:sz w:val="24"/>
                <w:szCs w:val="24"/>
              </w:rPr>
              <w:t xml:space="preserve"> for value without notice</w:t>
            </w:r>
            <w:r>
              <w:rPr>
                <w:rFonts w:ascii="Gill Sans MT" w:hAnsi="Gill Sans MT"/>
                <w:b/>
                <w:color w:val="FF0000"/>
                <w:sz w:val="24"/>
                <w:szCs w:val="24"/>
              </w:rPr>
              <w:t xml:space="preserve"> of any defects in the title of the transferor, the title of the transferee will not be impugned.</w:t>
            </w:r>
          </w:p>
        </w:tc>
      </w:tr>
    </w:tbl>
    <w:p w14:paraId="559E3595" w14:textId="77777777" w:rsidR="00E12DB9" w:rsidRDefault="00E12DB9" w:rsidP="00E12DB9">
      <w:pPr>
        <w:jc w:val="both"/>
      </w:pPr>
    </w:p>
    <w:p w14:paraId="317A68E6" w14:textId="77777777" w:rsidR="00E12DB9" w:rsidRDefault="00E12DB9" w:rsidP="00E12DB9">
      <w:pPr>
        <w:jc w:val="both"/>
      </w:pPr>
    </w:p>
    <w:p w14:paraId="40171C3E" w14:textId="77777777" w:rsidR="00E12DB9" w:rsidRDefault="00E12DB9" w:rsidP="00E12DB9">
      <w:pPr>
        <w:jc w:val="both"/>
      </w:pPr>
      <w:r w:rsidRPr="00DA73A8">
        <w:rPr>
          <w:b/>
          <w:bCs/>
        </w:rPr>
        <w:t>Bank money relates to monies or accounting credits reflected in bank accounts that could be drawn by the depositor.</w:t>
      </w:r>
      <w:r>
        <w:t xml:space="preserve"> Electronic monies (including, </w:t>
      </w:r>
      <w:r>
        <w:rPr>
          <w:i/>
          <w:iCs/>
        </w:rPr>
        <w:t>Visa</w:t>
      </w:r>
      <w:r>
        <w:t xml:space="preserve">, Mastercard, Apple Pay, Google Wallet etc.) relate to stored monetary value represented by a claim on the e-money issuer which is issued on receipt of funds for the purpose of making payment transactions and is accepted by a person other than the e-money issuer (see </w:t>
      </w:r>
      <w:r>
        <w:rPr>
          <w:b/>
          <w:bCs/>
        </w:rPr>
        <w:t>Electronic Money Regulations 2011, SI 2011/99</w:t>
      </w:r>
      <w:r>
        <w:t xml:space="preserve">). </w:t>
      </w:r>
      <w:r w:rsidRPr="003750D6">
        <w:t xml:space="preserve">In this broad sense, it captures all forms of intangible money that are backed by fiat or physical </w:t>
      </w:r>
      <w:proofErr w:type="gramStart"/>
      <w:r w:rsidRPr="003750D6">
        <w:t>money</w:t>
      </w:r>
      <w:proofErr w:type="gramEnd"/>
      <w:r w:rsidRPr="003750D6">
        <w:t xml:space="preserve"> and which may be stored in various ways, including in bank accounts </w:t>
      </w:r>
      <w:r w:rsidRPr="003750D6">
        <w:lastRenderedPageBreak/>
        <w:t xml:space="preserve">and on technical devices. </w:t>
      </w:r>
      <w:r>
        <w:t>This is why w</w:t>
      </w:r>
      <w:r w:rsidRPr="003750D6">
        <w:t xml:space="preserve">e may also call electronic money ‘bank money’. </w:t>
      </w:r>
      <w:r>
        <w:t xml:space="preserve">These forms of money are increasingly more popular, particularly when high-value payments need to be made. </w:t>
      </w:r>
    </w:p>
    <w:p w14:paraId="51A34473" w14:textId="77777777" w:rsidR="00E12DB9" w:rsidRDefault="00E12DB9" w:rsidP="00E12DB9">
      <w:pPr>
        <w:jc w:val="both"/>
      </w:pPr>
    </w:p>
    <w:p w14:paraId="7F85C604" w14:textId="77777777" w:rsidR="00E12DB9" w:rsidRDefault="00E12DB9" w:rsidP="00E12DB9">
      <w:pPr>
        <w:jc w:val="both"/>
      </w:pPr>
      <w:proofErr w:type="gramStart"/>
      <w:r w:rsidRPr="003750D6">
        <w:t>A number of</w:t>
      </w:r>
      <w:proofErr w:type="gramEnd"/>
      <w:r w:rsidRPr="003750D6">
        <w:t xml:space="preserve"> critical points are worth noting here as to the nature of this method of payment. Given that the value of electronic money is backed by physical money, it is not a form of cryptocurrency like Bitcoin. Further, it is important to appreciate that that there are three parties involved in this payment transaction: the payer, the payee and the e-money issuer. The payment is not made to the e-money issuer; it is made to the payee and represents a claim on the e-money issuer.</w:t>
      </w:r>
      <w:r>
        <w:t xml:space="preserve"> </w:t>
      </w:r>
      <w:r w:rsidRPr="003750D6">
        <w:t xml:space="preserve">Finally on e-money stored on technical devices, it is important to appreciate that the definition of electronic money does not include monetary value stored on specific payment instruments that can be used only in a limited way – for example, one that only allows the holder to acquire goods or services in the issuer’s premises (like store cards) or one that may be used only to acquire a very limited range of goods or services. see </w:t>
      </w:r>
      <w:r w:rsidRPr="003750D6">
        <w:rPr>
          <w:b/>
          <w:bCs/>
        </w:rPr>
        <w:t>Regulation 3 of the Electronic Money Regulations 2011</w:t>
      </w:r>
      <w:r w:rsidRPr="003750D6">
        <w:t xml:space="preserve"> (SI 2011/99).</w:t>
      </w:r>
    </w:p>
    <w:p w14:paraId="4A0A8A47" w14:textId="77777777" w:rsidR="00E12DB9" w:rsidRDefault="00E12DB9" w:rsidP="00E12DB9">
      <w:pPr>
        <w:jc w:val="both"/>
      </w:pPr>
    </w:p>
    <w:p w14:paraId="1167A554" w14:textId="77777777" w:rsidR="00E12DB9" w:rsidRDefault="00E12DB9" w:rsidP="00E12DB9">
      <w:pPr>
        <w:jc w:val="both"/>
      </w:pPr>
    </w:p>
    <w:p w14:paraId="503E51B2" w14:textId="77777777" w:rsidR="00E12DB9" w:rsidRDefault="00E12DB9" w:rsidP="00E12DB9">
      <w:pPr>
        <w:jc w:val="both"/>
      </w:pPr>
      <w:r>
        <w:t xml:space="preserve">Bank money leads us to the second tier of money payment, </w:t>
      </w:r>
      <w:r w:rsidRPr="004B1115">
        <w:rPr>
          <w:b/>
          <w:bCs/>
        </w:rPr>
        <w:t>which is fund transfer from one bank account to another</w:t>
      </w:r>
      <w:r>
        <w:t xml:space="preserve">. It is essentially a cashless/intangible payment system. Such payment involves adjustment of balances on bank accounts held by the payer and payee respectively and a commensurate adjustment between the banks; the payment simply triggers an alteration in the books of account held by the parties’ bank. It is important to note that the transfer of funds from the payer’s account to the payee’s account does not involve transfer of property owned by the payer to </w:t>
      </w:r>
      <w:proofErr w:type="gramStart"/>
      <w:r>
        <w:t>the  payee</w:t>
      </w:r>
      <w:proofErr w:type="gramEnd"/>
      <w:r>
        <w:t xml:space="preserve">. This is because, in strict legal terms, the relationship between a customer and the bank is contractual not proprietary. Thus, money paid into a bank account may be utilised by the bank as it sees fit provided it agrees to return the money on demand (or other set condition) by the customer. The money in the account is therefore seen as that of the bank. In </w:t>
      </w:r>
      <w:r>
        <w:rPr>
          <w:b/>
          <w:bCs/>
          <w:i/>
          <w:iCs/>
        </w:rPr>
        <w:t>Foskett v McKeown</w:t>
      </w:r>
      <w:r>
        <w:rPr>
          <w:b/>
          <w:bCs/>
        </w:rPr>
        <w:t xml:space="preserve"> [2001] 1 AC 102 (HL) 127</w:t>
      </w:r>
      <w:r>
        <w:t>, Lord Millet said as follows:</w:t>
      </w:r>
    </w:p>
    <w:p w14:paraId="01D0ECC3" w14:textId="77777777" w:rsidR="00E12DB9" w:rsidRDefault="00E12DB9" w:rsidP="00E12DB9">
      <w:pPr>
        <w:jc w:val="both"/>
      </w:pPr>
    </w:p>
    <w:p w14:paraId="4717B92D" w14:textId="77777777" w:rsidR="00E12DB9" w:rsidRDefault="00E12DB9" w:rsidP="00E12DB9">
      <w:pPr>
        <w:ind w:left="1440"/>
        <w:jc w:val="both"/>
        <w:rPr>
          <w:sz w:val="18"/>
          <w:szCs w:val="20"/>
        </w:rPr>
      </w:pPr>
    </w:p>
    <w:p w14:paraId="7427C000" w14:textId="77777777" w:rsidR="00E12DB9" w:rsidRDefault="00E12DB9" w:rsidP="00E12DB9">
      <w:pPr>
        <w:ind w:left="1440"/>
        <w:jc w:val="both"/>
        <w:rPr>
          <w:sz w:val="18"/>
          <w:szCs w:val="20"/>
        </w:rPr>
      </w:pPr>
      <w:r w:rsidRPr="003B4FA6">
        <w:rPr>
          <w:sz w:val="18"/>
          <w:szCs w:val="20"/>
        </w:rPr>
        <w:t xml:space="preserve">“We speak of money at the bank, and of money passing into and out of a bank account. But </w:t>
      </w:r>
      <w:proofErr w:type="gramStart"/>
      <w:r w:rsidRPr="003B4FA6">
        <w:rPr>
          <w:sz w:val="18"/>
          <w:szCs w:val="20"/>
        </w:rPr>
        <w:t>of course</w:t>
      </w:r>
      <w:proofErr w:type="gramEnd"/>
      <w:r w:rsidRPr="003B4FA6">
        <w:rPr>
          <w:sz w:val="18"/>
          <w:szCs w:val="20"/>
        </w:rPr>
        <w:t xml:space="preserve"> the account holder has no money at the bank. Money paid into a bank account belongs legally and beneficially to the bank and not to the account holder …”</w:t>
      </w:r>
    </w:p>
    <w:p w14:paraId="33FDA9E0" w14:textId="77777777" w:rsidR="00E12DB9" w:rsidRDefault="00E12DB9" w:rsidP="00E12DB9">
      <w:pPr>
        <w:ind w:left="1440"/>
        <w:jc w:val="both"/>
        <w:rPr>
          <w:sz w:val="18"/>
          <w:szCs w:val="20"/>
        </w:rPr>
      </w:pPr>
    </w:p>
    <w:p w14:paraId="256AC32E" w14:textId="77777777" w:rsidR="00E12DB9" w:rsidRPr="003B4FA6" w:rsidRDefault="00E12DB9" w:rsidP="00E12DB9">
      <w:pPr>
        <w:ind w:left="1440"/>
        <w:jc w:val="both"/>
        <w:rPr>
          <w:sz w:val="18"/>
          <w:szCs w:val="20"/>
        </w:rPr>
      </w:pPr>
    </w:p>
    <w:p w14:paraId="0BCE7629" w14:textId="77777777" w:rsidR="00E12DB9" w:rsidRDefault="00E12DB9" w:rsidP="00E12DB9">
      <w:pPr>
        <w:jc w:val="both"/>
      </w:pPr>
      <w:r>
        <w:t xml:space="preserve">As his Lordship went on to note, payment by funds transfer, therefore, does not involve the passing of money from the paying bank to the receiving bank. Rather, it involves a series of debits and credit transactions, with the banks simply acting as conduits for payment instructions.  </w:t>
      </w:r>
    </w:p>
    <w:p w14:paraId="0A97AA16" w14:textId="77777777" w:rsidR="00E12DB9" w:rsidRDefault="00E12DB9" w:rsidP="00E12DB9">
      <w:pPr>
        <w:jc w:val="both"/>
      </w:pPr>
    </w:p>
    <w:p w14:paraId="7764C164" w14:textId="77777777" w:rsidR="00E12DB9" w:rsidRDefault="00E12DB9" w:rsidP="00E12DB9">
      <w:pPr>
        <w:jc w:val="both"/>
      </w:pPr>
      <w:r>
        <w:t>Banks settle the payment instructions through what is known as a clearing system. For domestic payments, the two electronic payment systems used by banks are BACS (Bankers Automated Clearing Services) and CHAPS (Clearing House Automated Payment System).</w:t>
      </w:r>
    </w:p>
    <w:p w14:paraId="6F5C0A64" w14:textId="77777777" w:rsidR="00E12DB9" w:rsidRDefault="00E12DB9" w:rsidP="00E12DB9">
      <w:pPr>
        <w:jc w:val="both"/>
      </w:pPr>
    </w:p>
    <w:p w14:paraId="3907A247" w14:textId="77777777" w:rsidR="00E12DB9" w:rsidRDefault="00E12DB9" w:rsidP="00E12DB9">
      <w:pPr>
        <w:jc w:val="both"/>
      </w:pPr>
      <w:r>
        <w:t xml:space="preserve">When a fund transfer is </w:t>
      </w:r>
      <w:proofErr w:type="gramStart"/>
      <w:r>
        <w:t>effected</w:t>
      </w:r>
      <w:proofErr w:type="gramEnd"/>
      <w:r>
        <w:t xml:space="preserve">, the payment is deemed to have been made when the payee’s bank unconditionally accepts the payee as its creditor in respect of the sum due and the funds are at the payee’s disposal – </w:t>
      </w:r>
      <w:r>
        <w:rPr>
          <w:b/>
          <w:bCs/>
          <w:i/>
          <w:iCs/>
        </w:rPr>
        <w:t xml:space="preserve">Tayeb v HSBC Bank Plc </w:t>
      </w:r>
      <w:r>
        <w:rPr>
          <w:b/>
          <w:bCs/>
        </w:rPr>
        <w:t>[2004] EWHC 1529 (Comm)</w:t>
      </w:r>
      <w:r>
        <w:t xml:space="preserve">. In </w:t>
      </w:r>
      <w:r>
        <w:lastRenderedPageBreak/>
        <w:t xml:space="preserve">other words, it is made once the payee </w:t>
      </w:r>
      <w:proofErr w:type="gramStart"/>
      <w:r>
        <w:t>is able to</w:t>
      </w:r>
      <w:proofErr w:type="gramEnd"/>
      <w:r>
        <w:t xml:space="preserve"> demand the payment from the receiving bank. </w:t>
      </w:r>
    </w:p>
    <w:p w14:paraId="74E952AF" w14:textId="77777777" w:rsidR="00E12DB9" w:rsidRDefault="00E12DB9" w:rsidP="00E12DB9">
      <w:pPr>
        <w:jc w:val="both"/>
      </w:pPr>
    </w:p>
    <w:p w14:paraId="3615FC0F" w14:textId="77777777" w:rsidR="00E12DB9" w:rsidRDefault="00E12DB9" w:rsidP="00E12DB9">
      <w:pPr>
        <w:jc w:val="both"/>
        <w:rPr>
          <w:b/>
          <w:bCs/>
        </w:rPr>
      </w:pPr>
      <w:r w:rsidRPr="00A966FE">
        <w:rPr>
          <w:b/>
          <w:bCs/>
        </w:rPr>
        <w:t>Electronic Money Payments: Differentiation to Physical Money</w:t>
      </w:r>
    </w:p>
    <w:p w14:paraId="0473A84A" w14:textId="77777777" w:rsidR="00E12DB9" w:rsidRDefault="00E12DB9" w:rsidP="00E12DB9">
      <w:pPr>
        <w:jc w:val="both"/>
        <w:rPr>
          <w:b/>
          <w:bCs/>
        </w:rPr>
      </w:pPr>
    </w:p>
    <w:p w14:paraId="640BD461" w14:textId="77777777" w:rsidR="00E12DB9" w:rsidRDefault="00E12DB9" w:rsidP="00E12DB9">
      <w:pPr>
        <w:jc w:val="both"/>
      </w:pPr>
      <w:r w:rsidRPr="00A966FE">
        <w:t>We now conclude our discussion of money by summarising some of its characteristics, which distinguish it from the features of physical money discussed above:</w:t>
      </w:r>
    </w:p>
    <w:p w14:paraId="34DF819A" w14:textId="77777777" w:rsidR="00E12DB9" w:rsidRPr="00A966FE" w:rsidRDefault="00E12DB9" w:rsidP="00E12DB9">
      <w:pPr>
        <w:jc w:val="both"/>
      </w:pPr>
    </w:p>
    <w:p w14:paraId="7D7BCE27" w14:textId="77777777" w:rsidR="00E12DB9" w:rsidRDefault="00E12DB9" w:rsidP="00E12DB9">
      <w:pPr>
        <w:numPr>
          <w:ilvl w:val="0"/>
          <w:numId w:val="4"/>
        </w:numPr>
        <w:ind w:left="709" w:hanging="361"/>
        <w:jc w:val="both"/>
      </w:pPr>
      <w:r w:rsidRPr="00A966FE">
        <w:t>They are not legal tender/a universal medium of exchange. However, electronic money is backed by physical money or fiat. This distinguishes electronic money from other intangible forms of payment like cryptocurrency.</w:t>
      </w:r>
    </w:p>
    <w:p w14:paraId="11A0ACE0" w14:textId="77777777" w:rsidR="00E12DB9" w:rsidRPr="00A966FE" w:rsidRDefault="00E12DB9" w:rsidP="00E12DB9">
      <w:pPr>
        <w:ind w:left="709"/>
        <w:jc w:val="both"/>
      </w:pPr>
    </w:p>
    <w:p w14:paraId="5C14C6D8" w14:textId="77777777" w:rsidR="00E12DB9" w:rsidRDefault="00E12DB9" w:rsidP="00E12DB9">
      <w:pPr>
        <w:numPr>
          <w:ilvl w:val="0"/>
          <w:numId w:val="4"/>
        </w:numPr>
        <w:ind w:left="709"/>
        <w:jc w:val="both"/>
      </w:pPr>
      <w:r w:rsidRPr="00A966FE">
        <w:t xml:space="preserve">They are not negotiable. However, a proprietary claim to intangible money is defeated where the defendant has acquired title as a bona fide purchaser for value without notice of the claimant’s rights. This is not because intangible money is negotiable. Rather, it has been suggested that this is the position because the recipient has not been unjustly enriched by such monies. See </w:t>
      </w:r>
      <w:r w:rsidRPr="00A966FE">
        <w:rPr>
          <w:b/>
          <w:bCs/>
        </w:rPr>
        <w:t xml:space="preserve">E McKendrick, </w:t>
      </w:r>
      <w:r w:rsidRPr="00A966FE">
        <w:rPr>
          <w:b/>
          <w:bCs/>
          <w:i/>
        </w:rPr>
        <w:t xml:space="preserve">Goode on Commercial Law </w:t>
      </w:r>
      <w:r w:rsidRPr="00A966FE">
        <w:rPr>
          <w:b/>
          <w:bCs/>
        </w:rPr>
        <w:t>(5</w:t>
      </w:r>
      <w:r w:rsidRPr="00A966FE">
        <w:rPr>
          <w:b/>
          <w:bCs/>
          <w:vertAlign w:val="superscript"/>
        </w:rPr>
        <w:t>th</w:t>
      </w:r>
      <w:r w:rsidRPr="00A966FE">
        <w:rPr>
          <w:b/>
          <w:bCs/>
        </w:rPr>
        <w:t xml:space="preserve"> ed, Penguin 2017), 17.22</w:t>
      </w:r>
      <w:r w:rsidRPr="00A966FE">
        <w:t>.</w:t>
      </w:r>
    </w:p>
    <w:p w14:paraId="241D3286" w14:textId="77777777" w:rsidR="00E12DB9" w:rsidRDefault="00E12DB9" w:rsidP="00E12DB9">
      <w:pPr>
        <w:pStyle w:val="ListParagraph"/>
      </w:pPr>
    </w:p>
    <w:p w14:paraId="0F28014B" w14:textId="77777777" w:rsidR="00E12DB9" w:rsidRPr="00A966FE" w:rsidRDefault="00E12DB9" w:rsidP="00E12DB9">
      <w:pPr>
        <w:ind w:left="709"/>
        <w:jc w:val="both"/>
      </w:pPr>
    </w:p>
    <w:p w14:paraId="0CC66015" w14:textId="77777777" w:rsidR="00E12DB9" w:rsidRDefault="00E12DB9" w:rsidP="00E12DB9">
      <w:pPr>
        <w:numPr>
          <w:ilvl w:val="0"/>
          <w:numId w:val="4"/>
        </w:numPr>
        <w:ind w:left="709"/>
        <w:jc w:val="both"/>
      </w:pPr>
      <w:r w:rsidRPr="00A966FE">
        <w:t>Electronic money transferred through bank accounts is based on debits and credits in the banking system which do not involve transfer of overriding title to the recipient. The monies in the bank account belong to the bank, while the bank account is a thing in action that enables the customer to maintain a claim for repayment of the monies in the account against the bank.</w:t>
      </w:r>
    </w:p>
    <w:p w14:paraId="3160C432" w14:textId="77777777" w:rsidR="00E12DB9" w:rsidRPr="00A966FE" w:rsidRDefault="00E12DB9" w:rsidP="00E12DB9">
      <w:pPr>
        <w:ind w:left="709"/>
        <w:jc w:val="both"/>
      </w:pPr>
    </w:p>
    <w:p w14:paraId="68537F57" w14:textId="77777777" w:rsidR="00E12DB9" w:rsidRDefault="00E12DB9" w:rsidP="00E12DB9">
      <w:pPr>
        <w:numPr>
          <w:ilvl w:val="0"/>
          <w:numId w:val="4"/>
        </w:numPr>
        <w:ind w:left="709"/>
        <w:jc w:val="both"/>
      </w:pPr>
      <w:r w:rsidRPr="00A966FE">
        <w:t>While physical money is not bought or exchanged, electronic money may be exchanged for physical money. This is a further point of distinction from cryptocurrency.</w:t>
      </w:r>
    </w:p>
    <w:p w14:paraId="664909E4" w14:textId="77777777" w:rsidR="00E12DB9" w:rsidRDefault="00E12DB9" w:rsidP="00E12DB9">
      <w:pPr>
        <w:pStyle w:val="ListParagraph"/>
      </w:pPr>
    </w:p>
    <w:p w14:paraId="1B0D4F24" w14:textId="77777777" w:rsidR="00E12DB9" w:rsidRPr="00A966FE" w:rsidRDefault="00E12DB9" w:rsidP="00E12DB9">
      <w:pPr>
        <w:ind w:left="709"/>
        <w:jc w:val="both"/>
      </w:pPr>
    </w:p>
    <w:p w14:paraId="68A1CD5A" w14:textId="77777777" w:rsidR="00E12DB9" w:rsidRDefault="00E12DB9" w:rsidP="00E12DB9">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1"/>
      </w:tblGrid>
      <w:tr w:rsidR="00E12DB9" w:rsidRPr="007108A8" w14:paraId="058EAA3E" w14:textId="77777777" w:rsidTr="008D2D1E">
        <w:tc>
          <w:tcPr>
            <w:tcW w:w="1985" w:type="dxa"/>
          </w:tcPr>
          <w:p w14:paraId="224FD528" w14:textId="77777777" w:rsidR="00E12DB9" w:rsidRDefault="00E12DB9" w:rsidP="008D2D1E">
            <w:pPr>
              <w:spacing w:line="480" w:lineRule="auto"/>
              <w:rPr>
                <w:rFonts w:ascii="Gill Sans MT" w:hAnsi="Gill Sans MT"/>
                <w:sz w:val="24"/>
                <w:szCs w:val="24"/>
              </w:rPr>
            </w:pPr>
            <w:r w:rsidRPr="007108A8">
              <w:rPr>
                <w:rFonts w:ascii="Gill Sans MT" w:hAnsi="Gill Sans MT"/>
                <w:color w:val="FF0000"/>
                <w:sz w:val="96"/>
                <w:szCs w:val="24"/>
              </w:rPr>
              <w:sym w:font="Wingdings" w:char="F046"/>
            </w:r>
          </w:p>
        </w:tc>
        <w:tc>
          <w:tcPr>
            <w:tcW w:w="7031" w:type="dxa"/>
          </w:tcPr>
          <w:p w14:paraId="6BB122BD" w14:textId="77777777" w:rsidR="00E12DB9" w:rsidRPr="007108A8" w:rsidRDefault="00E12DB9" w:rsidP="008D2D1E">
            <w:pPr>
              <w:spacing w:line="480" w:lineRule="auto"/>
              <w:rPr>
                <w:rFonts w:ascii="Gill Sans MT" w:hAnsi="Gill Sans MT"/>
                <w:b/>
                <w:sz w:val="24"/>
                <w:szCs w:val="24"/>
              </w:rPr>
            </w:pPr>
            <w:r>
              <w:rPr>
                <w:rFonts w:ascii="Gill Sans MT" w:hAnsi="Gill Sans MT"/>
                <w:b/>
                <w:color w:val="FF0000"/>
                <w:sz w:val="24"/>
                <w:szCs w:val="24"/>
              </w:rPr>
              <w:t>A payment by funds transfer is completed once</w:t>
            </w:r>
            <w:r>
              <w:t xml:space="preserve"> </w:t>
            </w:r>
            <w:r w:rsidRPr="00A72240">
              <w:rPr>
                <w:rFonts w:ascii="Gill Sans MT" w:hAnsi="Gill Sans MT"/>
                <w:b/>
                <w:color w:val="FF0000"/>
                <w:sz w:val="24"/>
                <w:szCs w:val="24"/>
              </w:rPr>
              <w:t>the payee is unconditionally accepted by the payee’s bank as its creditor in respect of the amount transferred</w:t>
            </w:r>
            <w:r>
              <w:rPr>
                <w:rFonts w:ascii="Gill Sans MT" w:hAnsi="Gill Sans MT"/>
                <w:b/>
                <w:color w:val="FF0000"/>
                <w:sz w:val="24"/>
                <w:szCs w:val="24"/>
              </w:rPr>
              <w:t>.</w:t>
            </w:r>
          </w:p>
        </w:tc>
      </w:tr>
    </w:tbl>
    <w:p w14:paraId="4D25D07C" w14:textId="77777777" w:rsidR="00E12DB9" w:rsidRDefault="00E12DB9" w:rsidP="00E12DB9">
      <w:pPr>
        <w:spacing w:line="480" w:lineRule="auto"/>
        <w:rPr>
          <w:rFonts w:ascii="Gill Sans MT" w:hAnsi="Gill Sans MT"/>
        </w:rPr>
      </w:pPr>
    </w:p>
    <w:tbl>
      <w:tblPr>
        <w:tblStyle w:val="TableGrid1"/>
        <w:tblW w:w="0" w:type="auto"/>
        <w:tblLook w:val="04A0" w:firstRow="1" w:lastRow="0" w:firstColumn="1" w:lastColumn="0" w:noHBand="0" w:noVBand="1"/>
      </w:tblPr>
      <w:tblGrid>
        <w:gridCol w:w="1985"/>
        <w:gridCol w:w="7031"/>
      </w:tblGrid>
      <w:tr w:rsidR="00E12DB9" w:rsidRPr="001018D9" w14:paraId="3A30347F" w14:textId="77777777" w:rsidTr="008D2D1E">
        <w:tc>
          <w:tcPr>
            <w:tcW w:w="1985" w:type="dxa"/>
            <w:tcBorders>
              <w:top w:val="nil"/>
              <w:left w:val="nil"/>
              <w:bottom w:val="nil"/>
              <w:right w:val="nil"/>
            </w:tcBorders>
            <w:shd w:val="clear" w:color="auto" w:fill="ACB9CA" w:themeFill="text2" w:themeFillTint="66"/>
          </w:tcPr>
          <w:p w14:paraId="3EBBF538" w14:textId="77777777" w:rsidR="00E12DB9" w:rsidRPr="001018D9" w:rsidRDefault="00E12DB9" w:rsidP="008D2D1E">
            <w:pPr>
              <w:spacing w:after="160" w:line="480" w:lineRule="auto"/>
              <w:rPr>
                <w:rFonts w:ascii="Gill Sans MT" w:hAnsi="Gill Sans MT"/>
                <w:b/>
                <w:color w:val="00B050"/>
                <w:sz w:val="24"/>
                <w:szCs w:val="24"/>
              </w:rPr>
            </w:pPr>
            <w:r w:rsidRPr="001018D9">
              <w:br w:type="page"/>
            </w:r>
          </w:p>
          <w:p w14:paraId="4BBB4CD2" w14:textId="77777777" w:rsidR="00E12DB9" w:rsidRPr="001018D9" w:rsidRDefault="00E12DB9" w:rsidP="008D2D1E">
            <w:pPr>
              <w:spacing w:after="160" w:line="480" w:lineRule="auto"/>
              <w:rPr>
                <w:rFonts w:ascii="Gill Sans MT" w:hAnsi="Gill Sans MT"/>
                <w:b/>
                <w:color w:val="FFFFFF" w:themeColor="background1"/>
                <w:sz w:val="24"/>
                <w:szCs w:val="24"/>
              </w:rPr>
            </w:pPr>
            <w:r w:rsidRPr="0092404C">
              <w:rPr>
                <mc:AlternateContent>
                  <mc:Choice Requires="w16se">
                    <w:rFonts w:ascii="Gill Sans MT" w:hAnsi="Gill Sans MT"/>
                  </mc:Choice>
                  <mc:Fallback>
                    <w:rFonts w:ascii="Segoe UI Emoji" w:eastAsia="Segoe UI Emoji" w:hAnsi="Segoe UI Emoji" w:cs="Segoe UI Emoji"/>
                  </mc:Fallback>
                </mc:AlternateContent>
                <w:b/>
                <w:color w:val="00B050"/>
                <w:sz w:val="96"/>
                <w:szCs w:val="24"/>
              </w:rPr>
              <w:lastRenderedPageBreak/>
              <mc:AlternateContent>
                <mc:Choice Requires="w16se">
                  <w16se:symEx w16se:font="Segoe UI Emoji" w16se:char="1F44C"/>
                </mc:Choice>
                <mc:Fallback>
                  <w:t>👌</w:t>
                </mc:Fallback>
              </mc:AlternateContent>
            </w:r>
            <w:r w:rsidRPr="001018D9">
              <w:rPr>
                <w:rFonts w:ascii="Gill Sans MT" w:hAnsi="Gill Sans MT"/>
                <w:b/>
                <w:color w:val="00B050"/>
                <w:sz w:val="96"/>
                <w:szCs w:val="24"/>
              </w:rPr>
              <w:t xml:space="preserve"> </w:t>
            </w:r>
          </w:p>
        </w:tc>
        <w:tc>
          <w:tcPr>
            <w:tcW w:w="7031" w:type="dxa"/>
            <w:tcBorders>
              <w:top w:val="nil"/>
              <w:left w:val="nil"/>
              <w:bottom w:val="nil"/>
              <w:right w:val="nil"/>
            </w:tcBorders>
            <w:shd w:val="clear" w:color="auto" w:fill="ACB9CA" w:themeFill="text2" w:themeFillTint="66"/>
          </w:tcPr>
          <w:p w14:paraId="6B7EE835" w14:textId="77777777" w:rsidR="00E12DB9" w:rsidRPr="001018D9" w:rsidRDefault="00E12DB9" w:rsidP="008D2D1E">
            <w:pPr>
              <w:spacing w:after="160" w:line="480" w:lineRule="auto"/>
              <w:rPr>
                <w:rFonts w:ascii="Gill Sans MT" w:hAnsi="Gill Sans MT"/>
                <w:b/>
                <w:color w:val="FFFFFF" w:themeColor="background1"/>
                <w:sz w:val="24"/>
                <w:szCs w:val="24"/>
              </w:rPr>
            </w:pPr>
          </w:p>
          <w:p w14:paraId="7E9F23E0" w14:textId="77777777" w:rsidR="00E12DB9" w:rsidRPr="001018D9" w:rsidRDefault="00E12DB9" w:rsidP="008D2D1E">
            <w:pPr>
              <w:spacing w:after="160" w:line="480" w:lineRule="auto"/>
              <w:rPr>
                <w:rFonts w:ascii="Gill Sans MT" w:hAnsi="Gill Sans MT"/>
                <w:b/>
                <w:color w:val="FFFFFF" w:themeColor="background1"/>
                <w:sz w:val="24"/>
                <w:szCs w:val="24"/>
              </w:rPr>
            </w:pPr>
            <w:r w:rsidRPr="001018D9">
              <w:rPr>
                <w:rFonts w:ascii="Gill Sans MT" w:hAnsi="Gill Sans MT"/>
                <w:b/>
                <w:color w:val="FFFFFF" w:themeColor="background1"/>
                <w:sz w:val="24"/>
                <w:szCs w:val="24"/>
              </w:rPr>
              <w:t xml:space="preserve">You should now </w:t>
            </w:r>
            <w:r>
              <w:rPr>
                <w:rFonts w:ascii="Gill Sans MT" w:hAnsi="Gill Sans MT"/>
                <w:b/>
                <w:color w:val="FFFFFF" w:themeColor="background1"/>
                <w:sz w:val="24"/>
                <w:szCs w:val="24"/>
              </w:rPr>
              <w:t xml:space="preserve">be able to identify key differences between physical money and electronic money as well as how they </w:t>
            </w:r>
            <w:r>
              <w:rPr>
                <w:rFonts w:ascii="Gill Sans MT" w:hAnsi="Gill Sans MT"/>
                <w:b/>
                <w:color w:val="FFFFFF" w:themeColor="background1"/>
                <w:sz w:val="24"/>
                <w:szCs w:val="24"/>
              </w:rPr>
              <w:lastRenderedPageBreak/>
              <w:t>are typically used to effect payments in commercial transactions.</w:t>
            </w:r>
          </w:p>
        </w:tc>
      </w:tr>
    </w:tbl>
    <w:p w14:paraId="665ACA2B" w14:textId="77777777" w:rsidR="00E12DB9" w:rsidRDefault="00E12DB9" w:rsidP="00E12DB9">
      <w:pPr>
        <w:rPr>
          <w:rFonts w:ascii="Gill Sans MT" w:hAnsi="Gill Sans MT"/>
        </w:rPr>
      </w:pPr>
      <w:r>
        <w:rPr>
          <w:rFonts w:ascii="Gill Sans MT" w:hAnsi="Gill Sans MT"/>
        </w:rPr>
        <w:lastRenderedPageBreak/>
        <w:br w:type="page"/>
      </w:r>
    </w:p>
    <w:p w14:paraId="440AD240" w14:textId="77777777" w:rsidR="00E12DB9" w:rsidRPr="0052320F" w:rsidRDefault="00E12DB9" w:rsidP="00E12DB9">
      <w:pPr>
        <w:jc w:val="both"/>
      </w:pPr>
    </w:p>
    <w:p w14:paraId="6E30BA0A" w14:textId="77777777" w:rsidR="00E12DB9" w:rsidRDefault="00E12DB9" w:rsidP="00E12DB9">
      <w:pPr>
        <w:pStyle w:val="Heading2"/>
        <w:numPr>
          <w:ilvl w:val="0"/>
          <w:numId w:val="3"/>
        </w:numPr>
        <w:ind w:left="1815" w:hanging="375"/>
        <w:rPr>
          <w:rFonts w:ascii="Verdana" w:hAnsi="Verdana"/>
          <w:sz w:val="20"/>
          <w:szCs w:val="20"/>
        </w:rPr>
      </w:pPr>
      <w:r>
        <w:rPr>
          <w:rFonts w:ascii="Verdana" w:hAnsi="Verdana"/>
          <w:sz w:val="20"/>
          <w:szCs w:val="20"/>
        </w:rPr>
        <w:t>Part Exchange</w:t>
      </w:r>
    </w:p>
    <w:p w14:paraId="5586A276" w14:textId="77777777" w:rsidR="00E12DB9" w:rsidRDefault="00E12DB9" w:rsidP="00E12DB9"/>
    <w:p w14:paraId="29137836" w14:textId="77777777" w:rsidR="00E12DB9" w:rsidRDefault="00E12DB9" w:rsidP="00E12DB9">
      <w:pPr>
        <w:jc w:val="both"/>
      </w:pPr>
      <w:r>
        <w:t xml:space="preserve">This is a form of payment where the parties agree that the contracted money obligation will be satisfied by the payer offering money (in the sense discussed above) and goods. A common example is to be found in the motor industry. Say A wants to buy a Tesla model S from B for the sum of £80,000 (I know, some people are balling!). If the parties agree, A can offer his 2016 Range Rover Sport valued at £30,000 and £50,000 in money to satisfy the purchase price. </w:t>
      </w:r>
    </w:p>
    <w:p w14:paraId="6AF7864F" w14:textId="77777777" w:rsidR="00E12DB9" w:rsidRDefault="00E12DB9" w:rsidP="00E12DB9">
      <w:pPr>
        <w:jc w:val="both"/>
      </w:pPr>
    </w:p>
    <w:p w14:paraId="34E8649C" w14:textId="77777777" w:rsidR="00E12DB9" w:rsidRPr="00F45292" w:rsidRDefault="00E12DB9" w:rsidP="00E12DB9">
      <w:pPr>
        <w:jc w:val="both"/>
      </w:pPr>
      <w:r>
        <w:t xml:space="preserve">Part exchange is characterised as payment because a monetary value is placed on the goods exchanged and is, to that extent, not </w:t>
      </w:r>
      <w:r w:rsidRPr="00F45292">
        <w:rPr>
          <w:i/>
        </w:rPr>
        <w:t>barter</w:t>
      </w:r>
      <w:r>
        <w:t xml:space="preserve">. See </w:t>
      </w:r>
      <w:r>
        <w:rPr>
          <w:b/>
          <w:i/>
        </w:rPr>
        <w:t xml:space="preserve">Dawson (GJ) (Clapham) Ltd v </w:t>
      </w:r>
      <w:proofErr w:type="spellStart"/>
      <w:r>
        <w:rPr>
          <w:b/>
          <w:i/>
        </w:rPr>
        <w:t>Dutfield</w:t>
      </w:r>
      <w:proofErr w:type="spellEnd"/>
      <w:r>
        <w:rPr>
          <w:b/>
        </w:rPr>
        <w:t xml:space="preserve"> [1936] 2 All ER 232 (KB)</w:t>
      </w:r>
      <w:r>
        <w:t xml:space="preserve">. </w:t>
      </w:r>
    </w:p>
    <w:p w14:paraId="52687B54" w14:textId="77777777" w:rsidR="00E12DB9" w:rsidRDefault="00E12DB9" w:rsidP="00E12DB9">
      <w:pPr>
        <w:jc w:val="both"/>
      </w:pPr>
    </w:p>
    <w:p w14:paraId="0D502A5F" w14:textId="77777777" w:rsidR="00E12DB9" w:rsidRDefault="00E12DB9" w:rsidP="00E12DB9">
      <w:pPr>
        <w:pStyle w:val="Heading2"/>
        <w:numPr>
          <w:ilvl w:val="0"/>
          <w:numId w:val="3"/>
        </w:numPr>
        <w:ind w:left="1815" w:hanging="375"/>
        <w:rPr>
          <w:rFonts w:ascii="Verdana" w:hAnsi="Verdana"/>
          <w:sz w:val="20"/>
          <w:szCs w:val="20"/>
        </w:rPr>
      </w:pPr>
      <w:r>
        <w:rPr>
          <w:rFonts w:ascii="Verdana" w:hAnsi="Verdana"/>
          <w:sz w:val="20"/>
          <w:szCs w:val="20"/>
        </w:rPr>
        <w:t>Novation</w:t>
      </w:r>
    </w:p>
    <w:p w14:paraId="577644B8" w14:textId="77777777" w:rsidR="00E12DB9" w:rsidRDefault="00E12DB9" w:rsidP="00E12DB9"/>
    <w:p w14:paraId="6F37283F" w14:textId="77777777" w:rsidR="00E12DB9" w:rsidRDefault="00E12DB9" w:rsidP="00E12DB9">
      <w:pPr>
        <w:jc w:val="both"/>
      </w:pPr>
      <w:r>
        <w:t xml:space="preserve">In simple contract law terms, novation arises where an agreement is replaced by another agreement. Therefore, where the old agreement concerns a money obligation e.g. a loan agreement, that obligation could be discharged by replacing the original loan agreement with a new loan agreement. Banks routinely do this. In practice, the new loan that is offered will pay the old loan. </w:t>
      </w:r>
    </w:p>
    <w:p w14:paraId="320FFE2F" w14:textId="77777777" w:rsidR="00E12DB9" w:rsidRDefault="00E12DB9" w:rsidP="00E12DB9">
      <w:pPr>
        <w:jc w:val="both"/>
      </w:pPr>
    </w:p>
    <w:p w14:paraId="2A97304F" w14:textId="77777777" w:rsidR="00E12DB9" w:rsidRDefault="00E12DB9" w:rsidP="00E12DB9">
      <w:pPr>
        <w:jc w:val="both"/>
        <w:rPr>
          <w:b/>
        </w:rPr>
      </w:pPr>
      <w:r>
        <w:t xml:space="preserve">In consideration for entering this new loan agreement, it is not unusual to find banks taking a form of security called the floating charge (more on this later) to secure the loan. Although it would have been easier for the bank to take that security on the old loan (rather than entering a new loan agreement and taking security), such retrospective security would be vulnerable in insolvency due to the provision that avoids floating charge that is taken for past value. See </w:t>
      </w:r>
      <w:r>
        <w:rPr>
          <w:b/>
        </w:rPr>
        <w:t>Insolvency Act 1986 (IA 1986), s 245.</w:t>
      </w:r>
    </w:p>
    <w:p w14:paraId="05251B5F" w14:textId="77777777" w:rsidR="00E12DB9" w:rsidRDefault="00E12DB9" w:rsidP="00E12DB9">
      <w:pPr>
        <w:jc w:val="both"/>
      </w:pPr>
    </w:p>
    <w:p w14:paraId="7B97C8BA" w14:textId="77777777" w:rsidR="00E12DB9" w:rsidRDefault="00E12DB9" w:rsidP="00E12DB9">
      <w:pPr>
        <w:pStyle w:val="Heading2"/>
        <w:numPr>
          <w:ilvl w:val="0"/>
          <w:numId w:val="3"/>
        </w:numPr>
        <w:ind w:left="1815" w:hanging="375"/>
        <w:rPr>
          <w:rFonts w:ascii="Verdana" w:hAnsi="Verdana"/>
          <w:sz w:val="20"/>
          <w:szCs w:val="20"/>
        </w:rPr>
      </w:pPr>
      <w:proofErr w:type="gramStart"/>
      <w:r>
        <w:rPr>
          <w:rFonts w:ascii="Verdana" w:hAnsi="Verdana"/>
          <w:sz w:val="20"/>
          <w:szCs w:val="20"/>
        </w:rPr>
        <w:t>Set-off</w:t>
      </w:r>
      <w:proofErr w:type="gramEnd"/>
    </w:p>
    <w:p w14:paraId="08FC70C6" w14:textId="77777777" w:rsidR="00E12DB9" w:rsidRDefault="00E12DB9" w:rsidP="00E12DB9"/>
    <w:p w14:paraId="577F104E" w14:textId="77777777" w:rsidR="00E12DB9" w:rsidRDefault="00E12DB9" w:rsidP="00E12DB9">
      <w:pPr>
        <w:jc w:val="both"/>
      </w:pPr>
      <w:r>
        <w:t>Set-off is an arrangement whereby parties who owe each other money can aggregate the sums due to each other, set-off those sums, leaving the balance due to be claimed either way. The operation of set off allows a debtor to reduce or extinguish his liability to the creditor. Say A owes B £10 and B owes A £5. The parties can set off the sums due to each other, meaning that A would only pay B £5. The key to set off is mutuality.</w:t>
      </w:r>
    </w:p>
    <w:p w14:paraId="40A158E7" w14:textId="77777777" w:rsidR="00E12DB9" w:rsidRDefault="00E12DB9" w:rsidP="00E12DB9">
      <w:pPr>
        <w:jc w:val="both"/>
      </w:pPr>
    </w:p>
    <w:p w14:paraId="08DC6439" w14:textId="77777777" w:rsidR="00E12DB9" w:rsidRPr="006825E4" w:rsidRDefault="00E12DB9" w:rsidP="00E12DB9">
      <w:pPr>
        <w:jc w:val="both"/>
        <w:rPr>
          <w:b/>
        </w:rPr>
      </w:pPr>
      <w:r>
        <w:t xml:space="preserve">Set-off could be contractual, legal (statutory set-off), equitable, (transaction set-off), bank-driven (bankers’ set-off). It could also arise in insolvency, where such set-off becomes mandatory. See </w:t>
      </w:r>
      <w:r w:rsidRPr="00241C52">
        <w:rPr>
          <w:b/>
        </w:rPr>
        <w:t>Insolvency (England and Wales) Rules 2016/1024</w:t>
      </w:r>
      <w:r>
        <w:rPr>
          <w:b/>
        </w:rPr>
        <w:t xml:space="preserve">, </w:t>
      </w:r>
      <w:proofErr w:type="spellStart"/>
      <w:r>
        <w:rPr>
          <w:b/>
        </w:rPr>
        <w:t>rr</w:t>
      </w:r>
      <w:proofErr w:type="spellEnd"/>
      <w:r>
        <w:rPr>
          <w:b/>
        </w:rPr>
        <w:t xml:space="preserve"> 14.24-14.25.</w:t>
      </w:r>
    </w:p>
    <w:p w14:paraId="09FD8B11" w14:textId="77777777" w:rsidR="00E12DB9" w:rsidRDefault="00E12DB9" w:rsidP="00E12DB9">
      <w:pPr>
        <w:spacing w:after="160" w:line="259" w:lineRule="auto"/>
      </w:pPr>
      <w:r>
        <w:br w:type="page"/>
      </w:r>
    </w:p>
    <w:p w14:paraId="5ECCD308" w14:textId="77777777" w:rsidR="00E12DB9" w:rsidRDefault="00E12DB9" w:rsidP="00E12DB9">
      <w:pPr>
        <w:pStyle w:val="Heading2"/>
        <w:numPr>
          <w:ilvl w:val="0"/>
          <w:numId w:val="3"/>
        </w:numPr>
        <w:ind w:left="1815" w:hanging="375"/>
        <w:rPr>
          <w:rFonts w:ascii="Verdana" w:hAnsi="Verdana"/>
          <w:sz w:val="20"/>
          <w:szCs w:val="20"/>
        </w:rPr>
      </w:pPr>
      <w:r>
        <w:rPr>
          <w:rFonts w:ascii="Verdana" w:hAnsi="Verdana"/>
          <w:sz w:val="20"/>
          <w:szCs w:val="20"/>
        </w:rPr>
        <w:lastRenderedPageBreak/>
        <w:t>Documentary Payments</w:t>
      </w:r>
    </w:p>
    <w:p w14:paraId="72C8BB29" w14:textId="77777777" w:rsidR="00E12DB9" w:rsidRDefault="00E12DB9" w:rsidP="00E12DB9"/>
    <w:p w14:paraId="19C10B42" w14:textId="77777777" w:rsidR="00E12DB9" w:rsidRDefault="00E12DB9" w:rsidP="00E12DB9">
      <w:pPr>
        <w:jc w:val="both"/>
        <w:rPr>
          <w:bCs/>
          <w:iCs/>
        </w:rPr>
      </w:pPr>
      <w:r>
        <w:t xml:space="preserve">Here, we are purely concerned with </w:t>
      </w:r>
      <w:r>
        <w:rPr>
          <w:b/>
        </w:rPr>
        <w:t>negotiable instruments</w:t>
      </w:r>
      <w:r>
        <w:t xml:space="preserve">, </w:t>
      </w:r>
      <w:proofErr w:type="gramStart"/>
      <w:r>
        <w:t>in particular,</w:t>
      </w:r>
      <w:proofErr w:type="gramEnd"/>
      <w:r>
        <w:t xml:space="preserve"> </w:t>
      </w:r>
      <w:r>
        <w:rPr>
          <w:b/>
        </w:rPr>
        <w:t xml:space="preserve">Bills of Exchange. </w:t>
      </w:r>
      <w:r>
        <w:t xml:space="preserve">First, it is apposite to tease out the implication(s) of an instrument being negotiable. Such instrument or document may be transferred by delivery alone or by delivery and indorsement (signing on the back of the document). This is sufficient to pass legal title to the rights encapsulated in the document without any other process (e.g. there is no need to give notice as with things in action under </w:t>
      </w:r>
      <w:r>
        <w:rPr>
          <w:b/>
        </w:rPr>
        <w:t>Law of Property Act 1925, s 136</w:t>
      </w:r>
      <w:r>
        <w:t xml:space="preserve">). Critically, a bona fide transferee for value of a negotiable instrument takes his title free from defects in the title of the transferor. It would therefore be irrelevant that the transferor of such instrument had no legitimate title, thus constituting a further exception to the </w:t>
      </w:r>
      <w:r w:rsidRPr="00CB488F">
        <w:rPr>
          <w:i/>
        </w:rPr>
        <w:t xml:space="preserve">nemo </w:t>
      </w:r>
      <w:proofErr w:type="spellStart"/>
      <w:r w:rsidRPr="00CB488F">
        <w:rPr>
          <w:i/>
        </w:rPr>
        <w:t>dat</w:t>
      </w:r>
      <w:proofErr w:type="spellEnd"/>
      <w:r>
        <w:t xml:space="preserve"> rule. See again </w:t>
      </w:r>
      <w:r w:rsidRPr="00624519">
        <w:rPr>
          <w:b/>
          <w:bCs/>
          <w:i/>
          <w:iCs/>
        </w:rPr>
        <w:t>Miller v Race</w:t>
      </w:r>
      <w:r>
        <w:rPr>
          <w:b/>
          <w:bCs/>
          <w:iCs/>
        </w:rPr>
        <w:t xml:space="preserve"> (</w:t>
      </w:r>
      <w:r>
        <w:rPr>
          <w:b/>
          <w:bCs/>
          <w:i/>
          <w:iCs/>
        </w:rPr>
        <w:t>supra</w:t>
      </w:r>
      <w:r>
        <w:rPr>
          <w:b/>
          <w:bCs/>
          <w:iCs/>
        </w:rPr>
        <w:t>).</w:t>
      </w:r>
    </w:p>
    <w:p w14:paraId="1DD9A417" w14:textId="77777777" w:rsidR="00E12DB9" w:rsidRDefault="00E12DB9" w:rsidP="00E12DB9">
      <w:pPr>
        <w:jc w:val="both"/>
        <w:rPr>
          <w:bCs/>
          <w:iCs/>
        </w:rPr>
      </w:pPr>
    </w:p>
    <w:p w14:paraId="4178DA47" w14:textId="77777777" w:rsidR="00E12DB9" w:rsidRPr="00BC71F0" w:rsidRDefault="00E12DB9" w:rsidP="00E12DB9">
      <w:pPr>
        <w:jc w:val="both"/>
      </w:pPr>
    </w:p>
    <w:p w14:paraId="545A9A0D" w14:textId="77777777" w:rsidR="00E12DB9" w:rsidRDefault="00E12DB9" w:rsidP="00E12DB9">
      <w:pPr>
        <w:jc w:val="both"/>
      </w:pPr>
      <w:r>
        <w:t xml:space="preserve">The </w:t>
      </w:r>
      <w:r w:rsidRPr="00A63580">
        <w:rPr>
          <w:b/>
        </w:rPr>
        <w:t>Bills of Exchange Act 1882, s 3</w:t>
      </w:r>
      <w:r>
        <w:t xml:space="preserve"> provides as follows:</w:t>
      </w:r>
    </w:p>
    <w:p w14:paraId="32D4D0C5" w14:textId="77777777" w:rsidR="00E12DB9" w:rsidRDefault="00E12DB9" w:rsidP="00E12DB9">
      <w:pPr>
        <w:jc w:val="both"/>
      </w:pPr>
    </w:p>
    <w:p w14:paraId="2959EC8F" w14:textId="77777777" w:rsidR="00E12DB9" w:rsidRPr="00113375" w:rsidRDefault="00E12DB9" w:rsidP="00E12DB9">
      <w:pPr>
        <w:pStyle w:val="ListParagraph"/>
        <w:numPr>
          <w:ilvl w:val="0"/>
          <w:numId w:val="5"/>
        </w:numPr>
        <w:jc w:val="both"/>
        <w:rPr>
          <w:sz w:val="18"/>
        </w:rPr>
      </w:pPr>
      <w:r w:rsidRPr="00113375">
        <w:rPr>
          <w:sz w:val="18"/>
        </w:rPr>
        <w:t>A bill of exchange is an unconditional order in writing, addressed by one person to another, signed by the person giving it, requiring the person to whom it is addressed to pay on demand or at a fixed or determinable future time a sum certain in money to or to the order of a specified person, or to bearer.</w:t>
      </w:r>
    </w:p>
    <w:p w14:paraId="79D4FF5D" w14:textId="77777777" w:rsidR="00E12DB9" w:rsidRPr="00113375" w:rsidRDefault="00E12DB9" w:rsidP="00E12DB9">
      <w:pPr>
        <w:pStyle w:val="ListParagraph"/>
        <w:ind w:left="1815"/>
        <w:jc w:val="both"/>
        <w:rPr>
          <w:sz w:val="18"/>
        </w:rPr>
      </w:pPr>
    </w:p>
    <w:p w14:paraId="7B5595AE" w14:textId="77777777" w:rsidR="00E12DB9" w:rsidRPr="00113375" w:rsidRDefault="00E12DB9" w:rsidP="00E12DB9">
      <w:pPr>
        <w:pStyle w:val="ListParagraph"/>
        <w:numPr>
          <w:ilvl w:val="0"/>
          <w:numId w:val="5"/>
        </w:numPr>
        <w:jc w:val="both"/>
        <w:rPr>
          <w:sz w:val="18"/>
        </w:rPr>
      </w:pPr>
      <w:r w:rsidRPr="00113375">
        <w:rPr>
          <w:sz w:val="18"/>
        </w:rPr>
        <w:t>An instrument which does not comply with these conditions, or which orders any act to be done in addition to the payment of money, is not a bill of exchange.</w:t>
      </w:r>
    </w:p>
    <w:p w14:paraId="1D5C4101" w14:textId="77777777" w:rsidR="00E12DB9" w:rsidRPr="00113375" w:rsidRDefault="00E12DB9" w:rsidP="00E12DB9">
      <w:pPr>
        <w:jc w:val="both"/>
        <w:rPr>
          <w:sz w:val="18"/>
        </w:rPr>
      </w:pPr>
    </w:p>
    <w:p w14:paraId="77368286" w14:textId="77777777" w:rsidR="00E12DB9" w:rsidRPr="00113375" w:rsidRDefault="00E12DB9" w:rsidP="00E12DB9">
      <w:pPr>
        <w:pStyle w:val="ListParagraph"/>
        <w:numPr>
          <w:ilvl w:val="0"/>
          <w:numId w:val="5"/>
        </w:numPr>
        <w:jc w:val="both"/>
        <w:rPr>
          <w:sz w:val="18"/>
        </w:rPr>
      </w:pPr>
      <w:r>
        <w:rPr>
          <w:sz w:val="18"/>
        </w:rPr>
        <w:t>…</w:t>
      </w:r>
    </w:p>
    <w:p w14:paraId="013A539B" w14:textId="77777777" w:rsidR="00E12DB9" w:rsidRPr="00113375" w:rsidRDefault="00E12DB9" w:rsidP="00E12DB9">
      <w:pPr>
        <w:jc w:val="both"/>
        <w:rPr>
          <w:sz w:val="18"/>
        </w:rPr>
      </w:pPr>
    </w:p>
    <w:p w14:paraId="35A61DC7" w14:textId="77777777" w:rsidR="00E12DB9" w:rsidRPr="00113375" w:rsidRDefault="00E12DB9" w:rsidP="00E12DB9">
      <w:pPr>
        <w:ind w:left="720" w:firstLine="720"/>
        <w:jc w:val="both"/>
        <w:rPr>
          <w:sz w:val="18"/>
        </w:rPr>
      </w:pPr>
      <w:r w:rsidRPr="00113375">
        <w:rPr>
          <w:sz w:val="18"/>
        </w:rPr>
        <w:t>(4) A bill is not invalid by reason—</w:t>
      </w:r>
    </w:p>
    <w:p w14:paraId="40D1252C" w14:textId="77777777" w:rsidR="00E12DB9" w:rsidRPr="00113375" w:rsidRDefault="00E12DB9" w:rsidP="00E12DB9">
      <w:pPr>
        <w:ind w:left="1440" w:firstLine="720"/>
        <w:jc w:val="both"/>
        <w:rPr>
          <w:sz w:val="18"/>
        </w:rPr>
      </w:pPr>
      <w:r w:rsidRPr="00113375">
        <w:rPr>
          <w:sz w:val="18"/>
        </w:rPr>
        <w:t xml:space="preserve">(a) That it is not </w:t>
      </w:r>
      <w:proofErr w:type="gramStart"/>
      <w:r w:rsidRPr="00113375">
        <w:rPr>
          <w:sz w:val="18"/>
        </w:rPr>
        <w:t>dated;</w:t>
      </w:r>
      <w:proofErr w:type="gramEnd"/>
    </w:p>
    <w:p w14:paraId="328BF209" w14:textId="77777777" w:rsidR="00E12DB9" w:rsidRPr="00113375" w:rsidRDefault="00E12DB9" w:rsidP="00E12DB9">
      <w:pPr>
        <w:ind w:left="2160"/>
        <w:jc w:val="both"/>
        <w:rPr>
          <w:sz w:val="18"/>
        </w:rPr>
      </w:pPr>
      <w:r w:rsidRPr="00113375">
        <w:rPr>
          <w:sz w:val="18"/>
        </w:rPr>
        <w:t xml:space="preserve">(b) That it does not specify the value given, or that any value has been given </w:t>
      </w:r>
      <w:proofErr w:type="gramStart"/>
      <w:r w:rsidRPr="00113375">
        <w:rPr>
          <w:sz w:val="18"/>
        </w:rPr>
        <w:t>therefor;</w:t>
      </w:r>
      <w:proofErr w:type="gramEnd"/>
    </w:p>
    <w:p w14:paraId="3DD11012" w14:textId="77777777" w:rsidR="00E12DB9" w:rsidRPr="00113375" w:rsidRDefault="00E12DB9" w:rsidP="00E12DB9">
      <w:pPr>
        <w:ind w:left="2160"/>
        <w:jc w:val="both"/>
        <w:rPr>
          <w:sz w:val="18"/>
        </w:rPr>
      </w:pPr>
      <w:r w:rsidRPr="00113375">
        <w:rPr>
          <w:sz w:val="18"/>
        </w:rPr>
        <w:t>(c) That it does not specify the place where it is drawn or the place where it is payable.</w:t>
      </w:r>
    </w:p>
    <w:p w14:paraId="18626359" w14:textId="77777777" w:rsidR="00E12DB9" w:rsidRPr="00A63580" w:rsidRDefault="00E12DB9" w:rsidP="00E12DB9">
      <w:pPr>
        <w:jc w:val="both"/>
      </w:pPr>
    </w:p>
    <w:p w14:paraId="118A1AE3" w14:textId="77777777" w:rsidR="00E12DB9" w:rsidRDefault="00E12DB9" w:rsidP="00E12DB9">
      <w:pPr>
        <w:jc w:val="both"/>
      </w:pPr>
    </w:p>
    <w:p w14:paraId="7A3629DD" w14:textId="77777777" w:rsidR="00E12DB9" w:rsidRDefault="00E12DB9" w:rsidP="00E12DB9">
      <w:pPr>
        <w:jc w:val="both"/>
        <w:rPr>
          <w:b/>
        </w:rPr>
      </w:pPr>
      <w:r>
        <w:t xml:space="preserve">A bill of exchange is an unconditional order to pay money to the payee. </w:t>
      </w:r>
      <w:proofErr w:type="gramStart"/>
      <w:r>
        <w:t>Thus</w:t>
      </w:r>
      <w:proofErr w:type="gramEnd"/>
      <w:r>
        <w:t xml:space="preserve"> the most common example of a bill of exchange is a </w:t>
      </w:r>
      <w:r w:rsidRPr="00A966FE">
        <w:rPr>
          <w:b/>
          <w:bCs/>
        </w:rPr>
        <w:t>cheque</w:t>
      </w:r>
      <w:r>
        <w:t xml:space="preserve">, which is an order directed to a bank and is payable on demand (once the holder or bearer of the cheque presents it to the bank for payment). See </w:t>
      </w:r>
      <w:bookmarkStart w:id="0" w:name="_Hlk499237150"/>
      <w:r w:rsidRPr="00A63580">
        <w:rPr>
          <w:b/>
        </w:rPr>
        <w:t xml:space="preserve">Bills of Exchange Act 1882, </w:t>
      </w:r>
      <w:bookmarkEnd w:id="0"/>
      <w:r w:rsidRPr="00A63580">
        <w:rPr>
          <w:b/>
        </w:rPr>
        <w:t xml:space="preserve">s </w:t>
      </w:r>
      <w:r>
        <w:rPr>
          <w:b/>
        </w:rPr>
        <w:t>7</w:t>
      </w:r>
      <w:r w:rsidRPr="00A63580">
        <w:rPr>
          <w:b/>
        </w:rPr>
        <w:t>3</w:t>
      </w:r>
      <w:r>
        <w:rPr>
          <w:b/>
        </w:rPr>
        <w:t>.</w:t>
      </w:r>
    </w:p>
    <w:p w14:paraId="0AF0F45B" w14:textId="77777777" w:rsidR="00E12DB9" w:rsidRDefault="00E12DB9" w:rsidP="00E12DB9">
      <w:pPr>
        <w:jc w:val="both"/>
        <w:rPr>
          <w:b/>
        </w:rPr>
      </w:pPr>
    </w:p>
    <w:p w14:paraId="58DAFE48" w14:textId="77777777" w:rsidR="00E12DB9" w:rsidRDefault="00E12DB9" w:rsidP="00E12DB9">
      <w:pPr>
        <w:jc w:val="both"/>
      </w:pPr>
      <w:r>
        <w:t xml:space="preserve">From </w:t>
      </w:r>
      <w:r>
        <w:rPr>
          <w:b/>
        </w:rPr>
        <w:t>s 3(1)</w:t>
      </w:r>
      <w:r>
        <w:t>, we can see that a bill of exchange would involve three parties: (a) the person addressing and signing the bill, giving the order to pay (the drawer/payer); (b) the person to whom the order is given/the bill is addressed (the drawee – if a cheque, the bank is the drawee); and the person specified on the bill whom the drawer wants to pay (the payee/bearer).</w:t>
      </w:r>
    </w:p>
    <w:p w14:paraId="6459E4F9" w14:textId="77777777" w:rsidR="00E12DB9" w:rsidRDefault="00E12DB9" w:rsidP="00E12DB9">
      <w:pPr>
        <w:jc w:val="both"/>
      </w:pPr>
    </w:p>
    <w:p w14:paraId="67B215F9" w14:textId="77777777" w:rsidR="00E12DB9" w:rsidRDefault="00E12DB9" w:rsidP="00E12DB9">
      <w:pPr>
        <w:jc w:val="both"/>
        <w:rPr>
          <w:sz w:val="16"/>
          <w:szCs w:val="18"/>
        </w:rPr>
      </w:pPr>
      <w:r w:rsidRPr="00A966FE">
        <w:rPr>
          <w:szCs w:val="20"/>
        </w:rPr>
        <w:t>From the statutory description of a bill of exchange above, it is plainly obvious that this form of payment would involve three parties: (a) the person addressing and signing the bill who gives the order to pay (the drawer/payer/debtor); (b) the person to whom the order is given/the bill is addressed (the drawee – if a cheque, the bank is the drawee); and the person specified on the bill whom the drawer wants to pay (the payee/bearer/creditor). Section 3 of the Act, when read in conjunction with other provisions in the Act, also reveals some key ‘formal requirements’ for the validity of a bill of exchange. These include:</w:t>
      </w:r>
      <w:r w:rsidRPr="00A966FE">
        <w:rPr>
          <w:sz w:val="16"/>
          <w:szCs w:val="18"/>
        </w:rPr>
        <w:t xml:space="preserve"> </w:t>
      </w:r>
    </w:p>
    <w:p w14:paraId="3601D26A" w14:textId="77777777" w:rsidR="00E12DB9" w:rsidRPr="00A966FE" w:rsidRDefault="00E12DB9" w:rsidP="00E12DB9">
      <w:pPr>
        <w:jc w:val="both"/>
        <w:rPr>
          <w:sz w:val="16"/>
          <w:szCs w:val="18"/>
        </w:rPr>
      </w:pPr>
    </w:p>
    <w:p w14:paraId="7EF207FE" w14:textId="77777777" w:rsidR="00E12DB9" w:rsidRPr="002F7DCF" w:rsidRDefault="00E12DB9" w:rsidP="00E12DB9">
      <w:pPr>
        <w:pStyle w:val="ListParagraph"/>
        <w:numPr>
          <w:ilvl w:val="0"/>
          <w:numId w:val="8"/>
        </w:numPr>
        <w:spacing w:after="160"/>
        <w:jc w:val="both"/>
        <w:rPr>
          <w:b/>
          <w:szCs w:val="20"/>
        </w:rPr>
      </w:pPr>
      <w:r w:rsidRPr="00A966FE">
        <w:rPr>
          <w:i/>
          <w:iCs/>
          <w:szCs w:val="20"/>
        </w:rPr>
        <w:lastRenderedPageBreak/>
        <w:t>“Unconditional order”</w:t>
      </w:r>
      <w:r w:rsidRPr="00A966FE">
        <w:rPr>
          <w:szCs w:val="20"/>
        </w:rPr>
        <w:t xml:space="preserve">: this relates to the instruction that is given to the drawee/bank. Thus, while the instruction to the bank should be unconditional, the drawer/payer can impose conditions on the payee without compromising the validity of the instrument as a bill of exchange. See </w:t>
      </w:r>
      <w:r w:rsidRPr="002F7DCF">
        <w:rPr>
          <w:b/>
          <w:i/>
          <w:szCs w:val="20"/>
        </w:rPr>
        <w:t>Roberts &amp; co v Marsh</w:t>
      </w:r>
      <w:r w:rsidRPr="002F7DCF">
        <w:rPr>
          <w:b/>
          <w:szCs w:val="20"/>
        </w:rPr>
        <w:t xml:space="preserve"> [1915] 1 KB 42 (CA</w:t>
      </w:r>
      <w:r w:rsidRPr="002F7DCF">
        <w:rPr>
          <w:b/>
          <w:i/>
          <w:szCs w:val="20"/>
        </w:rPr>
        <w:t>); Hong Kong and Shanghai Banking Corp Ltd v GD Trade Co Ltd</w:t>
      </w:r>
      <w:r w:rsidRPr="002F7DCF">
        <w:rPr>
          <w:b/>
          <w:szCs w:val="20"/>
        </w:rPr>
        <w:t xml:space="preserve"> [1998] CLC 238. </w:t>
      </w:r>
    </w:p>
    <w:p w14:paraId="26299329" w14:textId="77777777" w:rsidR="00E12DB9" w:rsidRPr="00A966FE" w:rsidRDefault="00E12DB9" w:rsidP="00E12DB9">
      <w:pPr>
        <w:pStyle w:val="ListParagraph"/>
        <w:spacing w:after="160"/>
        <w:jc w:val="both"/>
        <w:rPr>
          <w:szCs w:val="20"/>
        </w:rPr>
      </w:pPr>
    </w:p>
    <w:p w14:paraId="23FF5759" w14:textId="77777777" w:rsidR="00E12DB9" w:rsidRDefault="00E12DB9" w:rsidP="00E12DB9">
      <w:pPr>
        <w:pStyle w:val="ListParagraph"/>
        <w:numPr>
          <w:ilvl w:val="0"/>
          <w:numId w:val="8"/>
        </w:numPr>
        <w:spacing w:after="160"/>
        <w:jc w:val="both"/>
        <w:rPr>
          <w:szCs w:val="20"/>
        </w:rPr>
      </w:pPr>
      <w:r w:rsidRPr="00A966FE">
        <w:rPr>
          <w:i/>
          <w:iCs/>
          <w:szCs w:val="20"/>
        </w:rPr>
        <w:t>“In writing”</w:t>
      </w:r>
      <w:r w:rsidRPr="00A966FE">
        <w:rPr>
          <w:szCs w:val="20"/>
        </w:rPr>
        <w:t xml:space="preserve">: the essence of a bill of exchange is that the order/instruction to make a payment on behalf of the payer is embodied in a written document. </w:t>
      </w:r>
    </w:p>
    <w:p w14:paraId="15C6C7CD" w14:textId="77777777" w:rsidR="00E12DB9" w:rsidRPr="00D37B0B" w:rsidRDefault="00E12DB9" w:rsidP="00E12DB9">
      <w:pPr>
        <w:pStyle w:val="ListParagraph"/>
        <w:jc w:val="both"/>
        <w:rPr>
          <w:szCs w:val="20"/>
        </w:rPr>
      </w:pPr>
    </w:p>
    <w:p w14:paraId="05EBCE7B" w14:textId="77777777" w:rsidR="00E12DB9" w:rsidRPr="00D37B0B" w:rsidRDefault="00E12DB9" w:rsidP="00E12DB9">
      <w:pPr>
        <w:pStyle w:val="ListParagraph"/>
        <w:spacing w:after="160"/>
        <w:jc w:val="both"/>
        <w:rPr>
          <w:szCs w:val="20"/>
        </w:rPr>
      </w:pPr>
    </w:p>
    <w:p w14:paraId="425CF157" w14:textId="77777777" w:rsidR="00E12DB9" w:rsidRDefault="00E12DB9" w:rsidP="00E12DB9">
      <w:pPr>
        <w:pStyle w:val="ListParagraph"/>
        <w:numPr>
          <w:ilvl w:val="0"/>
          <w:numId w:val="8"/>
        </w:numPr>
        <w:spacing w:after="160"/>
        <w:jc w:val="both"/>
        <w:rPr>
          <w:szCs w:val="20"/>
        </w:rPr>
      </w:pPr>
      <w:r w:rsidRPr="00A966FE">
        <w:rPr>
          <w:szCs w:val="20"/>
        </w:rPr>
        <w:t xml:space="preserve"> “</w:t>
      </w:r>
      <w:r w:rsidRPr="00A966FE">
        <w:rPr>
          <w:i/>
          <w:iCs/>
          <w:szCs w:val="20"/>
        </w:rPr>
        <w:t>Signed by the person giving</w:t>
      </w:r>
      <w:r w:rsidRPr="00A966FE">
        <w:rPr>
          <w:szCs w:val="20"/>
        </w:rPr>
        <w:t xml:space="preserve"> it”: this is quite nebulous as there is no statutory guide of what amounts to signing within the Act. On the face of it, </w:t>
      </w:r>
      <w:proofErr w:type="gramStart"/>
      <w:r w:rsidRPr="00A966FE">
        <w:rPr>
          <w:szCs w:val="20"/>
        </w:rPr>
        <w:t>it would seem that an</w:t>
      </w:r>
      <w:proofErr w:type="gramEnd"/>
      <w:r w:rsidRPr="00A966FE">
        <w:rPr>
          <w:szCs w:val="20"/>
        </w:rPr>
        <w:t xml:space="preserve"> electronic signature is insufficient due to the writing requirement. However, there is some suggestion that </w:t>
      </w:r>
      <w:r w:rsidRPr="002F7DCF">
        <w:rPr>
          <w:b/>
          <w:bCs/>
          <w:szCs w:val="20"/>
        </w:rPr>
        <w:t>EU Regulation No 910/2014</w:t>
      </w:r>
      <w:r w:rsidRPr="00A966FE">
        <w:rPr>
          <w:szCs w:val="20"/>
        </w:rPr>
        <w:t xml:space="preserve"> on</w:t>
      </w:r>
      <w:r w:rsidRPr="00A966FE">
        <w:rPr>
          <w:sz w:val="16"/>
          <w:szCs w:val="18"/>
        </w:rPr>
        <w:t xml:space="preserve"> </w:t>
      </w:r>
      <w:r w:rsidRPr="00A966FE">
        <w:rPr>
          <w:szCs w:val="20"/>
        </w:rPr>
        <w:t xml:space="preserve">identification and trust services for electronic transactions in the internal market should make e-signatures sufficient for this purpose. </w:t>
      </w:r>
      <w:r w:rsidRPr="006C78FF">
        <w:rPr>
          <w:b/>
          <w:bCs/>
          <w:szCs w:val="20"/>
        </w:rPr>
        <w:t>Article 25</w:t>
      </w:r>
      <w:r w:rsidRPr="00A966FE">
        <w:rPr>
          <w:szCs w:val="20"/>
        </w:rPr>
        <w:t xml:space="preserve"> of that regulation states that “A qualified electronic signature shall have the equivalent legal effect of a handwritten signature.”</w:t>
      </w:r>
    </w:p>
    <w:p w14:paraId="02A37A57" w14:textId="77777777" w:rsidR="00E12DB9" w:rsidRPr="00A966FE" w:rsidRDefault="00E12DB9" w:rsidP="00E12DB9">
      <w:pPr>
        <w:pStyle w:val="ListParagraph"/>
        <w:spacing w:after="160"/>
        <w:jc w:val="both"/>
        <w:rPr>
          <w:szCs w:val="20"/>
        </w:rPr>
      </w:pPr>
    </w:p>
    <w:p w14:paraId="54990604" w14:textId="77777777" w:rsidR="00E12DB9" w:rsidRDefault="00E12DB9" w:rsidP="00E12DB9">
      <w:pPr>
        <w:pStyle w:val="ListParagraph"/>
        <w:numPr>
          <w:ilvl w:val="0"/>
          <w:numId w:val="8"/>
        </w:numPr>
        <w:spacing w:after="160"/>
        <w:jc w:val="both"/>
        <w:rPr>
          <w:szCs w:val="20"/>
        </w:rPr>
      </w:pPr>
      <w:r w:rsidRPr="00A966FE">
        <w:rPr>
          <w:szCs w:val="20"/>
        </w:rPr>
        <w:t xml:space="preserve">Formal Irregularities: while the bill of exchange is quite formalistic in nature, </w:t>
      </w:r>
      <w:r w:rsidRPr="002F7DCF">
        <w:rPr>
          <w:b/>
          <w:bCs/>
          <w:szCs w:val="20"/>
        </w:rPr>
        <w:t>Section 3(4) of the Act</w:t>
      </w:r>
      <w:r w:rsidRPr="00A966FE">
        <w:rPr>
          <w:szCs w:val="20"/>
        </w:rPr>
        <w:t xml:space="preserve"> ensures that the validity of a bill is not defeated on mere technicalities such as lack of date or consideration. That said</w:t>
      </w:r>
      <w:proofErr w:type="gramStart"/>
      <w:r w:rsidRPr="00A966FE">
        <w:rPr>
          <w:szCs w:val="20"/>
        </w:rPr>
        <w:t>, in reality, many</w:t>
      </w:r>
      <w:proofErr w:type="gramEnd"/>
      <w:r w:rsidRPr="00A966FE">
        <w:rPr>
          <w:szCs w:val="20"/>
        </w:rPr>
        <w:t xml:space="preserve"> payees would return a bill that is not properly written by the drawer. In any case, </w:t>
      </w:r>
      <w:r w:rsidRPr="002F7DCF">
        <w:rPr>
          <w:b/>
          <w:bCs/>
          <w:szCs w:val="20"/>
        </w:rPr>
        <w:t>Section 20 of the Bills of Exchange Act 1882</w:t>
      </w:r>
      <w:r w:rsidRPr="00A966FE">
        <w:rPr>
          <w:szCs w:val="20"/>
        </w:rPr>
        <w:t xml:space="preserve"> provides that a bill which is inchoate or suffers from formal/material irregularity can be rectified by the person in possession of it and such rectification will bind parties to the inchoate instrument if it is completed within a reasonable time and strictly in accordance with the authority given. These caveats (reasonable time and authority) on the validity of an inchoate bill will not apply to the transferee of the bill who acquires it in good faith for value after it has been completed (the “holder in due course</w:t>
      </w:r>
      <w:proofErr w:type="gramStart"/>
      <w:r w:rsidRPr="00A966FE">
        <w:rPr>
          <w:szCs w:val="20"/>
        </w:rPr>
        <w:t>” )</w:t>
      </w:r>
      <w:proofErr w:type="gramEnd"/>
      <w:r w:rsidRPr="00A966FE">
        <w:rPr>
          <w:szCs w:val="20"/>
        </w:rPr>
        <w:t xml:space="preserve"> – see </w:t>
      </w:r>
      <w:r w:rsidRPr="002F7DCF">
        <w:rPr>
          <w:b/>
          <w:bCs/>
          <w:szCs w:val="20"/>
        </w:rPr>
        <w:t>Section 20(2) of the Bills of Exchange Act 1882</w:t>
      </w:r>
      <w:r w:rsidRPr="00A966FE">
        <w:rPr>
          <w:szCs w:val="20"/>
        </w:rPr>
        <w:t xml:space="preserve">. See also </w:t>
      </w:r>
      <w:r w:rsidRPr="002F7DCF">
        <w:rPr>
          <w:b/>
          <w:bCs/>
          <w:szCs w:val="20"/>
        </w:rPr>
        <w:t>Section 29</w:t>
      </w:r>
      <w:r w:rsidRPr="00A966FE">
        <w:rPr>
          <w:szCs w:val="20"/>
        </w:rPr>
        <w:t xml:space="preserve"> for the definition of the holder in due course. </w:t>
      </w:r>
    </w:p>
    <w:p w14:paraId="0D8899F4" w14:textId="77777777" w:rsidR="00E12DB9" w:rsidRPr="00A966FE" w:rsidRDefault="00E12DB9" w:rsidP="00E12DB9">
      <w:pPr>
        <w:pStyle w:val="ListParagraph"/>
        <w:spacing w:after="160"/>
        <w:jc w:val="both"/>
        <w:rPr>
          <w:szCs w:val="20"/>
        </w:rPr>
      </w:pPr>
    </w:p>
    <w:p w14:paraId="4C86EF98" w14:textId="77777777" w:rsidR="00E12DB9" w:rsidRDefault="00E12DB9" w:rsidP="00E12DB9">
      <w:pPr>
        <w:pStyle w:val="ListParagraph"/>
        <w:numPr>
          <w:ilvl w:val="0"/>
          <w:numId w:val="8"/>
        </w:numPr>
        <w:spacing w:after="160"/>
        <w:jc w:val="both"/>
        <w:rPr>
          <w:szCs w:val="20"/>
        </w:rPr>
      </w:pPr>
      <w:r w:rsidRPr="00A966FE">
        <w:rPr>
          <w:szCs w:val="20"/>
        </w:rPr>
        <w:t xml:space="preserve">Fraud/Illegality/Vitiating Factors: the title of a person who negotiates a bill is defective when s/he obtained the bill, by fraud, duress, or force and fear, or other unlawful means, or an illegal consideration, or when s/he negotiates it in breach of faith, or under such circumstances as amount to a fraud - see </w:t>
      </w:r>
      <w:r w:rsidRPr="002F7DCF">
        <w:rPr>
          <w:b/>
          <w:bCs/>
          <w:szCs w:val="20"/>
        </w:rPr>
        <w:t>Section 29(2) of the Bills of Exchange Act 1882</w:t>
      </w:r>
      <w:r w:rsidRPr="00A966FE">
        <w:rPr>
          <w:szCs w:val="20"/>
        </w:rPr>
        <w:t xml:space="preserve">. Such </w:t>
      </w:r>
      <w:r w:rsidRPr="00A966FE">
        <w:rPr>
          <w:i/>
          <w:iCs/>
          <w:szCs w:val="20"/>
        </w:rPr>
        <w:t>defect in title</w:t>
      </w:r>
      <w:r w:rsidRPr="00A966FE">
        <w:rPr>
          <w:szCs w:val="20"/>
        </w:rPr>
        <w:t xml:space="preserve"> of the holder may be a defence for a person who is liable under the bill (like a drawer or </w:t>
      </w:r>
      <w:proofErr w:type="spellStart"/>
      <w:r w:rsidRPr="00A966FE">
        <w:rPr>
          <w:szCs w:val="20"/>
        </w:rPr>
        <w:t>indorser</w:t>
      </w:r>
      <w:proofErr w:type="spellEnd"/>
      <w:r w:rsidRPr="00A966FE">
        <w:rPr>
          <w:szCs w:val="20"/>
        </w:rPr>
        <w:t xml:space="preserve"> – see paragraph ‘g’ below). However, </w:t>
      </w:r>
      <w:proofErr w:type="gramStart"/>
      <w:r w:rsidRPr="00A966FE">
        <w:rPr>
          <w:szCs w:val="20"/>
        </w:rPr>
        <w:t xml:space="preserve">it would appear that </w:t>
      </w:r>
      <w:r w:rsidRPr="002F7DCF">
        <w:rPr>
          <w:b/>
          <w:bCs/>
          <w:szCs w:val="20"/>
        </w:rPr>
        <w:t>Section</w:t>
      </w:r>
      <w:proofErr w:type="gramEnd"/>
      <w:r w:rsidRPr="002F7DCF">
        <w:rPr>
          <w:b/>
          <w:bCs/>
          <w:szCs w:val="20"/>
        </w:rPr>
        <w:t xml:space="preserve"> 38(2) </w:t>
      </w:r>
      <w:r w:rsidRPr="00A966FE">
        <w:rPr>
          <w:szCs w:val="20"/>
        </w:rPr>
        <w:t xml:space="preserve">of the Act enables the holder in due course to enforce a bill regardless of the existence of such defect in title. </w:t>
      </w:r>
    </w:p>
    <w:p w14:paraId="6FA27EC5" w14:textId="77777777" w:rsidR="00E12DB9" w:rsidRPr="002F7DCF" w:rsidRDefault="00E12DB9" w:rsidP="00E12DB9">
      <w:pPr>
        <w:pStyle w:val="ListParagraph"/>
        <w:jc w:val="both"/>
        <w:rPr>
          <w:szCs w:val="20"/>
        </w:rPr>
      </w:pPr>
    </w:p>
    <w:p w14:paraId="47E642A1" w14:textId="77777777" w:rsidR="00E12DB9" w:rsidRPr="00A966FE" w:rsidRDefault="00E12DB9" w:rsidP="00E12DB9">
      <w:pPr>
        <w:pStyle w:val="ListParagraph"/>
        <w:spacing w:after="160"/>
        <w:jc w:val="both"/>
        <w:rPr>
          <w:szCs w:val="20"/>
        </w:rPr>
      </w:pPr>
    </w:p>
    <w:p w14:paraId="6796E617" w14:textId="77777777" w:rsidR="00E12DB9" w:rsidRDefault="00E12DB9" w:rsidP="00E12DB9">
      <w:pPr>
        <w:pStyle w:val="ListParagraph"/>
        <w:numPr>
          <w:ilvl w:val="0"/>
          <w:numId w:val="8"/>
        </w:numPr>
        <w:spacing w:after="160"/>
        <w:jc w:val="both"/>
        <w:rPr>
          <w:szCs w:val="20"/>
        </w:rPr>
      </w:pPr>
      <w:r w:rsidRPr="00A966FE">
        <w:rPr>
          <w:szCs w:val="20"/>
        </w:rPr>
        <w:t>Negotiability: this is a critical element of bills of exchange as it underpins their essence in and value to commercial transactions. We have already seen that a bill of exchange is negotiable as it may be transferred by delivery alone or by delivery and indorsement (</w:t>
      </w:r>
      <w:r w:rsidRPr="002F7DCF">
        <w:rPr>
          <w:b/>
          <w:bCs/>
          <w:szCs w:val="20"/>
        </w:rPr>
        <w:t>Section 31 of the Bills of Exchange Act 1882</w:t>
      </w:r>
      <w:r w:rsidRPr="00A966FE">
        <w:rPr>
          <w:szCs w:val="20"/>
        </w:rPr>
        <w:t>). There are three issues here that warrant further consideration:</w:t>
      </w:r>
    </w:p>
    <w:p w14:paraId="2305E4C3" w14:textId="77777777" w:rsidR="00E12DB9" w:rsidRPr="00A966FE" w:rsidRDefault="00E12DB9" w:rsidP="00E12DB9">
      <w:pPr>
        <w:pStyle w:val="ListParagraph"/>
        <w:spacing w:after="160"/>
        <w:jc w:val="both"/>
        <w:rPr>
          <w:szCs w:val="20"/>
        </w:rPr>
      </w:pPr>
    </w:p>
    <w:p w14:paraId="3425CF9A" w14:textId="77777777" w:rsidR="00E12DB9" w:rsidRPr="00A966FE" w:rsidRDefault="00E12DB9" w:rsidP="00E12DB9">
      <w:pPr>
        <w:pStyle w:val="ListParagraph"/>
        <w:numPr>
          <w:ilvl w:val="1"/>
          <w:numId w:val="8"/>
        </w:numPr>
        <w:spacing w:after="160"/>
        <w:jc w:val="both"/>
        <w:rPr>
          <w:szCs w:val="20"/>
        </w:rPr>
      </w:pPr>
      <w:r w:rsidRPr="00D37B0B">
        <w:rPr>
          <w:szCs w:val="20"/>
          <w:u w:val="single"/>
        </w:rPr>
        <w:lastRenderedPageBreak/>
        <w:t>Discounting of Bills</w:t>
      </w:r>
      <w:r w:rsidRPr="00A966FE">
        <w:rPr>
          <w:szCs w:val="20"/>
        </w:rPr>
        <w:t xml:space="preserve">: the facility of negotiability and transferability of bills like cheques promotes the free flow of commerce. It enables the payee of a cheque unleash much of the financial value of the cheque at a time when the cheque has not reached maturity or is due to be honoured by the bank. Let us say A sells B goods worth £50,000 on 1 November 2021. B makes the payment to A by cheque, which is post-dated and due by 31 January 2022. Should A be struggling for cash-flow and where there are no restrictions on the cheque, A could sell (by delivery and indorsement) the cheque to a financier or discounter, </w:t>
      </w:r>
      <w:proofErr w:type="gramStart"/>
      <w:r w:rsidRPr="00A966FE">
        <w:rPr>
          <w:szCs w:val="20"/>
        </w:rPr>
        <w:t>C,  at</w:t>
      </w:r>
      <w:proofErr w:type="gramEnd"/>
      <w:r w:rsidRPr="00A966FE">
        <w:rPr>
          <w:szCs w:val="20"/>
        </w:rPr>
        <w:t xml:space="preserve"> a discount – say, £47,000. C may then later present the cheque to the drawee for payment at the point of maturity. This process is </w:t>
      </w:r>
      <w:proofErr w:type="gramStart"/>
      <w:r w:rsidRPr="00A966FE">
        <w:rPr>
          <w:szCs w:val="20"/>
        </w:rPr>
        <w:t>similar to</w:t>
      </w:r>
      <w:proofErr w:type="gramEnd"/>
      <w:r w:rsidRPr="00A966FE">
        <w:rPr>
          <w:szCs w:val="20"/>
        </w:rPr>
        <w:t xml:space="preserve"> receivables financing/assignment of debt, which we discussed in our chapters on sources of finance in commercial transactions. </w:t>
      </w:r>
    </w:p>
    <w:p w14:paraId="299A1AB8" w14:textId="77777777" w:rsidR="00E12DB9" w:rsidRPr="00A966FE" w:rsidRDefault="00E12DB9" w:rsidP="00E12DB9">
      <w:pPr>
        <w:pStyle w:val="ListParagraph"/>
        <w:numPr>
          <w:ilvl w:val="1"/>
          <w:numId w:val="8"/>
        </w:numPr>
        <w:spacing w:after="160"/>
        <w:jc w:val="both"/>
        <w:rPr>
          <w:szCs w:val="20"/>
        </w:rPr>
      </w:pPr>
      <w:r w:rsidRPr="00D37B0B">
        <w:rPr>
          <w:szCs w:val="20"/>
          <w:u w:val="single"/>
        </w:rPr>
        <w:t>Non-Negotiability/Transferability</w:t>
      </w:r>
      <w:r w:rsidRPr="00A966FE">
        <w:rPr>
          <w:szCs w:val="20"/>
        </w:rPr>
        <w:t xml:space="preserve">: Some bills, however, might not be negotiable or transferable. The drawer of a cheque could render it non-transferrable by crossing it with the words “account payee” or “a/c payee”, either with or without the word “only” – see </w:t>
      </w:r>
      <w:r w:rsidRPr="002F7DCF">
        <w:rPr>
          <w:b/>
          <w:bCs/>
          <w:szCs w:val="20"/>
        </w:rPr>
        <w:t>Section 81A of the Bills of Exchange Act 1882.</w:t>
      </w:r>
      <w:r w:rsidRPr="00A966FE">
        <w:rPr>
          <w:szCs w:val="20"/>
        </w:rPr>
        <w:t xml:space="preserve">  Such bill is enforceable by the payee only and is valid between the parties – see </w:t>
      </w:r>
      <w:r w:rsidRPr="002F7DCF">
        <w:rPr>
          <w:b/>
          <w:bCs/>
          <w:szCs w:val="20"/>
        </w:rPr>
        <w:t>Section 8(1) of the Bills of Exchange Act 1882</w:t>
      </w:r>
      <w:r w:rsidRPr="00A966FE">
        <w:rPr>
          <w:szCs w:val="20"/>
        </w:rPr>
        <w:t xml:space="preserve">. On the other hand, where a person takes a crossed cheque which bears on it the words “not negotiable,” s/he shall not have and shall not be capable of giving a better title to the cheque than that which the person from whom he took it had. In other words, such a cheque is transferrable, but is not negotiable in the sense that the transferee does not take the bill free of any defects in their transferor’s title and, therefore, cannot pass on a title that is better than that held by the transferor – see </w:t>
      </w:r>
      <w:r w:rsidRPr="002F7DCF">
        <w:rPr>
          <w:b/>
          <w:bCs/>
          <w:szCs w:val="20"/>
        </w:rPr>
        <w:t>Section 81of the Bills of Exchange Act 1882</w:t>
      </w:r>
      <w:r w:rsidRPr="00A966FE">
        <w:rPr>
          <w:szCs w:val="20"/>
        </w:rPr>
        <w:t xml:space="preserve">.  </w:t>
      </w:r>
    </w:p>
    <w:p w14:paraId="17FFBB2B" w14:textId="77777777" w:rsidR="00E12DB9" w:rsidRDefault="00E12DB9" w:rsidP="00E12DB9">
      <w:pPr>
        <w:pStyle w:val="ListParagraph"/>
        <w:numPr>
          <w:ilvl w:val="1"/>
          <w:numId w:val="8"/>
        </w:numPr>
        <w:spacing w:after="160"/>
        <w:jc w:val="both"/>
        <w:rPr>
          <w:szCs w:val="20"/>
        </w:rPr>
      </w:pPr>
      <w:r w:rsidRPr="00D37B0B">
        <w:rPr>
          <w:szCs w:val="20"/>
          <w:u w:val="single"/>
        </w:rPr>
        <w:t>Order Bills vs Bearer Bills</w:t>
      </w:r>
      <w:r w:rsidRPr="00A966FE">
        <w:rPr>
          <w:szCs w:val="20"/>
        </w:rPr>
        <w:t xml:space="preserve">: an order bill is one where in the payee is named or, at least, indicated with reasonable certainty. Otherwise, it is a bearer bill. A bill payable to bearer is negotiated by delivery, while a bill payable to order is negotiated by the indorsement of the holder and completed by delivery. Where the payee that is named in an order bill is a fictitious or non-existing person, the bill may be treated as payable to bearer and, therefore, transferrable by delivery alone without the requirement of indorsement. This was certainly the position in </w:t>
      </w:r>
      <w:r w:rsidRPr="002F7DCF">
        <w:rPr>
          <w:b/>
          <w:bCs/>
          <w:i/>
          <w:iCs/>
          <w:szCs w:val="20"/>
        </w:rPr>
        <w:t>Clutton v Attenborough &amp; Son</w:t>
      </w:r>
      <w:r w:rsidRPr="002F7DCF">
        <w:rPr>
          <w:b/>
          <w:bCs/>
          <w:szCs w:val="20"/>
        </w:rPr>
        <w:t xml:space="preserve"> [1897] AC 90 (HL)</w:t>
      </w:r>
      <w:r w:rsidRPr="00A966FE">
        <w:rPr>
          <w:szCs w:val="20"/>
        </w:rPr>
        <w:t xml:space="preserve">. For the statutory provisions on this point, see </w:t>
      </w:r>
      <w:r w:rsidRPr="002F7DCF">
        <w:rPr>
          <w:b/>
          <w:bCs/>
          <w:szCs w:val="20"/>
        </w:rPr>
        <w:t>Sections 7, 8 and 31 of the Bills of Exchange Act 1882</w:t>
      </w:r>
      <w:r w:rsidRPr="00A966FE">
        <w:rPr>
          <w:szCs w:val="20"/>
        </w:rPr>
        <w:t xml:space="preserve">. </w:t>
      </w:r>
    </w:p>
    <w:p w14:paraId="48BC2E8C" w14:textId="77777777" w:rsidR="00E12DB9" w:rsidRPr="00A966FE" w:rsidRDefault="00E12DB9" w:rsidP="00E12DB9">
      <w:pPr>
        <w:pStyle w:val="ListParagraph"/>
        <w:spacing w:after="160"/>
        <w:ind w:left="1440"/>
        <w:jc w:val="both"/>
        <w:rPr>
          <w:szCs w:val="20"/>
        </w:rPr>
      </w:pPr>
    </w:p>
    <w:p w14:paraId="76528719" w14:textId="77777777" w:rsidR="00E12DB9" w:rsidRPr="00A966FE" w:rsidRDefault="00E12DB9" w:rsidP="00E12DB9">
      <w:pPr>
        <w:pStyle w:val="ListParagraph"/>
        <w:numPr>
          <w:ilvl w:val="0"/>
          <w:numId w:val="8"/>
        </w:numPr>
        <w:spacing w:after="160"/>
        <w:jc w:val="both"/>
        <w:rPr>
          <w:szCs w:val="20"/>
        </w:rPr>
      </w:pPr>
      <w:r w:rsidRPr="00A966FE">
        <w:rPr>
          <w:szCs w:val="20"/>
        </w:rPr>
        <w:t xml:space="preserve">Liability under a Bill: </w:t>
      </w:r>
      <w:r w:rsidRPr="002F7DCF">
        <w:rPr>
          <w:b/>
          <w:bCs/>
          <w:szCs w:val="20"/>
        </w:rPr>
        <w:t>Section 54 of the Act</w:t>
      </w:r>
      <w:r w:rsidRPr="00A966FE">
        <w:rPr>
          <w:szCs w:val="20"/>
        </w:rPr>
        <w:t xml:space="preserve"> binds the acceptor of a bill (usually a </w:t>
      </w:r>
      <w:proofErr w:type="spellStart"/>
      <w:r w:rsidRPr="00A966FE">
        <w:rPr>
          <w:szCs w:val="20"/>
        </w:rPr>
        <w:t>draweee</w:t>
      </w:r>
      <w:proofErr w:type="spellEnd"/>
      <w:r w:rsidRPr="00A966FE">
        <w:rPr>
          <w:szCs w:val="20"/>
        </w:rPr>
        <w:t xml:space="preserve">) to a promise to pay on the bill, estopping him from setting up certain facts against the drawer and payee to escape liability. </w:t>
      </w:r>
      <w:r w:rsidRPr="002F7DCF">
        <w:rPr>
          <w:b/>
          <w:bCs/>
          <w:szCs w:val="20"/>
        </w:rPr>
        <w:t>Section 55(1) of the Act</w:t>
      </w:r>
      <w:r w:rsidRPr="00A966FE">
        <w:rPr>
          <w:szCs w:val="20"/>
        </w:rPr>
        <w:t xml:space="preserve"> places the drawer of a bill of exchange under a promise that the bill will be paid/honoured in accordance with its terms and, if dishonoured, that s/he will compensate the holder or any </w:t>
      </w:r>
      <w:proofErr w:type="spellStart"/>
      <w:r w:rsidRPr="00A966FE">
        <w:rPr>
          <w:szCs w:val="20"/>
        </w:rPr>
        <w:t>indorser</w:t>
      </w:r>
      <w:proofErr w:type="spellEnd"/>
      <w:r w:rsidRPr="00A966FE">
        <w:rPr>
          <w:szCs w:val="20"/>
        </w:rPr>
        <w:t xml:space="preserve"> who is forced to pay.  </w:t>
      </w:r>
      <w:r w:rsidRPr="002F7DCF">
        <w:rPr>
          <w:b/>
          <w:bCs/>
          <w:szCs w:val="20"/>
        </w:rPr>
        <w:t>Section 55(2</w:t>
      </w:r>
      <w:r w:rsidRPr="00A966FE">
        <w:rPr>
          <w:szCs w:val="20"/>
        </w:rPr>
        <w:t xml:space="preserve">) also sets out the liability of an </w:t>
      </w:r>
      <w:proofErr w:type="spellStart"/>
      <w:r w:rsidRPr="00A966FE">
        <w:rPr>
          <w:szCs w:val="20"/>
        </w:rPr>
        <w:t>indorser</w:t>
      </w:r>
      <w:proofErr w:type="spellEnd"/>
      <w:r w:rsidRPr="00A966FE">
        <w:rPr>
          <w:szCs w:val="20"/>
        </w:rPr>
        <w:t xml:space="preserve"> (if an order bill, or if a bearer bill, but the transferor chooses to indorse – </w:t>
      </w:r>
      <w:r w:rsidRPr="002F7DCF">
        <w:rPr>
          <w:b/>
          <w:bCs/>
          <w:szCs w:val="20"/>
        </w:rPr>
        <w:t>Section 58(2)</w:t>
      </w:r>
      <w:r w:rsidRPr="00A966FE">
        <w:rPr>
          <w:szCs w:val="20"/>
        </w:rPr>
        <w:t xml:space="preserve">). The drawer or </w:t>
      </w:r>
      <w:proofErr w:type="spellStart"/>
      <w:r w:rsidRPr="00A966FE">
        <w:rPr>
          <w:szCs w:val="20"/>
        </w:rPr>
        <w:t>indorser</w:t>
      </w:r>
      <w:proofErr w:type="spellEnd"/>
      <w:r w:rsidRPr="00A966FE">
        <w:rPr>
          <w:szCs w:val="20"/>
        </w:rPr>
        <w:t xml:space="preserve"> could, however, exclude liability by expressly stating that the bill is without recourse to himself under </w:t>
      </w:r>
      <w:r w:rsidRPr="002F7DCF">
        <w:rPr>
          <w:b/>
          <w:bCs/>
          <w:szCs w:val="20"/>
        </w:rPr>
        <w:t>Section 16</w:t>
      </w:r>
      <w:r w:rsidRPr="00A966FE">
        <w:rPr>
          <w:szCs w:val="20"/>
        </w:rPr>
        <w:t xml:space="preserve"> of the Act.</w:t>
      </w:r>
      <w:r w:rsidRPr="00A966FE">
        <w:rPr>
          <w:sz w:val="16"/>
          <w:szCs w:val="18"/>
        </w:rPr>
        <w:t xml:space="preserve"> </w:t>
      </w:r>
      <w:r w:rsidRPr="00A966FE">
        <w:rPr>
          <w:szCs w:val="20"/>
        </w:rPr>
        <w:t xml:space="preserve">Since only signatories to the bill can be liable on it </w:t>
      </w:r>
      <w:r w:rsidRPr="002F7DCF">
        <w:rPr>
          <w:b/>
          <w:bCs/>
          <w:szCs w:val="20"/>
        </w:rPr>
        <w:t>(Section 23),</w:t>
      </w:r>
      <w:r w:rsidRPr="00A966FE">
        <w:rPr>
          <w:szCs w:val="20"/>
        </w:rPr>
        <w:t xml:space="preserve"> the drawee will not be liable on the bill </w:t>
      </w:r>
      <w:proofErr w:type="gramStart"/>
      <w:r w:rsidRPr="00A966FE">
        <w:rPr>
          <w:szCs w:val="20"/>
        </w:rPr>
        <w:t>until  they</w:t>
      </w:r>
      <w:proofErr w:type="gramEnd"/>
      <w:r w:rsidRPr="00A966FE">
        <w:rPr>
          <w:szCs w:val="20"/>
        </w:rPr>
        <w:t xml:space="preserve"> have accepted it. This leads us to another defence. The person </w:t>
      </w:r>
      <w:r w:rsidRPr="00A966FE">
        <w:rPr>
          <w:szCs w:val="20"/>
        </w:rPr>
        <w:lastRenderedPageBreak/>
        <w:t xml:space="preserve">liable on a bill may also raise a </w:t>
      </w:r>
      <w:r w:rsidRPr="00A966FE">
        <w:rPr>
          <w:i/>
          <w:iCs/>
          <w:szCs w:val="20"/>
        </w:rPr>
        <w:t>defence</w:t>
      </w:r>
      <w:r w:rsidRPr="00A966FE">
        <w:rPr>
          <w:szCs w:val="20"/>
        </w:rPr>
        <w:t xml:space="preserve"> </w:t>
      </w:r>
      <w:r w:rsidRPr="00A966FE">
        <w:rPr>
          <w:i/>
          <w:iCs/>
          <w:szCs w:val="20"/>
        </w:rPr>
        <w:t xml:space="preserve">of nullity. </w:t>
      </w:r>
      <w:r w:rsidRPr="00A966FE">
        <w:rPr>
          <w:szCs w:val="20"/>
        </w:rPr>
        <w:t>For example, where a signature on a bill is forged or unauthorised, the forgery will be inoperative and cannot give rise to liability or a valid title (</w:t>
      </w:r>
      <w:r w:rsidRPr="002F7DCF">
        <w:rPr>
          <w:b/>
          <w:bCs/>
          <w:szCs w:val="20"/>
        </w:rPr>
        <w:t>Section 24</w:t>
      </w:r>
      <w:r w:rsidRPr="00A966FE">
        <w:rPr>
          <w:szCs w:val="20"/>
        </w:rPr>
        <w:t xml:space="preserve">). Indeed, it is worth noting for the purpose of international commercial transactions that, in certain jurisdictions, it would constitute a crime – in appropriate contexts – to issue a cheque that will be dishonoured (dud or bounced cheques). For example, issuing fraudulent or counterfeit cheques might lead to criminal liability for fraud by false representation under </w:t>
      </w:r>
      <w:r w:rsidRPr="002F7DCF">
        <w:rPr>
          <w:b/>
          <w:bCs/>
          <w:szCs w:val="20"/>
        </w:rPr>
        <w:t>Section 2 of the Fraud Act 2006</w:t>
      </w:r>
      <w:r w:rsidRPr="00A966FE">
        <w:rPr>
          <w:szCs w:val="20"/>
        </w:rPr>
        <w:t xml:space="preserve">. </w:t>
      </w:r>
    </w:p>
    <w:p w14:paraId="5715CCE8" w14:textId="77777777" w:rsidR="00E12DB9" w:rsidRPr="00A966FE" w:rsidRDefault="00E12DB9" w:rsidP="00E12DB9">
      <w:pPr>
        <w:pStyle w:val="ListParagraph"/>
        <w:jc w:val="both"/>
        <w:rPr>
          <w:szCs w:val="20"/>
        </w:rPr>
      </w:pPr>
    </w:p>
    <w:p w14:paraId="7A62BFD0" w14:textId="77777777" w:rsidR="00E12DB9" w:rsidRPr="00A966FE" w:rsidRDefault="00E12DB9" w:rsidP="00E12DB9">
      <w:pPr>
        <w:pStyle w:val="ListParagraph"/>
        <w:jc w:val="both"/>
        <w:rPr>
          <w:szCs w:val="20"/>
        </w:rPr>
      </w:pPr>
      <w:r w:rsidRPr="00A966FE">
        <w:rPr>
          <w:szCs w:val="20"/>
        </w:rPr>
        <w:t xml:space="preserve">Other defences of nullity would include lack of capacity, making such person (not others) not liable on the bill </w:t>
      </w:r>
      <w:r w:rsidRPr="002F7DCF">
        <w:rPr>
          <w:b/>
          <w:bCs/>
          <w:szCs w:val="20"/>
        </w:rPr>
        <w:t>(Section 22),</w:t>
      </w:r>
      <w:r w:rsidRPr="00A966FE">
        <w:rPr>
          <w:szCs w:val="20"/>
        </w:rPr>
        <w:t xml:space="preserve"> and material alteration of the bill without the assent of all persons liable on it </w:t>
      </w:r>
      <w:r w:rsidRPr="002F7DCF">
        <w:rPr>
          <w:b/>
          <w:bCs/>
          <w:szCs w:val="20"/>
        </w:rPr>
        <w:t>(Section 64).</w:t>
      </w:r>
      <w:r w:rsidRPr="00A966FE">
        <w:rPr>
          <w:sz w:val="16"/>
          <w:szCs w:val="18"/>
        </w:rPr>
        <w:t xml:space="preserve"> </w:t>
      </w:r>
      <w:r w:rsidRPr="00A966FE">
        <w:rPr>
          <w:szCs w:val="20"/>
        </w:rPr>
        <w:t xml:space="preserve">It goes without saying that the bill being discharged (e.g. where it is presented on maturity by the holder and it is accepted and paid by the drawee/acceptor) can no longer give rise to liability on any party since it has no further legal effect. </w:t>
      </w:r>
      <w:r w:rsidRPr="002F7DCF">
        <w:rPr>
          <w:b/>
          <w:bCs/>
          <w:szCs w:val="20"/>
        </w:rPr>
        <w:t>Sections 59-64</w:t>
      </w:r>
      <w:r w:rsidRPr="00A966FE">
        <w:rPr>
          <w:szCs w:val="20"/>
        </w:rPr>
        <w:t xml:space="preserve"> of the Act set out circumstances in which a bill may be discharged.  </w:t>
      </w:r>
    </w:p>
    <w:p w14:paraId="39657F1B" w14:textId="77777777" w:rsidR="00E12DB9" w:rsidRPr="00A966FE" w:rsidRDefault="00E12DB9" w:rsidP="00E12DB9">
      <w:pPr>
        <w:jc w:val="both"/>
        <w:rPr>
          <w:szCs w:val="20"/>
        </w:rPr>
      </w:pPr>
    </w:p>
    <w:p w14:paraId="05CA020F" w14:textId="77777777" w:rsidR="00E12DB9" w:rsidRDefault="00E12DB9" w:rsidP="00E12DB9">
      <w:pPr>
        <w:pStyle w:val="ListParagraph"/>
        <w:jc w:val="both"/>
        <w:rPr>
          <w:szCs w:val="20"/>
        </w:rPr>
      </w:pPr>
      <w:r w:rsidRPr="00A966FE">
        <w:rPr>
          <w:szCs w:val="20"/>
        </w:rPr>
        <w:t>In the context of forgery, two exceptions to invalidity of the bill should be noted: (</w:t>
      </w:r>
      <w:proofErr w:type="spellStart"/>
      <w:r w:rsidRPr="00A966FE">
        <w:rPr>
          <w:szCs w:val="20"/>
        </w:rPr>
        <w:t>i</w:t>
      </w:r>
      <w:proofErr w:type="spellEnd"/>
      <w:r w:rsidRPr="00A966FE">
        <w:rPr>
          <w:szCs w:val="20"/>
        </w:rPr>
        <w:t xml:space="preserve">) where the </w:t>
      </w:r>
      <w:proofErr w:type="spellStart"/>
      <w:r w:rsidRPr="00A966FE">
        <w:rPr>
          <w:szCs w:val="20"/>
        </w:rPr>
        <w:t>indorsee</w:t>
      </w:r>
      <w:proofErr w:type="spellEnd"/>
      <w:r w:rsidRPr="00A966FE">
        <w:rPr>
          <w:szCs w:val="20"/>
        </w:rPr>
        <w:t xml:space="preserve"> becomes a party after the forgery, they are </w:t>
      </w:r>
      <w:proofErr w:type="spellStart"/>
      <w:r w:rsidRPr="00A966FE">
        <w:rPr>
          <w:szCs w:val="20"/>
        </w:rPr>
        <w:t>are</w:t>
      </w:r>
      <w:proofErr w:type="spellEnd"/>
      <w:r w:rsidRPr="00A966FE">
        <w:rPr>
          <w:szCs w:val="20"/>
        </w:rPr>
        <w:t xml:space="preserve"> estopped from denying the validity of the bill as against the holder in due course (Section 55); and (ii) a person whose signature has been forged but fails to raise the forgery or makes a contrary representation that has now been relied upon to by another party could be estopped from raising the forgery – see </w:t>
      </w:r>
      <w:r w:rsidRPr="002F7DCF">
        <w:rPr>
          <w:b/>
          <w:bCs/>
          <w:i/>
          <w:iCs/>
          <w:szCs w:val="20"/>
        </w:rPr>
        <w:t xml:space="preserve">Greenwood v Martins Bank Limited </w:t>
      </w:r>
      <w:r w:rsidRPr="002F7DCF">
        <w:rPr>
          <w:b/>
          <w:bCs/>
          <w:szCs w:val="20"/>
        </w:rPr>
        <w:t>[1933] AC 51 (HL)</w:t>
      </w:r>
      <w:r w:rsidRPr="00A966FE">
        <w:rPr>
          <w:szCs w:val="20"/>
        </w:rPr>
        <w:t xml:space="preserve">. </w:t>
      </w:r>
    </w:p>
    <w:p w14:paraId="31BDA55C" w14:textId="77777777" w:rsidR="00E12DB9" w:rsidRPr="00D37B0B" w:rsidRDefault="00E12DB9" w:rsidP="00E12DB9">
      <w:pPr>
        <w:rPr>
          <w:szCs w:val="20"/>
        </w:rPr>
      </w:pPr>
    </w:p>
    <w:p w14:paraId="537D7ED5" w14:textId="77777777" w:rsidR="00E12DB9" w:rsidRPr="00D37B0B" w:rsidRDefault="00E12DB9" w:rsidP="00E12DB9">
      <w:pPr>
        <w:rPr>
          <w:szCs w:val="20"/>
        </w:rPr>
      </w:pPr>
    </w:p>
    <w:p w14:paraId="10778501" w14:textId="77777777" w:rsidR="00E12DB9" w:rsidRPr="00A966FE" w:rsidRDefault="00E12DB9" w:rsidP="00E12DB9">
      <w:pPr>
        <w:jc w:val="center"/>
        <w:rPr>
          <w:b/>
          <w:szCs w:val="20"/>
        </w:rPr>
      </w:pPr>
      <w:r w:rsidRPr="00A966FE">
        <w:rPr>
          <w:b/>
          <w:szCs w:val="20"/>
        </w:rPr>
        <w:t>Hierarchy of Liability on a Bill of Exchange</w:t>
      </w:r>
    </w:p>
    <w:p w14:paraId="54361FC0" w14:textId="77777777" w:rsidR="00E12DB9" w:rsidRPr="00A966FE" w:rsidRDefault="00E12DB9" w:rsidP="00E12DB9">
      <w:pPr>
        <w:jc w:val="center"/>
        <w:rPr>
          <w:b/>
          <w:szCs w:val="20"/>
        </w:rPr>
      </w:pPr>
    </w:p>
    <w:p w14:paraId="3B6CDEEB" w14:textId="77777777" w:rsidR="00E12DB9" w:rsidRPr="00A966FE" w:rsidRDefault="00E12DB9" w:rsidP="00E12DB9">
      <w:pPr>
        <w:jc w:val="center"/>
        <w:rPr>
          <w:szCs w:val="20"/>
        </w:rPr>
      </w:pPr>
      <w:r w:rsidRPr="00A966FE">
        <w:rPr>
          <w:szCs w:val="20"/>
        </w:rPr>
        <w:t>The drawee/Acceptor - the primary Obligor</w:t>
      </w:r>
    </w:p>
    <w:p w14:paraId="5AB0B2DD" w14:textId="77777777" w:rsidR="00E12DB9" w:rsidRPr="00A966FE" w:rsidRDefault="00E12DB9" w:rsidP="00E12DB9">
      <w:pPr>
        <w:jc w:val="center"/>
        <w:rPr>
          <w:szCs w:val="20"/>
        </w:rPr>
      </w:pPr>
      <w:r w:rsidRPr="00A966FE">
        <w:rPr>
          <w:noProof/>
          <w:szCs w:val="20"/>
          <w:lang w:eastAsia="en-GB"/>
        </w:rPr>
        <mc:AlternateContent>
          <mc:Choice Requires="wps">
            <w:drawing>
              <wp:anchor distT="0" distB="0" distL="114300" distR="114300" simplePos="0" relativeHeight="251660288" behindDoc="0" locked="0" layoutInCell="1" allowOverlap="1" wp14:anchorId="1CA2E957" wp14:editId="30DE60A9">
                <wp:simplePos x="0" y="0"/>
                <wp:positionH relativeFrom="column">
                  <wp:posOffset>2809875</wp:posOffset>
                </wp:positionH>
                <wp:positionV relativeFrom="paragraph">
                  <wp:posOffset>95251</wp:posOffset>
                </wp:positionV>
                <wp:extent cx="190500" cy="2476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190500"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F69D07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1.25pt;margin-top:7.5pt;width:15pt;height:1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" adj="13292" fillcolor="#4472c4 [3204]" strokecolor="#1f3763 [1604]" strokeweight="1pt"/>
            </w:pict>
          </mc:Fallback>
        </mc:AlternateContent>
      </w:r>
    </w:p>
    <w:p w14:paraId="47CAABCA" w14:textId="77777777" w:rsidR="00E12DB9" w:rsidRPr="00A966FE" w:rsidRDefault="00E12DB9" w:rsidP="00E12DB9">
      <w:pPr>
        <w:jc w:val="center"/>
        <w:rPr>
          <w:szCs w:val="20"/>
        </w:rPr>
      </w:pPr>
    </w:p>
    <w:p w14:paraId="452D469D" w14:textId="77777777" w:rsidR="00E12DB9" w:rsidRPr="00A966FE" w:rsidRDefault="00E12DB9" w:rsidP="00E12DB9">
      <w:pPr>
        <w:rPr>
          <w:szCs w:val="20"/>
        </w:rPr>
      </w:pPr>
    </w:p>
    <w:p w14:paraId="74FAD3E4" w14:textId="77777777" w:rsidR="00E12DB9" w:rsidRPr="00A966FE" w:rsidRDefault="00E12DB9" w:rsidP="00E12DB9">
      <w:pPr>
        <w:jc w:val="center"/>
        <w:rPr>
          <w:szCs w:val="20"/>
        </w:rPr>
      </w:pPr>
      <w:r w:rsidRPr="00A966FE">
        <w:rPr>
          <w:szCs w:val="20"/>
        </w:rPr>
        <w:t>The drawer/Payer</w:t>
      </w:r>
    </w:p>
    <w:p w14:paraId="559FD062" w14:textId="77777777" w:rsidR="00E12DB9" w:rsidRPr="00A966FE" w:rsidRDefault="00E12DB9" w:rsidP="00E12DB9">
      <w:pPr>
        <w:jc w:val="center"/>
        <w:rPr>
          <w:szCs w:val="20"/>
        </w:rPr>
      </w:pPr>
    </w:p>
    <w:p w14:paraId="6F0A117F" w14:textId="77777777" w:rsidR="00E12DB9" w:rsidRPr="00A966FE" w:rsidRDefault="00E12DB9" w:rsidP="00E12DB9">
      <w:pPr>
        <w:jc w:val="center"/>
        <w:rPr>
          <w:szCs w:val="20"/>
        </w:rPr>
      </w:pPr>
      <w:r w:rsidRPr="00A966FE">
        <w:rPr>
          <w:noProof/>
          <w:szCs w:val="20"/>
          <w:lang w:eastAsia="en-GB"/>
        </w:rPr>
        <mc:AlternateContent>
          <mc:Choice Requires="wps">
            <w:drawing>
              <wp:anchor distT="0" distB="0" distL="114300" distR="114300" simplePos="0" relativeHeight="251661312" behindDoc="0" locked="0" layoutInCell="1" allowOverlap="1" wp14:anchorId="5E2EF3C2" wp14:editId="4A4A3470">
                <wp:simplePos x="0" y="0"/>
                <wp:positionH relativeFrom="column">
                  <wp:posOffset>2809875</wp:posOffset>
                </wp:positionH>
                <wp:positionV relativeFrom="paragraph">
                  <wp:posOffset>66675</wp:posOffset>
                </wp:positionV>
                <wp:extent cx="190500" cy="2476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190500"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FE4F9B" id="Arrow: Down 4" o:spid="_x0000_s1026" type="#_x0000_t67" style="position:absolute;margin-left:221.25pt;margin-top:5.25pt;width:15pt;height:1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" adj="13292" fillcolor="#4472c4 [3204]" strokecolor="#1f3763 [1604]" strokeweight="1pt"/>
            </w:pict>
          </mc:Fallback>
        </mc:AlternateContent>
      </w:r>
    </w:p>
    <w:p w14:paraId="704E236E" w14:textId="77777777" w:rsidR="00E12DB9" w:rsidRPr="00A966FE" w:rsidRDefault="00E12DB9" w:rsidP="00E12DB9">
      <w:pPr>
        <w:jc w:val="center"/>
        <w:rPr>
          <w:szCs w:val="20"/>
        </w:rPr>
      </w:pPr>
    </w:p>
    <w:p w14:paraId="00B21B31" w14:textId="77777777" w:rsidR="00E12DB9" w:rsidRPr="00A966FE" w:rsidRDefault="00E12DB9" w:rsidP="00E12DB9">
      <w:pPr>
        <w:rPr>
          <w:szCs w:val="20"/>
        </w:rPr>
      </w:pPr>
    </w:p>
    <w:p w14:paraId="4BC9CD63" w14:textId="77777777" w:rsidR="00E12DB9" w:rsidRPr="00A966FE" w:rsidRDefault="00E12DB9" w:rsidP="00E12DB9">
      <w:pPr>
        <w:jc w:val="center"/>
        <w:rPr>
          <w:szCs w:val="20"/>
        </w:rPr>
      </w:pPr>
      <w:r w:rsidRPr="00A966FE">
        <w:rPr>
          <w:szCs w:val="20"/>
        </w:rPr>
        <w:t xml:space="preserve">Any other </w:t>
      </w:r>
      <w:proofErr w:type="spellStart"/>
      <w:r w:rsidRPr="00A966FE">
        <w:rPr>
          <w:szCs w:val="20"/>
        </w:rPr>
        <w:t>Indorsers</w:t>
      </w:r>
      <w:proofErr w:type="spellEnd"/>
    </w:p>
    <w:p w14:paraId="17D93DB6" w14:textId="77777777" w:rsidR="00E12DB9" w:rsidRPr="00A966FE" w:rsidRDefault="00E12DB9" w:rsidP="00E12DB9">
      <w:pPr>
        <w:jc w:val="center"/>
        <w:rPr>
          <w:szCs w:val="20"/>
        </w:rPr>
      </w:pPr>
      <w:r w:rsidRPr="00A966FE">
        <w:rPr>
          <w:noProof/>
          <w:szCs w:val="20"/>
          <w:lang w:eastAsia="en-GB"/>
        </w:rPr>
        <mc:AlternateContent>
          <mc:Choice Requires="wps">
            <w:drawing>
              <wp:anchor distT="0" distB="0" distL="114300" distR="114300" simplePos="0" relativeHeight="251662336" behindDoc="0" locked="0" layoutInCell="1" allowOverlap="1" wp14:anchorId="1BCA9A29" wp14:editId="4688D8D5">
                <wp:simplePos x="0" y="0"/>
                <wp:positionH relativeFrom="column">
                  <wp:posOffset>2809875</wp:posOffset>
                </wp:positionH>
                <wp:positionV relativeFrom="paragraph">
                  <wp:posOffset>96520</wp:posOffset>
                </wp:positionV>
                <wp:extent cx="190500" cy="2476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190500"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A5AFF2" id="Arrow: Down 5" o:spid="_x0000_s1026" type="#_x0000_t67" style="position:absolute;margin-left:221.25pt;margin-top:7.6pt;width:15pt;height:1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" adj="13292" fillcolor="#4472c4 [3204]" strokecolor="#1f3763 [1604]" strokeweight="1pt"/>
            </w:pict>
          </mc:Fallback>
        </mc:AlternateContent>
      </w:r>
    </w:p>
    <w:p w14:paraId="04213FE5" w14:textId="77777777" w:rsidR="00E12DB9" w:rsidRPr="00A966FE" w:rsidRDefault="00E12DB9" w:rsidP="00E12DB9">
      <w:pPr>
        <w:jc w:val="center"/>
        <w:rPr>
          <w:szCs w:val="20"/>
        </w:rPr>
      </w:pPr>
    </w:p>
    <w:p w14:paraId="0A9CE054" w14:textId="77777777" w:rsidR="00E12DB9" w:rsidRPr="00A966FE" w:rsidRDefault="00E12DB9" w:rsidP="00E12DB9">
      <w:pPr>
        <w:jc w:val="both"/>
        <w:rPr>
          <w:szCs w:val="20"/>
        </w:rPr>
      </w:pPr>
    </w:p>
    <w:p w14:paraId="3F56A978" w14:textId="77777777" w:rsidR="00E12DB9" w:rsidRPr="00A966FE" w:rsidRDefault="00E12DB9" w:rsidP="00E12DB9">
      <w:pPr>
        <w:jc w:val="center"/>
        <w:rPr>
          <w:szCs w:val="20"/>
        </w:rPr>
      </w:pPr>
      <w:r w:rsidRPr="00A966FE">
        <w:rPr>
          <w:szCs w:val="20"/>
        </w:rPr>
        <w:t>The holder/Payee</w:t>
      </w:r>
    </w:p>
    <w:p w14:paraId="7AB027D9" w14:textId="77777777" w:rsidR="00E12DB9" w:rsidRDefault="00E12DB9" w:rsidP="00E12DB9">
      <w:pPr>
        <w:jc w:val="both"/>
        <w:rPr>
          <w:sz w:val="16"/>
          <w:szCs w:val="18"/>
        </w:rPr>
      </w:pPr>
    </w:p>
    <w:p w14:paraId="52F5A611" w14:textId="77777777" w:rsidR="00E12DB9" w:rsidRDefault="00E12DB9" w:rsidP="00E12DB9">
      <w:pPr>
        <w:jc w:val="both"/>
        <w:rPr>
          <w:sz w:val="16"/>
          <w:szCs w:val="18"/>
        </w:rPr>
      </w:pPr>
    </w:p>
    <w:p w14:paraId="34F0CC4B" w14:textId="77777777" w:rsidR="00E12DB9" w:rsidRDefault="00E12DB9" w:rsidP="00E12DB9">
      <w:pPr>
        <w:jc w:val="both"/>
        <w:rPr>
          <w:sz w:val="16"/>
          <w:szCs w:val="18"/>
        </w:rPr>
      </w:pPr>
    </w:p>
    <w:p w14:paraId="14DA253A" w14:textId="77777777" w:rsidR="00E12DB9" w:rsidRPr="00A966FE" w:rsidRDefault="00E12DB9" w:rsidP="00E12DB9">
      <w:pPr>
        <w:ind w:left="720"/>
        <w:jc w:val="both"/>
        <w:rPr>
          <w:szCs w:val="20"/>
        </w:rPr>
      </w:pPr>
      <w:r w:rsidRPr="00A966FE">
        <w:rPr>
          <w:szCs w:val="20"/>
        </w:rPr>
        <w:t xml:space="preserve">The holder of a bill can send a notice of dishonour of the bill to any of the persons above him in the hierarchy of liability and claim compensation against any of these </w:t>
      </w:r>
      <w:r w:rsidRPr="00A966FE">
        <w:rPr>
          <w:szCs w:val="20"/>
        </w:rPr>
        <w:lastRenderedPageBreak/>
        <w:t>persons, who in turn have a claim for compensation against any person above them in the hierarchy.</w:t>
      </w:r>
    </w:p>
    <w:p w14:paraId="0FD2DC98" w14:textId="77777777" w:rsidR="00E12DB9" w:rsidRPr="00A966FE" w:rsidRDefault="00E12DB9" w:rsidP="00E12DB9">
      <w:pPr>
        <w:jc w:val="both"/>
        <w:rPr>
          <w:szCs w:val="20"/>
        </w:rPr>
      </w:pPr>
    </w:p>
    <w:p w14:paraId="27656160" w14:textId="77777777" w:rsidR="00E12DB9" w:rsidRPr="00A966FE" w:rsidRDefault="00E12DB9" w:rsidP="00E12DB9">
      <w:pPr>
        <w:jc w:val="both"/>
        <w:rPr>
          <w:bCs/>
          <w:szCs w:val="20"/>
        </w:rPr>
      </w:pPr>
      <w:r w:rsidRPr="00A966FE">
        <w:rPr>
          <w:szCs w:val="20"/>
        </w:rPr>
        <w:t xml:space="preserve">On the continued role of cheques in commercial transactions and amendments to the Bills of Exchange Act (introducing electronic processing), students may consult </w:t>
      </w:r>
      <w:r w:rsidRPr="00D37B0B">
        <w:rPr>
          <w:b/>
          <w:szCs w:val="20"/>
        </w:rPr>
        <w:t>S Booysen, ‘Cheques: to be or not to be?’ (2018) 4 Journal of Business Law 283-299</w:t>
      </w:r>
      <w:r w:rsidRPr="00A966FE">
        <w:rPr>
          <w:bCs/>
          <w:szCs w:val="20"/>
        </w:rPr>
        <w:t>.</w:t>
      </w:r>
    </w:p>
    <w:p w14:paraId="77557584" w14:textId="77777777" w:rsidR="00E12DB9" w:rsidRDefault="00E12DB9" w:rsidP="00E12DB9">
      <w:pPr>
        <w:jc w:val="both"/>
      </w:pPr>
    </w:p>
    <w:p w14:paraId="248A3A66" w14:textId="77777777" w:rsidR="00E12DB9" w:rsidRDefault="00E12DB9" w:rsidP="00E12DB9">
      <w:pPr>
        <w:jc w:val="both"/>
      </w:pPr>
    </w:p>
    <w:p w14:paraId="65EF0ED4" w14:textId="77777777" w:rsidR="00E12DB9" w:rsidRPr="00A6311F" w:rsidRDefault="00E12DB9" w:rsidP="00E12DB9">
      <w:pPr>
        <w:pStyle w:val="Heading2"/>
        <w:rPr>
          <w:b/>
          <w:bCs/>
        </w:rPr>
      </w:pPr>
      <w:r w:rsidRPr="00A6311F">
        <w:rPr>
          <w:b/>
          <w:bCs/>
          <w:noProof/>
          <w:lang w:eastAsia="en-GB"/>
        </w:rPr>
        <w:drawing>
          <wp:anchor distT="0" distB="0" distL="114300" distR="114300" simplePos="0" relativeHeight="251659264" behindDoc="1" locked="0" layoutInCell="1" allowOverlap="1" wp14:anchorId="0AF3373A" wp14:editId="2F9A695D">
            <wp:simplePos x="0" y="0"/>
            <wp:positionH relativeFrom="column">
              <wp:posOffset>0</wp:posOffset>
            </wp:positionH>
            <wp:positionV relativeFrom="paragraph">
              <wp:posOffset>1905</wp:posOffset>
            </wp:positionV>
            <wp:extent cx="914400" cy="914400"/>
            <wp:effectExtent l="0" t="0" r="0" b="0"/>
            <wp:wrapSquare wrapText="bothSides"/>
            <wp:docPr id="3" name="Graphic 3"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ecklist_ltr.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914400" cy="914400"/>
                    </a:xfrm>
                    <a:prstGeom prst="rect">
                      <a:avLst/>
                    </a:prstGeom>
                  </pic:spPr>
                </pic:pic>
              </a:graphicData>
            </a:graphic>
          </wp:anchor>
        </w:drawing>
      </w:r>
      <w:r w:rsidRPr="00A6311F">
        <w:rPr>
          <w:b/>
          <w:bCs/>
        </w:rPr>
        <w:t>TASK:</w:t>
      </w:r>
    </w:p>
    <w:p w14:paraId="22905405" w14:textId="5372A9AB" w:rsidR="00E12DB9" w:rsidRPr="00E12DB9" w:rsidRDefault="00E12DB9" w:rsidP="00E12DB9">
      <w:pPr>
        <w:pStyle w:val="ListParagraph"/>
        <w:numPr>
          <w:ilvl w:val="0"/>
          <w:numId w:val="6"/>
        </w:numPr>
        <w:spacing w:after="160" w:line="259" w:lineRule="auto"/>
        <w:jc w:val="both"/>
        <w:rPr>
          <w:iCs/>
          <w:szCs w:val="20"/>
        </w:rPr>
      </w:pPr>
      <w:r w:rsidRPr="00B65670">
        <w:rPr>
          <w:iCs/>
          <w:szCs w:val="20"/>
        </w:rPr>
        <w:t xml:space="preserve">Identify the </w:t>
      </w:r>
      <w:r>
        <w:rPr>
          <w:iCs/>
          <w:szCs w:val="20"/>
        </w:rPr>
        <w:t>drawbacks, if any, of the negotiability of money and bills of exchange in commercial transactions.</w:t>
      </w:r>
    </w:p>
    <w:p w14:paraId="15F3F93E" w14:textId="77777777" w:rsidR="00E12DB9" w:rsidRDefault="00E12DB9" w:rsidP="00E12DB9">
      <w:pPr>
        <w:jc w:val="both"/>
      </w:pPr>
    </w:p>
    <w:p w14:paraId="4BAD868E" w14:textId="77777777" w:rsidR="00E12DB9" w:rsidRDefault="00E12DB9" w:rsidP="00E12DB9">
      <w:pPr>
        <w:jc w:val="both"/>
      </w:pPr>
    </w:p>
    <w:p w14:paraId="5B0FD6EB" w14:textId="77777777" w:rsidR="00E12DB9" w:rsidRDefault="00E12DB9" w:rsidP="00E12DB9">
      <w:pPr>
        <w:jc w:val="both"/>
      </w:pPr>
    </w:p>
    <w:tbl>
      <w:tblPr>
        <w:tblStyle w:val="TableGrid1"/>
        <w:tblW w:w="9312" w:type="dxa"/>
        <w:tblLook w:val="04A0" w:firstRow="1" w:lastRow="0" w:firstColumn="1" w:lastColumn="0" w:noHBand="0" w:noVBand="1"/>
      </w:tblPr>
      <w:tblGrid>
        <w:gridCol w:w="2048"/>
        <w:gridCol w:w="7264"/>
      </w:tblGrid>
      <w:tr w:rsidR="00E12DB9" w:rsidRPr="001018D9" w14:paraId="385B2B8F" w14:textId="77777777" w:rsidTr="008D2D1E">
        <w:trPr>
          <w:trHeight w:val="1843"/>
        </w:trPr>
        <w:tc>
          <w:tcPr>
            <w:tcW w:w="2048" w:type="dxa"/>
            <w:tcBorders>
              <w:top w:val="nil"/>
              <w:left w:val="nil"/>
              <w:bottom w:val="nil"/>
              <w:right w:val="nil"/>
            </w:tcBorders>
            <w:shd w:val="clear" w:color="auto" w:fill="ACB9CA" w:themeFill="text2" w:themeFillTint="66"/>
          </w:tcPr>
          <w:p w14:paraId="09B4CD57" w14:textId="77777777" w:rsidR="00E12DB9" w:rsidRPr="001018D9" w:rsidRDefault="00E12DB9" w:rsidP="008D2D1E">
            <w:pPr>
              <w:spacing w:after="160" w:line="480" w:lineRule="auto"/>
              <w:rPr>
                <w:rFonts w:ascii="Gill Sans MT" w:hAnsi="Gill Sans MT"/>
                <w:b/>
                <w:color w:val="00B050"/>
                <w:sz w:val="24"/>
                <w:szCs w:val="24"/>
              </w:rPr>
            </w:pPr>
            <w:r w:rsidRPr="001018D9">
              <w:br w:type="page"/>
            </w:r>
          </w:p>
          <w:p w14:paraId="78363F85" w14:textId="77777777" w:rsidR="00E12DB9" w:rsidRPr="001018D9" w:rsidRDefault="00E12DB9" w:rsidP="008D2D1E">
            <w:pPr>
              <w:spacing w:after="160" w:line="480" w:lineRule="auto"/>
              <w:rPr>
                <w:rFonts w:ascii="Gill Sans MT" w:hAnsi="Gill Sans MT"/>
                <w:b/>
                <w:color w:val="FFFFFF" w:themeColor="background1"/>
                <w:sz w:val="24"/>
                <w:szCs w:val="24"/>
              </w:rPr>
            </w:pPr>
            <w:r w:rsidRPr="0092404C">
              <w:rPr>
                <mc:AlternateContent>
                  <mc:Choice Requires="w16se">
                    <w:rFonts w:ascii="Gill Sans MT" w:hAnsi="Gill Sans MT"/>
                  </mc:Choice>
                  <mc:Fallback>
                    <w:rFonts w:ascii="Segoe UI Emoji" w:eastAsia="Segoe UI Emoji" w:hAnsi="Segoe UI Emoji" w:cs="Segoe UI Emoji"/>
                  </mc:Fallback>
                </mc:AlternateContent>
                <w:b/>
                <w:color w:val="00B050"/>
                <w:sz w:val="96"/>
                <w:szCs w:val="24"/>
              </w:rPr>
              <mc:AlternateContent>
                <mc:Choice Requires="w16se">
                  <w16se:symEx w16se:font="Segoe UI Emoji" w16se:char="1F44C"/>
                </mc:Choice>
                <mc:Fallback>
                  <w:t>👌</w:t>
                </mc:Fallback>
              </mc:AlternateContent>
            </w:r>
            <w:r w:rsidRPr="00EC0B44">
              <w:rPr>
                <w:rFonts w:ascii="Gill Sans MT" w:hAnsi="Gill Sans MT"/>
                <w:b/>
                <w:color w:val="00B050"/>
                <w:sz w:val="220"/>
                <w:szCs w:val="44"/>
              </w:rPr>
              <w:t xml:space="preserve"> </w:t>
            </w:r>
          </w:p>
        </w:tc>
        <w:tc>
          <w:tcPr>
            <w:tcW w:w="7264" w:type="dxa"/>
            <w:tcBorders>
              <w:top w:val="nil"/>
              <w:left w:val="nil"/>
              <w:bottom w:val="nil"/>
              <w:right w:val="nil"/>
            </w:tcBorders>
            <w:shd w:val="clear" w:color="auto" w:fill="ACB9CA" w:themeFill="text2" w:themeFillTint="66"/>
          </w:tcPr>
          <w:p w14:paraId="542FC501" w14:textId="77777777" w:rsidR="00E12DB9" w:rsidRPr="001018D9" w:rsidRDefault="00E12DB9" w:rsidP="008D2D1E">
            <w:pPr>
              <w:spacing w:after="160" w:line="480" w:lineRule="auto"/>
              <w:rPr>
                <w:rFonts w:ascii="Gill Sans MT" w:hAnsi="Gill Sans MT"/>
                <w:b/>
                <w:color w:val="FFFFFF" w:themeColor="background1"/>
                <w:sz w:val="24"/>
                <w:szCs w:val="24"/>
              </w:rPr>
            </w:pPr>
          </w:p>
          <w:p w14:paraId="47A5A296" w14:textId="77777777" w:rsidR="00E12DB9" w:rsidRPr="001018D9" w:rsidRDefault="00E12DB9" w:rsidP="008D2D1E">
            <w:pPr>
              <w:spacing w:after="160" w:line="480" w:lineRule="auto"/>
              <w:rPr>
                <w:rFonts w:ascii="Gill Sans MT" w:hAnsi="Gill Sans MT"/>
                <w:b/>
                <w:color w:val="FFFFFF" w:themeColor="background1"/>
                <w:sz w:val="24"/>
                <w:szCs w:val="24"/>
              </w:rPr>
            </w:pPr>
            <w:r>
              <w:rPr>
                <w:rFonts w:ascii="Gill Sans MT" w:hAnsi="Gill Sans MT"/>
                <w:b/>
                <w:color w:val="FFFFFF" w:themeColor="background1"/>
                <w:sz w:val="24"/>
                <w:szCs w:val="24"/>
              </w:rPr>
              <w:t>You should now have an introductory knowledge of the nature of bills of exchange as well as the legal rights and obligations that underpin them.</w:t>
            </w:r>
          </w:p>
        </w:tc>
      </w:tr>
    </w:tbl>
    <w:p w14:paraId="1CD9868B" w14:textId="77777777" w:rsidR="00E12DB9" w:rsidRDefault="00E12DB9" w:rsidP="00085B4C">
      <w:pPr>
        <w:jc w:val="center"/>
        <w:rPr>
          <w:rFonts w:ascii="Times New Roman" w:hAnsi="Times New Roman" w:cs="Times New Roman"/>
          <w:b/>
          <w:bCs/>
        </w:rPr>
      </w:pPr>
    </w:p>
    <w:p w14:paraId="62E6EAA6" w14:textId="77777777" w:rsidR="00EF76D8" w:rsidRDefault="00EF76D8" w:rsidP="00085B4C">
      <w:pPr>
        <w:jc w:val="center"/>
        <w:rPr>
          <w:rFonts w:ascii="Times New Roman" w:hAnsi="Times New Roman" w:cs="Times New Roman"/>
          <w:b/>
          <w:bCs/>
        </w:rPr>
      </w:pPr>
    </w:p>
    <w:p w14:paraId="49F4034B" w14:textId="77777777" w:rsidR="00EF76D8" w:rsidRDefault="00EF76D8" w:rsidP="00085B4C">
      <w:pPr>
        <w:jc w:val="center"/>
        <w:rPr>
          <w:rFonts w:ascii="Times New Roman" w:hAnsi="Times New Roman" w:cs="Times New Roman"/>
          <w:b/>
          <w:bCs/>
        </w:rPr>
      </w:pPr>
    </w:p>
    <w:p w14:paraId="7AEAE972" w14:textId="77777777" w:rsidR="00EF76D8" w:rsidRDefault="00EF76D8" w:rsidP="00085B4C">
      <w:pPr>
        <w:jc w:val="center"/>
        <w:rPr>
          <w:rFonts w:ascii="Times New Roman" w:hAnsi="Times New Roman" w:cs="Times New Roman"/>
          <w:b/>
          <w:bCs/>
        </w:rPr>
      </w:pPr>
    </w:p>
    <w:p w14:paraId="30C9120D" w14:textId="77777777" w:rsidR="00EF76D8" w:rsidRDefault="00EF76D8" w:rsidP="00085B4C">
      <w:pPr>
        <w:jc w:val="center"/>
        <w:rPr>
          <w:rFonts w:ascii="Times New Roman" w:hAnsi="Times New Roman" w:cs="Times New Roman"/>
          <w:b/>
          <w:bCs/>
        </w:rPr>
      </w:pPr>
    </w:p>
    <w:p w14:paraId="4C646CFB" w14:textId="77777777" w:rsidR="00EF76D8" w:rsidRDefault="00EF76D8" w:rsidP="00085B4C">
      <w:pPr>
        <w:jc w:val="center"/>
        <w:rPr>
          <w:rFonts w:ascii="Times New Roman" w:hAnsi="Times New Roman" w:cs="Times New Roman"/>
          <w:b/>
          <w:bCs/>
        </w:rPr>
      </w:pPr>
    </w:p>
    <w:p w14:paraId="2CDE1C23" w14:textId="77777777" w:rsidR="00EF76D8" w:rsidRDefault="00EF76D8" w:rsidP="00085B4C">
      <w:pPr>
        <w:jc w:val="center"/>
        <w:rPr>
          <w:rFonts w:ascii="Times New Roman" w:hAnsi="Times New Roman" w:cs="Times New Roman"/>
          <w:b/>
          <w:bCs/>
        </w:rPr>
      </w:pPr>
    </w:p>
    <w:p w14:paraId="37CAFEFA" w14:textId="77777777" w:rsidR="00EF76D8" w:rsidRDefault="00EF76D8" w:rsidP="00085B4C">
      <w:pPr>
        <w:jc w:val="center"/>
        <w:rPr>
          <w:rFonts w:ascii="Times New Roman" w:hAnsi="Times New Roman" w:cs="Times New Roman"/>
          <w:b/>
          <w:bCs/>
        </w:rPr>
      </w:pPr>
    </w:p>
    <w:p w14:paraId="20829699" w14:textId="77777777" w:rsidR="00EF76D8" w:rsidRDefault="00EF76D8" w:rsidP="00085B4C">
      <w:pPr>
        <w:jc w:val="center"/>
        <w:rPr>
          <w:rFonts w:ascii="Times New Roman" w:hAnsi="Times New Roman" w:cs="Times New Roman"/>
          <w:b/>
          <w:bCs/>
        </w:rPr>
      </w:pPr>
    </w:p>
    <w:p w14:paraId="1B5FF1CA" w14:textId="77777777" w:rsidR="00EF76D8" w:rsidRDefault="00EF76D8" w:rsidP="00085B4C">
      <w:pPr>
        <w:jc w:val="center"/>
        <w:rPr>
          <w:rFonts w:ascii="Times New Roman" w:hAnsi="Times New Roman" w:cs="Times New Roman"/>
          <w:b/>
          <w:bCs/>
        </w:rPr>
      </w:pPr>
    </w:p>
    <w:p w14:paraId="7C2602BD" w14:textId="77777777" w:rsidR="00EF76D8" w:rsidRDefault="00EF76D8" w:rsidP="00085B4C">
      <w:pPr>
        <w:jc w:val="center"/>
        <w:rPr>
          <w:rFonts w:ascii="Times New Roman" w:hAnsi="Times New Roman" w:cs="Times New Roman"/>
          <w:b/>
          <w:bCs/>
        </w:rPr>
      </w:pPr>
    </w:p>
    <w:p w14:paraId="2146FC46" w14:textId="77777777" w:rsidR="00EF76D8" w:rsidRDefault="00EF76D8" w:rsidP="00085B4C">
      <w:pPr>
        <w:jc w:val="center"/>
        <w:rPr>
          <w:rFonts w:ascii="Times New Roman" w:hAnsi="Times New Roman" w:cs="Times New Roman"/>
          <w:b/>
          <w:bCs/>
        </w:rPr>
      </w:pPr>
    </w:p>
    <w:p w14:paraId="74FECE59" w14:textId="77777777" w:rsidR="00EF76D8" w:rsidRDefault="00EF76D8" w:rsidP="00085B4C">
      <w:pPr>
        <w:jc w:val="center"/>
        <w:rPr>
          <w:rFonts w:ascii="Times New Roman" w:hAnsi="Times New Roman" w:cs="Times New Roman"/>
          <w:b/>
          <w:bCs/>
        </w:rPr>
      </w:pPr>
    </w:p>
    <w:p w14:paraId="09572D0A" w14:textId="77777777" w:rsidR="00EF76D8" w:rsidRDefault="00EF76D8" w:rsidP="00085B4C">
      <w:pPr>
        <w:jc w:val="center"/>
        <w:rPr>
          <w:rFonts w:ascii="Times New Roman" w:hAnsi="Times New Roman" w:cs="Times New Roman"/>
          <w:b/>
          <w:bCs/>
        </w:rPr>
      </w:pPr>
    </w:p>
    <w:p w14:paraId="4F825F53" w14:textId="77777777" w:rsidR="00EF76D8" w:rsidRDefault="00EF76D8" w:rsidP="00085B4C">
      <w:pPr>
        <w:jc w:val="center"/>
        <w:rPr>
          <w:rFonts w:ascii="Times New Roman" w:hAnsi="Times New Roman" w:cs="Times New Roman"/>
          <w:b/>
          <w:bCs/>
        </w:rPr>
      </w:pPr>
    </w:p>
    <w:p w14:paraId="45F3D8B3" w14:textId="77777777" w:rsidR="00EF76D8" w:rsidRDefault="00EF76D8" w:rsidP="00085B4C">
      <w:pPr>
        <w:jc w:val="center"/>
        <w:rPr>
          <w:rFonts w:ascii="Times New Roman" w:hAnsi="Times New Roman" w:cs="Times New Roman"/>
          <w:b/>
          <w:bCs/>
        </w:rPr>
      </w:pPr>
    </w:p>
    <w:p w14:paraId="7756E6F4" w14:textId="77777777" w:rsidR="00EF76D8" w:rsidRDefault="00EF76D8" w:rsidP="00085B4C">
      <w:pPr>
        <w:jc w:val="center"/>
        <w:rPr>
          <w:rFonts w:ascii="Times New Roman" w:hAnsi="Times New Roman" w:cs="Times New Roman"/>
          <w:b/>
          <w:bCs/>
        </w:rPr>
      </w:pPr>
    </w:p>
    <w:p w14:paraId="4DB68948" w14:textId="77777777" w:rsidR="00EF76D8" w:rsidRDefault="00EF76D8" w:rsidP="00085B4C">
      <w:pPr>
        <w:jc w:val="center"/>
        <w:rPr>
          <w:rFonts w:ascii="Times New Roman" w:hAnsi="Times New Roman" w:cs="Times New Roman"/>
          <w:b/>
          <w:bCs/>
        </w:rPr>
      </w:pPr>
    </w:p>
    <w:p w14:paraId="75E753FC" w14:textId="77777777" w:rsidR="00EF76D8" w:rsidRDefault="00EF76D8" w:rsidP="00085B4C">
      <w:pPr>
        <w:jc w:val="center"/>
        <w:rPr>
          <w:rFonts w:ascii="Times New Roman" w:hAnsi="Times New Roman" w:cs="Times New Roman"/>
          <w:b/>
          <w:bCs/>
        </w:rPr>
      </w:pPr>
    </w:p>
    <w:p w14:paraId="4A5FFCEF" w14:textId="77777777" w:rsidR="00EF76D8" w:rsidRDefault="00EF76D8" w:rsidP="00085B4C">
      <w:pPr>
        <w:jc w:val="center"/>
        <w:rPr>
          <w:rFonts w:ascii="Times New Roman" w:hAnsi="Times New Roman" w:cs="Times New Roman"/>
          <w:b/>
          <w:bCs/>
        </w:rPr>
      </w:pPr>
    </w:p>
    <w:p w14:paraId="793163AE" w14:textId="77777777" w:rsidR="00EF76D8" w:rsidRDefault="00EF76D8" w:rsidP="00085B4C">
      <w:pPr>
        <w:jc w:val="center"/>
        <w:rPr>
          <w:rFonts w:ascii="Times New Roman" w:hAnsi="Times New Roman" w:cs="Times New Roman"/>
          <w:b/>
          <w:bCs/>
        </w:rPr>
      </w:pPr>
    </w:p>
    <w:p w14:paraId="3ED083E9" w14:textId="77777777" w:rsidR="00EF76D8" w:rsidRDefault="00EF76D8" w:rsidP="00085B4C">
      <w:pPr>
        <w:jc w:val="center"/>
        <w:rPr>
          <w:rFonts w:ascii="Times New Roman" w:hAnsi="Times New Roman" w:cs="Times New Roman"/>
          <w:b/>
          <w:bCs/>
        </w:rPr>
      </w:pPr>
    </w:p>
    <w:p w14:paraId="0FE30E09" w14:textId="77777777" w:rsidR="00EF76D8" w:rsidRDefault="00EF76D8" w:rsidP="00085B4C">
      <w:pPr>
        <w:jc w:val="center"/>
        <w:rPr>
          <w:rFonts w:ascii="Times New Roman" w:hAnsi="Times New Roman" w:cs="Times New Roman"/>
          <w:b/>
          <w:bCs/>
        </w:rPr>
      </w:pPr>
    </w:p>
    <w:p w14:paraId="41E4747C" w14:textId="77777777" w:rsidR="00E12DB9" w:rsidRPr="00E12DB9" w:rsidRDefault="00E12DB9" w:rsidP="00085B4C">
      <w:pPr>
        <w:jc w:val="center"/>
        <w:rPr>
          <w:rFonts w:ascii="Calibri" w:hAnsi="Calibri" w:cs="Calibri"/>
          <w:b/>
          <w:bCs/>
        </w:rPr>
      </w:pPr>
    </w:p>
    <w:p w14:paraId="02DE5057" w14:textId="68B671CA" w:rsidR="000E1C97" w:rsidRPr="00E12DB9" w:rsidRDefault="002A72B1" w:rsidP="00085B4C">
      <w:pPr>
        <w:jc w:val="center"/>
        <w:rPr>
          <w:rFonts w:ascii="Calibri" w:hAnsi="Calibri" w:cs="Calibri"/>
          <w:b/>
          <w:bCs/>
        </w:rPr>
      </w:pPr>
      <w:r w:rsidRPr="00E12DB9">
        <w:rPr>
          <w:rFonts w:ascii="Calibri" w:hAnsi="Calibri" w:cs="Calibri"/>
          <w:b/>
          <w:bCs/>
        </w:rPr>
        <w:t>Methods of Payment Workshop</w:t>
      </w:r>
      <w:r w:rsidR="00E12DB9" w:rsidRPr="00E12DB9">
        <w:rPr>
          <w:rFonts w:ascii="Calibri" w:hAnsi="Calibri" w:cs="Calibri"/>
          <w:b/>
          <w:bCs/>
        </w:rPr>
        <w:t xml:space="preserve"> Questions</w:t>
      </w:r>
    </w:p>
    <w:p w14:paraId="1D0C345B" w14:textId="77777777" w:rsidR="00085B4C" w:rsidRPr="00E12DB9" w:rsidRDefault="00085B4C">
      <w:pPr>
        <w:rPr>
          <w:rFonts w:ascii="Calibri" w:hAnsi="Calibri" w:cs="Calibri"/>
        </w:rPr>
      </w:pPr>
    </w:p>
    <w:p w14:paraId="7B3876E0" w14:textId="0C9D503A" w:rsidR="00085B4C" w:rsidRPr="00E12DB9" w:rsidRDefault="00085B4C">
      <w:pPr>
        <w:rPr>
          <w:rFonts w:ascii="Calibri" w:hAnsi="Calibri" w:cs="Calibri"/>
        </w:rPr>
      </w:pPr>
      <w:r w:rsidRPr="00E12DB9">
        <w:rPr>
          <w:rFonts w:ascii="Calibri" w:hAnsi="Calibri" w:cs="Calibri"/>
        </w:rPr>
        <w:t xml:space="preserve">Please read each scenario carefully. Identify the legal issues that may arise, consider which sections of the relevant law, rules, or principles could apply and discuss the possible outcomes. Explain your reasoning clearly rather than just stating your conclusions/answers.  </w:t>
      </w:r>
    </w:p>
    <w:p w14:paraId="73DE41D1" w14:textId="77777777" w:rsidR="00085B4C" w:rsidRPr="00E12DB9" w:rsidRDefault="00085B4C">
      <w:pPr>
        <w:rPr>
          <w:rFonts w:ascii="Calibri" w:hAnsi="Calibri" w:cs="Calibri"/>
        </w:rPr>
      </w:pPr>
    </w:p>
    <w:p w14:paraId="59B28FCB" w14:textId="77777777" w:rsidR="002A72B1" w:rsidRPr="00E12DB9" w:rsidRDefault="002A72B1">
      <w:pPr>
        <w:rPr>
          <w:rFonts w:ascii="Calibri" w:hAnsi="Calibri" w:cs="Calibri"/>
        </w:rPr>
      </w:pPr>
    </w:p>
    <w:p w14:paraId="234CF8E5" w14:textId="53BFDFA4" w:rsidR="002A72B1" w:rsidRPr="00E12DB9" w:rsidRDefault="002A72B1" w:rsidP="002A72B1">
      <w:pPr>
        <w:pStyle w:val="ListParagraph"/>
        <w:numPr>
          <w:ilvl w:val="0"/>
          <w:numId w:val="1"/>
        </w:numPr>
        <w:rPr>
          <w:rFonts w:ascii="Calibri" w:hAnsi="Calibri" w:cs="Calibri"/>
        </w:rPr>
      </w:pPr>
      <w:proofErr w:type="spellStart"/>
      <w:r w:rsidRPr="00E12DB9">
        <w:rPr>
          <w:rFonts w:ascii="Calibri" w:hAnsi="Calibri" w:cs="Calibri"/>
        </w:rPr>
        <w:t>Mengyu</w:t>
      </w:r>
      <w:proofErr w:type="spellEnd"/>
      <w:r w:rsidRPr="00E12DB9">
        <w:rPr>
          <w:rFonts w:ascii="Calibri" w:hAnsi="Calibri" w:cs="Calibri"/>
        </w:rPr>
        <w:t xml:space="preserve"> Xu’s company owes £45k to Raj Kumar for shipment of car parts. Sipho Moyo, </w:t>
      </w:r>
      <w:proofErr w:type="spellStart"/>
      <w:r w:rsidRPr="00E12DB9">
        <w:rPr>
          <w:rFonts w:ascii="Calibri" w:hAnsi="Calibri" w:cs="Calibri"/>
        </w:rPr>
        <w:t>Mengyu’s</w:t>
      </w:r>
      <w:proofErr w:type="spellEnd"/>
      <w:r w:rsidRPr="00E12DB9">
        <w:rPr>
          <w:rFonts w:ascii="Calibri" w:hAnsi="Calibri" w:cs="Calibri"/>
        </w:rPr>
        <w:t xml:space="preserve"> friend who sometimes helps the company with cash flow issues decides to pay £45k from his own funds directly to Raj Kumar to maintain good relations with the supplier. </w:t>
      </w:r>
    </w:p>
    <w:p w14:paraId="0BC0969C" w14:textId="77777777" w:rsidR="002A72B1" w:rsidRPr="00E12DB9" w:rsidRDefault="002A72B1" w:rsidP="002A72B1">
      <w:pPr>
        <w:pStyle w:val="ListParagraph"/>
        <w:rPr>
          <w:rFonts w:ascii="Calibri" w:hAnsi="Calibri" w:cs="Calibri"/>
        </w:rPr>
      </w:pPr>
    </w:p>
    <w:p w14:paraId="4E0E5B91" w14:textId="2B366144" w:rsidR="002A72B1" w:rsidRPr="00E12DB9" w:rsidRDefault="002A72B1" w:rsidP="003B3CF9">
      <w:pPr>
        <w:pStyle w:val="ListParagraph"/>
        <w:rPr>
          <w:rFonts w:ascii="Calibri" w:hAnsi="Calibri" w:cs="Calibri"/>
        </w:rPr>
      </w:pPr>
      <w:r w:rsidRPr="00E12DB9">
        <w:rPr>
          <w:rFonts w:ascii="Calibri" w:hAnsi="Calibri" w:cs="Calibri"/>
        </w:rPr>
        <w:t xml:space="preserve">A few days later, Sipho calls </w:t>
      </w:r>
      <w:proofErr w:type="spellStart"/>
      <w:r w:rsidRPr="00E12DB9">
        <w:rPr>
          <w:rFonts w:ascii="Calibri" w:hAnsi="Calibri" w:cs="Calibri"/>
        </w:rPr>
        <w:t>Mengyu</w:t>
      </w:r>
      <w:proofErr w:type="spellEnd"/>
      <w:r w:rsidRPr="00E12DB9">
        <w:rPr>
          <w:rFonts w:ascii="Calibri" w:hAnsi="Calibri" w:cs="Calibri"/>
        </w:rPr>
        <w:t xml:space="preserve"> asking her to reimburse the £45k, as he covered the payment personally. </w:t>
      </w:r>
      <w:proofErr w:type="spellStart"/>
      <w:r w:rsidRPr="00E12DB9">
        <w:rPr>
          <w:rFonts w:ascii="Calibri" w:hAnsi="Calibri" w:cs="Calibri"/>
        </w:rPr>
        <w:t>Mengyu</w:t>
      </w:r>
      <w:proofErr w:type="spellEnd"/>
      <w:r w:rsidRPr="00E12DB9">
        <w:rPr>
          <w:rFonts w:ascii="Calibri" w:hAnsi="Calibri" w:cs="Calibri"/>
        </w:rPr>
        <w:t xml:space="preserve"> is surprised as she did not request to Sipho to make that payment. </w:t>
      </w:r>
    </w:p>
    <w:p w14:paraId="19FF8EC0" w14:textId="77777777" w:rsidR="004A24B4" w:rsidRPr="00E12DB9" w:rsidRDefault="004A24B4" w:rsidP="004A24B4">
      <w:pPr>
        <w:rPr>
          <w:rFonts w:ascii="Calibri" w:hAnsi="Calibri" w:cs="Calibri"/>
        </w:rPr>
      </w:pPr>
    </w:p>
    <w:p w14:paraId="63B366C6" w14:textId="77777777" w:rsidR="004A24B4" w:rsidRPr="00E12DB9" w:rsidRDefault="004A24B4" w:rsidP="003B3CF9">
      <w:pPr>
        <w:pStyle w:val="ListParagraph"/>
        <w:rPr>
          <w:rFonts w:ascii="Calibri" w:hAnsi="Calibri" w:cs="Calibri"/>
        </w:rPr>
      </w:pPr>
    </w:p>
    <w:p w14:paraId="618825BD" w14:textId="6ABEC671" w:rsidR="002A72B1" w:rsidRPr="00E12DB9" w:rsidRDefault="003B3CF9" w:rsidP="002A72B1">
      <w:pPr>
        <w:pStyle w:val="ListParagraph"/>
        <w:numPr>
          <w:ilvl w:val="0"/>
          <w:numId w:val="1"/>
        </w:numPr>
        <w:rPr>
          <w:rFonts w:ascii="Calibri" w:hAnsi="Calibri" w:cs="Calibri"/>
        </w:rPr>
      </w:pPr>
      <w:r w:rsidRPr="00E12DB9">
        <w:rPr>
          <w:rFonts w:ascii="Calibri" w:hAnsi="Calibri" w:cs="Calibri"/>
        </w:rPr>
        <w:t>Fatima Khan is purchasing a house. She instructs her bank to make a £30,000 CHAPS payment as a 10% deposit to Olivia Johnson’s account</w:t>
      </w:r>
      <w:r w:rsidR="000029C5" w:rsidRPr="00E12DB9">
        <w:rPr>
          <w:rFonts w:ascii="Calibri" w:hAnsi="Calibri" w:cs="Calibri"/>
        </w:rPr>
        <w:t xml:space="preserve">. This way </w:t>
      </w:r>
      <w:r w:rsidRPr="00E12DB9">
        <w:rPr>
          <w:rFonts w:ascii="Calibri" w:hAnsi="Calibri" w:cs="Calibri"/>
        </w:rPr>
        <w:t xml:space="preserve">the funds arrive the same day and she can secure the property. </w:t>
      </w:r>
    </w:p>
    <w:p w14:paraId="3F492879" w14:textId="77777777" w:rsidR="003B3CF9" w:rsidRPr="00E12DB9" w:rsidRDefault="003B3CF9" w:rsidP="003B3CF9">
      <w:pPr>
        <w:pStyle w:val="ListParagraph"/>
        <w:rPr>
          <w:rFonts w:ascii="Calibri" w:hAnsi="Calibri" w:cs="Calibri"/>
        </w:rPr>
      </w:pPr>
    </w:p>
    <w:p w14:paraId="3AB21AC6" w14:textId="68A5C7F3" w:rsidR="00635B4F" w:rsidRPr="00E12DB9" w:rsidRDefault="00635B4F" w:rsidP="00635B4F">
      <w:pPr>
        <w:pStyle w:val="ListParagraph"/>
        <w:rPr>
          <w:rFonts w:ascii="Calibri" w:hAnsi="Calibri" w:cs="Calibri"/>
        </w:rPr>
      </w:pPr>
      <w:r w:rsidRPr="00E12DB9">
        <w:rPr>
          <w:rFonts w:ascii="Calibri" w:hAnsi="Calibri" w:cs="Calibri"/>
        </w:rPr>
        <w:t xml:space="preserve">By mistake, Fatima shares the wrong account number. The bank processes the payment immediately, but the funds are sent to an unintended recipient. Fatima notices the error and contacts the bank. The bank responds that the payment is complete and cannot be reversed. </w:t>
      </w:r>
    </w:p>
    <w:p w14:paraId="15D28912" w14:textId="77777777" w:rsidR="004A24B4" w:rsidRPr="00E12DB9" w:rsidRDefault="004A24B4" w:rsidP="004A24B4">
      <w:pPr>
        <w:rPr>
          <w:rFonts w:ascii="Calibri" w:hAnsi="Calibri" w:cs="Calibri"/>
        </w:rPr>
      </w:pPr>
    </w:p>
    <w:p w14:paraId="4BE26499" w14:textId="77777777" w:rsidR="00635B4F" w:rsidRPr="00E12DB9" w:rsidRDefault="00635B4F" w:rsidP="00635B4F">
      <w:pPr>
        <w:pStyle w:val="ListParagraph"/>
        <w:numPr>
          <w:ilvl w:val="0"/>
          <w:numId w:val="1"/>
        </w:numPr>
        <w:rPr>
          <w:rFonts w:ascii="Calibri" w:hAnsi="Calibri" w:cs="Calibri"/>
        </w:rPr>
      </w:pPr>
      <w:r w:rsidRPr="00E12DB9">
        <w:rPr>
          <w:rFonts w:ascii="Calibri" w:hAnsi="Calibri" w:cs="Calibri"/>
        </w:rPr>
        <w:t xml:space="preserve">Holly Smith owes £20k to Sipho Moyo and issues a promissory note payable to Sipho. </w:t>
      </w:r>
    </w:p>
    <w:p w14:paraId="1B68CDD7" w14:textId="77777777" w:rsidR="00635B4F" w:rsidRPr="00E12DB9" w:rsidRDefault="00635B4F" w:rsidP="00635B4F">
      <w:pPr>
        <w:pStyle w:val="ListParagraph"/>
        <w:rPr>
          <w:rFonts w:ascii="Calibri" w:hAnsi="Calibri" w:cs="Calibri"/>
        </w:rPr>
      </w:pPr>
    </w:p>
    <w:p w14:paraId="4D81304D" w14:textId="77777777" w:rsidR="000029C5" w:rsidRPr="00E12DB9" w:rsidRDefault="00635B4F" w:rsidP="00635B4F">
      <w:pPr>
        <w:pStyle w:val="ListParagraph"/>
        <w:rPr>
          <w:rFonts w:ascii="Calibri" w:hAnsi="Calibri" w:cs="Calibri"/>
        </w:rPr>
      </w:pPr>
      <w:r w:rsidRPr="00E12DB9">
        <w:rPr>
          <w:rFonts w:ascii="Calibri" w:hAnsi="Calibri" w:cs="Calibri"/>
        </w:rPr>
        <w:t xml:space="preserve">Sipho endorses the note and sells it to Raj for immediate cash.  Raj takes the note in good faith, for value and without knowledge of any problems. </w:t>
      </w:r>
    </w:p>
    <w:p w14:paraId="25593C2E" w14:textId="77777777" w:rsidR="00294A56" w:rsidRPr="00E12DB9" w:rsidRDefault="00294A56" w:rsidP="00635B4F">
      <w:pPr>
        <w:pStyle w:val="ListParagraph"/>
        <w:rPr>
          <w:rFonts w:ascii="Calibri" w:hAnsi="Calibri" w:cs="Calibri"/>
        </w:rPr>
      </w:pPr>
    </w:p>
    <w:p w14:paraId="6612AFEA" w14:textId="666434E2" w:rsidR="000925C4" w:rsidRDefault="000029C5" w:rsidP="000925C4">
      <w:pPr>
        <w:pStyle w:val="NormalWeb"/>
        <w:numPr>
          <w:ilvl w:val="0"/>
          <w:numId w:val="1"/>
        </w:numPr>
        <w:rPr>
          <w:rFonts w:ascii="Calibri" w:hAnsi="Calibri" w:cs="Calibri"/>
        </w:rPr>
      </w:pPr>
      <w:r w:rsidRPr="00E12DB9">
        <w:rPr>
          <w:rFonts w:ascii="Calibri" w:hAnsi="Calibri" w:cs="Calibri"/>
        </w:rPr>
        <w:t>Scott Brown draws a bill of exchange on Fatima Khan’s company. He fills in the date, amount and payee and signs the bill. The bill includes a condition that it is payable ‘if Fatima delivers 10 authentic Iranian rugs.’ Scott hands the bill to Fatima</w:t>
      </w:r>
      <w:r w:rsidR="0085204B" w:rsidRPr="00E12DB9">
        <w:rPr>
          <w:rFonts w:ascii="Calibri" w:hAnsi="Calibri" w:cs="Calibri"/>
        </w:rPr>
        <w:t>.</w:t>
      </w:r>
    </w:p>
    <w:p w14:paraId="385A8B14" w14:textId="77777777" w:rsidR="000925C4" w:rsidRPr="000925C4" w:rsidRDefault="000925C4" w:rsidP="000925C4">
      <w:pPr>
        <w:pStyle w:val="NormalWeb"/>
        <w:ind w:left="720"/>
        <w:rPr>
          <w:rFonts w:ascii="Calibri" w:hAnsi="Calibri" w:cs="Calibri"/>
        </w:rPr>
      </w:pPr>
    </w:p>
    <w:p w14:paraId="6438AF9A" w14:textId="0B8D3F34" w:rsidR="00F223CD" w:rsidRPr="00E12DB9" w:rsidRDefault="00F223CD" w:rsidP="00E12DB9">
      <w:pPr>
        <w:pStyle w:val="NormalWeb"/>
        <w:numPr>
          <w:ilvl w:val="0"/>
          <w:numId w:val="1"/>
        </w:numPr>
        <w:rPr>
          <w:rFonts w:ascii="Calibri" w:hAnsi="Calibri" w:cs="Calibri"/>
        </w:rPr>
      </w:pPr>
      <w:r w:rsidRPr="00E12DB9">
        <w:rPr>
          <w:rFonts w:ascii="Calibri" w:hAnsi="Calibri" w:cs="Calibri"/>
        </w:rPr>
        <w:t>Holly draws a bill of exchange payable to Scott for £10k. Scott endorses the bill to Sipho, adding the words ‘without recourse’ next to his signature. Sipho later endorses the bill to Raj for value. When Raj presents the bill for payment at maturity, the drawee refuses to pay.</w:t>
      </w:r>
    </w:p>
    <w:p w14:paraId="7090B46D" w14:textId="77777777" w:rsidR="000F5FA8" w:rsidRPr="00E12DB9" w:rsidRDefault="000F5FA8" w:rsidP="000F5FA8">
      <w:pPr>
        <w:pStyle w:val="ListParagraph"/>
        <w:rPr>
          <w:rFonts w:ascii="Calibri" w:hAnsi="Calibri" w:cs="Calibri"/>
        </w:rPr>
      </w:pPr>
    </w:p>
    <w:p w14:paraId="71492087" w14:textId="77777777" w:rsidR="00085B4C" w:rsidRDefault="00085B4C" w:rsidP="00085B4C">
      <w:pPr>
        <w:rPr>
          <w:rFonts w:ascii="Times New Roman" w:hAnsi="Times New Roman" w:cs="Times New Roman"/>
        </w:rPr>
      </w:pPr>
    </w:p>
    <w:p w14:paraId="02F986FE" w14:textId="149E29CB" w:rsidR="00FB19FB" w:rsidRPr="00085B4C" w:rsidRDefault="00FB19FB" w:rsidP="00085B4C">
      <w:pPr>
        <w:rPr>
          <w:rFonts w:ascii="Times New Roman" w:hAnsi="Times New Roman" w:cs="Times New Roman"/>
        </w:rPr>
      </w:pPr>
    </w:p>
    <w:sectPr w:rsidR="00FB19FB" w:rsidRPr="00085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4D"/>
    <w:family w:val="swiss"/>
    <w:pitch w:val="variable"/>
    <w:sig w:usb0="00000003"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08B"/>
    <w:multiLevelType w:val="hybridMultilevel"/>
    <w:tmpl w:val="643A982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FE3CFE"/>
    <w:multiLevelType w:val="hybridMultilevel"/>
    <w:tmpl w:val="986CE658"/>
    <w:lvl w:ilvl="0" w:tplc="FB384B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314375"/>
    <w:multiLevelType w:val="hybridMultilevel"/>
    <w:tmpl w:val="1F7E79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323A29"/>
    <w:multiLevelType w:val="hybridMultilevel"/>
    <w:tmpl w:val="4ACA99BE"/>
    <w:lvl w:ilvl="0" w:tplc="08090019">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0194B0F"/>
    <w:multiLevelType w:val="hybridMultilevel"/>
    <w:tmpl w:val="2EBA1BE0"/>
    <w:lvl w:ilvl="0" w:tplc="82383AE0">
      <w:start w:val="1"/>
      <w:numFmt w:val="decimal"/>
      <w:lvlText w:val="(%1)"/>
      <w:lvlJc w:val="left"/>
      <w:pPr>
        <w:ind w:left="1815" w:hanging="375"/>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57326CCA"/>
    <w:multiLevelType w:val="hybridMultilevel"/>
    <w:tmpl w:val="123A7DD0"/>
    <w:lvl w:ilvl="0" w:tplc="08090019">
      <w:start w:val="1"/>
      <w:numFmt w:val="lowerLetter"/>
      <w:lvlText w:val="%1."/>
      <w:lvlJc w:val="lef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0B35F0"/>
    <w:multiLevelType w:val="multilevel"/>
    <w:tmpl w:val="BD30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E0653"/>
    <w:multiLevelType w:val="hybridMultilevel"/>
    <w:tmpl w:val="4320A506"/>
    <w:lvl w:ilvl="0" w:tplc="69AE9B7E">
      <w:start w:val="1"/>
      <w:numFmt w:val="lowerLetter"/>
      <w:lvlText w:val="%1."/>
      <w:lvlJc w:val="left"/>
      <w:pPr>
        <w:ind w:left="720" w:hanging="360"/>
      </w:pPr>
      <w:rPr>
        <w:b w:val="0"/>
        <w:bCs/>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3402342">
    <w:abstractNumId w:val="1"/>
  </w:num>
  <w:num w:numId="2" w16cid:durableId="1872962032">
    <w:abstractNumId w:val="6"/>
  </w:num>
  <w:num w:numId="3" w16cid:durableId="329723766">
    <w:abstractNumId w:val="2"/>
  </w:num>
  <w:num w:numId="4" w16cid:durableId="916866397">
    <w:abstractNumId w:val="3"/>
  </w:num>
  <w:num w:numId="5" w16cid:durableId="1866095361">
    <w:abstractNumId w:val="4"/>
  </w:num>
  <w:num w:numId="6" w16cid:durableId="1887642040">
    <w:abstractNumId w:val="5"/>
  </w:num>
  <w:num w:numId="7" w16cid:durableId="101188233">
    <w:abstractNumId w:val="0"/>
  </w:num>
  <w:num w:numId="8" w16cid:durableId="584607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B1"/>
    <w:rsid w:val="000029C5"/>
    <w:rsid w:val="00085B4C"/>
    <w:rsid w:val="000925C4"/>
    <w:rsid w:val="000C5F8E"/>
    <w:rsid w:val="000E1C97"/>
    <w:rsid w:val="000F5FA8"/>
    <w:rsid w:val="0021674F"/>
    <w:rsid w:val="00294A56"/>
    <w:rsid w:val="002A72B1"/>
    <w:rsid w:val="002F1DB2"/>
    <w:rsid w:val="003371DC"/>
    <w:rsid w:val="003B3CF9"/>
    <w:rsid w:val="00401F78"/>
    <w:rsid w:val="0041443A"/>
    <w:rsid w:val="004823E9"/>
    <w:rsid w:val="004A24B4"/>
    <w:rsid w:val="00563036"/>
    <w:rsid w:val="006008CF"/>
    <w:rsid w:val="00635B4F"/>
    <w:rsid w:val="00751027"/>
    <w:rsid w:val="007B5538"/>
    <w:rsid w:val="007D3141"/>
    <w:rsid w:val="0085204B"/>
    <w:rsid w:val="008853A7"/>
    <w:rsid w:val="00983AAA"/>
    <w:rsid w:val="009E2F1E"/>
    <w:rsid w:val="00AD11BD"/>
    <w:rsid w:val="00B0431D"/>
    <w:rsid w:val="00B303F7"/>
    <w:rsid w:val="00BE2C93"/>
    <w:rsid w:val="00C534E6"/>
    <w:rsid w:val="00CD25B0"/>
    <w:rsid w:val="00D277A0"/>
    <w:rsid w:val="00DF25A8"/>
    <w:rsid w:val="00DF5169"/>
    <w:rsid w:val="00E12DB9"/>
    <w:rsid w:val="00E9210A"/>
    <w:rsid w:val="00EC1A8A"/>
    <w:rsid w:val="00EF76D8"/>
    <w:rsid w:val="00F223CD"/>
    <w:rsid w:val="00FA7ED2"/>
    <w:rsid w:val="00FB19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DB6632"/>
  <w15:chartTrackingRefBased/>
  <w15:docId w15:val="{08188E1A-CE8E-564F-9CC1-00CC224E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tle 1"/>
    <w:basedOn w:val="Normal"/>
    <w:next w:val="Normal"/>
    <w:link w:val="Heading1Char"/>
    <w:uiPriority w:val="9"/>
    <w:qFormat/>
    <w:rsid w:val="002A7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7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7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1 Char"/>
    <w:basedOn w:val="DefaultParagraphFont"/>
    <w:link w:val="Heading1"/>
    <w:uiPriority w:val="9"/>
    <w:rsid w:val="002A7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7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7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2B1"/>
    <w:rPr>
      <w:rFonts w:eastAsiaTheme="majorEastAsia" w:cstheme="majorBidi"/>
      <w:color w:val="272727" w:themeColor="text1" w:themeTint="D8"/>
    </w:rPr>
  </w:style>
  <w:style w:type="paragraph" w:styleId="Title">
    <w:name w:val="Title"/>
    <w:basedOn w:val="Normal"/>
    <w:next w:val="Normal"/>
    <w:link w:val="TitleChar"/>
    <w:uiPriority w:val="10"/>
    <w:qFormat/>
    <w:rsid w:val="002A72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2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2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2B1"/>
    <w:rPr>
      <w:i/>
      <w:iCs/>
      <w:color w:val="404040" w:themeColor="text1" w:themeTint="BF"/>
    </w:rPr>
  </w:style>
  <w:style w:type="paragraph" w:styleId="ListParagraph">
    <w:name w:val="List Paragraph"/>
    <w:basedOn w:val="Normal"/>
    <w:uiPriority w:val="34"/>
    <w:qFormat/>
    <w:rsid w:val="002A72B1"/>
    <w:pPr>
      <w:ind w:left="720"/>
      <w:contextualSpacing/>
    </w:pPr>
  </w:style>
  <w:style w:type="character" w:styleId="IntenseEmphasis">
    <w:name w:val="Intense Emphasis"/>
    <w:basedOn w:val="DefaultParagraphFont"/>
    <w:uiPriority w:val="21"/>
    <w:qFormat/>
    <w:rsid w:val="002A72B1"/>
    <w:rPr>
      <w:i/>
      <w:iCs/>
      <w:color w:val="2F5496" w:themeColor="accent1" w:themeShade="BF"/>
    </w:rPr>
  </w:style>
  <w:style w:type="paragraph" w:styleId="IntenseQuote">
    <w:name w:val="Intense Quote"/>
    <w:basedOn w:val="Normal"/>
    <w:next w:val="Normal"/>
    <w:link w:val="IntenseQuoteChar"/>
    <w:uiPriority w:val="30"/>
    <w:qFormat/>
    <w:rsid w:val="002A7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2B1"/>
    <w:rPr>
      <w:i/>
      <w:iCs/>
      <w:color w:val="2F5496" w:themeColor="accent1" w:themeShade="BF"/>
    </w:rPr>
  </w:style>
  <w:style w:type="character" w:styleId="IntenseReference">
    <w:name w:val="Intense Reference"/>
    <w:basedOn w:val="DefaultParagraphFont"/>
    <w:uiPriority w:val="32"/>
    <w:qFormat/>
    <w:rsid w:val="002A72B1"/>
    <w:rPr>
      <w:b/>
      <w:bCs/>
      <w:smallCaps/>
      <w:color w:val="2F5496" w:themeColor="accent1" w:themeShade="BF"/>
      <w:spacing w:val="5"/>
    </w:rPr>
  </w:style>
  <w:style w:type="paragraph" w:styleId="NormalWeb">
    <w:name w:val="Normal (Web)"/>
    <w:basedOn w:val="Normal"/>
    <w:uiPriority w:val="99"/>
    <w:unhideWhenUsed/>
    <w:rsid w:val="004A24B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E12DB9"/>
    <w:rPr>
      <w:b/>
      <w:bCs/>
    </w:rPr>
  </w:style>
  <w:style w:type="character" w:styleId="Emphasis">
    <w:name w:val="Emphasis"/>
    <w:basedOn w:val="DefaultParagraphFont"/>
    <w:uiPriority w:val="20"/>
    <w:qFormat/>
    <w:rsid w:val="00E12DB9"/>
    <w:rPr>
      <w:i/>
      <w:iCs/>
    </w:rPr>
  </w:style>
  <w:style w:type="character" w:customStyle="1" w:styleId="apple-converted-space">
    <w:name w:val="apple-converted-space"/>
    <w:basedOn w:val="DefaultParagraphFont"/>
    <w:rsid w:val="00E12DB9"/>
  </w:style>
  <w:style w:type="table" w:styleId="TableGrid">
    <w:name w:val="Table Grid"/>
    <w:basedOn w:val="TableNormal"/>
    <w:uiPriority w:val="39"/>
    <w:rsid w:val="00E12DB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12DB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4314</Words>
  <Characters>24595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Kizilyurek Jones, Zora</dc:creator>
  <cp:keywords/>
  <dc:description/>
  <cp:lastModifiedBy>Kizilyurek Jones, Zora</cp:lastModifiedBy>
  <cp:revision>2</cp:revision>
  <dcterms:created xsi:type="dcterms:W3CDTF">2026-01-25T17:05:00Z</dcterms:created>
  <dcterms:modified xsi:type="dcterms:W3CDTF">2026-01-25T17:05:00Z</dcterms:modified>
</cp:coreProperties>
</file>