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il"/>
              <w:left w:val="nil"/>
              <w:bottom w:val="nil"/>
              <w:right w:val="nil"/>
            </w:tcBorders>
            <w:shd w:val="clear" w:color="auto" w:fill="2563EB"/>
          </w:tcPr>
          <w:p>
            <w:pPr>
              <w:spacing w:before="280" w:after="80"/>
              <w:ind w:left="227"/>
            </w:pPr>
            <w:r>
              <w:rPr>
                <w:rFonts w:ascii="Calibri" w:hAnsi="Calibri"/>
                <w:b/>
                <w:i w:val="0"/>
                <w:color w:val="FFFFFF"/>
                <w:sz w:val="32"/>
              </w:rPr>
              <w:t>FindConveyancers</w:t>
            </w:r>
          </w:p>
          <w:p>
            <w:pPr>
              <w:spacing w:before="0" w:after="280"/>
              <w:ind w:left="227"/>
            </w:pPr>
            <w:r>
              <w:rPr>
                <w:rFonts w:ascii="Calibri" w:hAnsi="Calibri"/>
                <w:b w:val="0"/>
                <w:i w:val="0"/>
                <w:color w:val="BFDBFE"/>
                <w:sz w:val="18"/>
              </w:rPr>
              <w:t>findconveyancers.co.uk</w:t>
            </w:r>
          </w:p>
        </w:tc>
      </w:tr>
    </w:tbl>
    <w:p/>
    <w:p>
      <w:pPr>
        <w:spacing w:before="160" w:after="80"/>
        <w:pBdr>
          <w:bottom w:val="single" w:sz="12" w:space="1" w:color="2563EB"/>
        </w:pBdr>
      </w:pPr>
      <w:r>
        <w:rPr>
          <w:rFonts w:ascii="Calibri" w:hAnsi="Calibri"/>
          <w:b/>
          <w:i w:val="0"/>
          <w:color w:val="111827"/>
          <w:sz w:val="36"/>
        </w:rPr>
        <w:t>Referral Supply Agreement</w:t>
      </w:r>
    </w:p>
    <w:p>
      <w:pPr>
        <w:spacing w:before="120" w:after="320"/>
      </w:pPr>
      <w:r>
        <w:rPr>
          <w:rFonts w:ascii="Calibri" w:hAnsi="Calibri"/>
          <w:b w:val="0"/>
          <w:i/>
          <w:color w:val="6B7280"/>
          <w:sz w:val="20"/>
        </w:rPr>
        <w:t>This Agreement is made between FindConveyancers as supplier of conveyancing referrals and the Customer named in Schedule 1.</w:t>
      </w:r>
    </w:p>
    <w:p>
      <w:pPr>
        <w:spacing w:after="40"/>
      </w:pPr>
    </w:p>
    <w:p>
      <w:pPr>
        <w:spacing w:after="40"/>
      </w:pPr>
    </w:p>
    <w:p>
      <w:pPr>
        <w:spacing w:after="40"/>
      </w:pPr>
    </w:p>
    <w:p>
      <w:pPr>
        <w:spacing w:after="40"/>
      </w:pPr>
    </w:p>
    <w:p>
      <w:pPr>
        <w:pStyle w:val="Heading1"/>
        <w:pBdr>
          <w:bottom w:val="single" w:sz="4" w:space="1" w:color="2563EB"/>
        </w:pBdr>
      </w:pPr>
      <w:r>
        <w:t>Background</w:t>
      </w:r>
    </w:p>
    <w:p>
      <w:pPr>
        <w:spacing w:after="40"/>
      </w:pPr>
    </w:p>
    <w:p>
      <w:pPr/>
      <w:r>
        <w:rPr>
          <w:rFonts w:ascii="Calibri" w:hAnsi="Calibri"/>
          <w:color w:val="111827"/>
          <w:sz w:val="20"/>
        </w:rPr>
        <w:t>(A)  The Supplier carries on the business of generating, sourcing and selling conveyancing referrals (Referrals) via its platform at findconveyancers.co.uk.</w:t>
      </w:r>
    </w:p>
    <w:p>
      <w:pPr/>
      <w:r>
        <w:rPr>
          <w:rFonts w:ascii="Calibri" w:hAnsi="Calibri"/>
          <w:color w:val="111827"/>
          <w:sz w:val="20"/>
        </w:rPr>
        <w:t>(B)  The Customer is a firm of solicitors or licensed conveyancers regulated by [the SRA / the CLC] and wishes to purchase Referrals from the Supplier.</w:t>
      </w:r>
    </w:p>
    <w:p>
      <w:pPr/>
      <w:r>
        <w:rPr>
          <w:rFonts w:ascii="Calibri" w:hAnsi="Calibri"/>
          <w:color w:val="111827"/>
          <w:sz w:val="20"/>
        </w:rPr>
        <w:t>(C)  The Supplier wishes to sell and the Customer wishes to buy Referrals on the terms set out in this Agreement.</w:t>
      </w:r>
    </w:p>
    <w:p>
      <w:pPr>
        <w:spacing w:after="40"/>
      </w:pPr>
    </w:p>
    <w:p>
      <w:pPr>
        <w:spacing w:before="280"/>
      </w:pPr>
      <w:r>
        <w:rPr>
          <w:rFonts w:ascii="Calibri" w:hAnsi="Calibri"/>
          <w:b/>
          <w:color w:val="111827"/>
          <w:sz w:val="21"/>
        </w:rPr>
        <w:t>1.  INTERPRETATION</w:t>
      </w:r>
    </w:p>
    <w:p>
      <w:pPr>
        <w:spacing w:after="40"/>
      </w:pPr>
    </w:p>
    <w:p>
      <w:pPr/>
      <w:r>
        <w:rPr>
          <w:rFonts w:ascii="Calibri" w:hAnsi="Calibri"/>
          <w:b/>
          <w:color w:val="111827"/>
          <w:sz w:val="20"/>
        </w:rPr>
        <w:t xml:space="preserve">1.1  </w:t>
      </w:r>
      <w:r>
        <w:rPr>
          <w:rFonts w:ascii="Calibri" w:hAnsi="Calibri"/>
          <w:color w:val="111827"/>
          <w:sz w:val="20"/>
        </w:rPr>
        <w:t>In this Agreement the following definitions apply:</w:t>
      </w:r>
    </w:p>
    <w:p>
      <w:pPr>
        <w:spacing w:after="40"/>
      </w:pPr>
    </w:p>
    <w:p>
      <w:pPr>
        <w:spacing w:after="40"/>
      </w:pPr>
    </w:p>
    <w:p>
      <w:pPr/>
      <w:r>
        <w:rPr>
          <w:rFonts w:ascii="Calibri" w:hAnsi="Calibri"/>
          <w:b/>
          <w:color w:val="111827"/>
          <w:sz w:val="20"/>
        </w:rPr>
        <w:t xml:space="preserve">1.2  </w:t>
      </w:r>
      <w:r>
        <w:rPr>
          <w:rFonts w:ascii="Calibri" w:hAnsi="Calibri"/>
          <w:color w:val="111827"/>
          <w:sz w:val="20"/>
        </w:rPr>
        <w:t>Clause and Schedule headings do not affect interpretation. References to clauses and Schedules are to clauses and Schedules of this Agreement. The Schedules form part of this Agreement and have effect as if set out in full in the body.</w:t>
      </w:r>
    </w:p>
    <w:p>
      <w:pPr/>
      <w:r>
        <w:rPr>
          <w:rFonts w:ascii="Calibri" w:hAnsi="Calibri"/>
          <w:b/>
          <w:color w:val="111827"/>
          <w:sz w:val="20"/>
        </w:rPr>
        <w:t xml:space="preserve">1.3  </w:t>
      </w:r>
      <w:r>
        <w:rPr>
          <w:rFonts w:ascii="Calibri" w:hAnsi="Calibri"/>
          <w:color w:val="111827"/>
          <w:sz w:val="20"/>
        </w:rPr>
        <w:t>Words in the singular include the plural and vice versa. A reference to legislation includes all amendments and subordinate legislation made under it.</w:t>
      </w:r>
    </w:p>
    <w:p>
      <w:pPr>
        <w:spacing w:after="40"/>
      </w:pPr>
    </w:p>
    <w:p>
      <w:pPr>
        <w:spacing w:before="280"/>
      </w:pPr>
      <w:r>
        <w:rPr>
          <w:rFonts w:ascii="Calibri" w:hAnsi="Calibri"/>
          <w:b/>
          <w:color w:val="111827"/>
          <w:sz w:val="21"/>
        </w:rPr>
        <w:t>2.  COMMENCEMENT AND TERM</w:t>
      </w:r>
    </w:p>
    <w:p>
      <w:pPr>
        <w:spacing w:after="40"/>
      </w:pPr>
    </w:p>
    <w:p>
      <w:pPr/>
      <w:r>
        <w:rPr>
          <w:rFonts w:ascii="Calibri" w:hAnsi="Calibri"/>
          <w:b/>
          <w:color w:val="111827"/>
          <w:sz w:val="20"/>
        </w:rPr>
        <w:t xml:space="preserve">2.1  </w:t>
      </w:r>
      <w:r>
        <w:rPr>
          <w:rFonts w:ascii="Calibri" w:hAnsi="Calibri"/>
          <w:color w:val="111827"/>
          <w:sz w:val="20"/>
        </w:rPr>
        <w:t>This Agreement commences on the Commencement Date and continues until terminated in accordance with clause 13.</w:t>
      </w:r>
    </w:p>
    <w:p>
      <w:pPr/>
      <w:r>
        <w:rPr>
          <w:rFonts w:ascii="Calibri" w:hAnsi="Calibri"/>
          <w:b/>
          <w:color w:val="111827"/>
          <w:sz w:val="20"/>
        </w:rPr>
        <w:t xml:space="preserve">2.2  </w:t>
      </w:r>
      <w:r>
        <w:rPr>
          <w:rFonts w:ascii="Calibri" w:hAnsi="Calibri"/>
          <w:color w:val="111827"/>
          <w:sz w:val="20"/>
        </w:rPr>
        <w:t>The parties may agree a minimum term by insertion in Schedule 1. Where a minimum term is specified, either party may terminate under clause 13.2 only after the expiry of that minimum term.</w:t>
      </w:r>
    </w:p>
    <w:p>
      <w:pPr>
        <w:spacing w:after="40"/>
      </w:pPr>
    </w:p>
    <w:p>
      <w:pPr>
        <w:spacing w:before="280"/>
      </w:pPr>
      <w:r>
        <w:rPr>
          <w:rFonts w:ascii="Calibri" w:hAnsi="Calibri"/>
          <w:b/>
          <w:color w:val="111827"/>
          <w:sz w:val="21"/>
        </w:rPr>
        <w:t>3.  SALE AND PURCHASE OF REFERRALS</w:t>
      </w:r>
    </w:p>
    <w:p>
      <w:pPr>
        <w:spacing w:after="40"/>
      </w:pPr>
    </w:p>
    <w:p>
      <w:pPr/>
      <w:r>
        <w:rPr>
          <w:rFonts w:ascii="Calibri" w:hAnsi="Calibri"/>
          <w:b/>
          <w:color w:val="111827"/>
          <w:sz w:val="20"/>
        </w:rPr>
        <w:t xml:space="preserve">3.1  </w:t>
      </w:r>
      <w:r>
        <w:rPr>
          <w:rFonts w:ascii="Calibri" w:hAnsi="Calibri"/>
          <w:color w:val="111827"/>
          <w:sz w:val="20"/>
        </w:rPr>
        <w:t>During the Term, the Supplier shall sell and the Customer shall purchase Referrals on a Pay-Per-Completion basis. The Customer owes no payment for a Referral unless and until the transaction described in that Referral proceeds to Completion.</w:t>
      </w:r>
    </w:p>
    <w:p>
      <w:pPr/>
      <w:r>
        <w:rPr>
          <w:rFonts w:ascii="Calibri" w:hAnsi="Calibri"/>
          <w:b/>
          <w:color w:val="111827"/>
          <w:sz w:val="20"/>
        </w:rPr>
        <w:t xml:space="preserve">3.2  </w:t>
      </w:r>
      <w:r>
        <w:rPr>
          <w:rFonts w:ascii="Calibri" w:hAnsi="Calibri"/>
          <w:color w:val="111827"/>
          <w:sz w:val="20"/>
        </w:rPr>
        <w:t>Each Referral constitutes a separate sale. The Supplier makes no representation that any Referral will result in an instruction, a transaction proceeding to Completion, or any particular volume of Referrals being available.</w:t>
      </w:r>
    </w:p>
    <w:p>
      <w:pPr/>
      <w:r>
        <w:rPr>
          <w:rFonts w:ascii="Calibri" w:hAnsi="Calibri"/>
          <w:b/>
          <w:color w:val="111827"/>
          <w:sz w:val="20"/>
        </w:rPr>
        <w:t xml:space="preserve">3.3  </w:t>
      </w:r>
      <w:r>
        <w:rPr>
          <w:rFonts w:ascii="Calibri" w:hAnsi="Calibri"/>
          <w:color w:val="111827"/>
          <w:sz w:val="20"/>
        </w:rPr>
        <w:t>The Supplier shall not supply the same Referral to more than [3] Customer firms simultaneously. The Customer acknowledges that Referrals are not supplied exclusively and that other firms on the Platform may receive the same enquiry.</w:t>
      </w:r>
    </w:p>
    <w:p>
      <w:pPr/>
      <w:r>
        <w:rPr>
          <w:rFonts w:ascii="Calibri" w:hAnsi="Calibri"/>
          <w:b/>
          <w:color w:val="111827"/>
          <w:sz w:val="20"/>
        </w:rPr>
        <w:t xml:space="preserve">3.4  </w:t>
      </w:r>
      <w:r>
        <w:rPr>
          <w:rFonts w:ascii="Calibri" w:hAnsi="Calibri"/>
          <w:color w:val="111827"/>
          <w:sz w:val="20"/>
        </w:rPr>
        <w:t>The Supplier is not a party to any retainer or client care letter between the Customer and a prospective client and accepts no responsibility for the provision of legal services by the Customer.</w:t>
      </w:r>
    </w:p>
    <w:p>
      <w:pPr>
        <w:spacing w:after="40"/>
      </w:pPr>
    </w:p>
    <w:p>
      <w:pPr>
        <w:spacing w:before="280"/>
      </w:pPr>
      <w:r>
        <w:rPr>
          <w:rFonts w:ascii="Calibri" w:hAnsi="Calibri"/>
          <w:b/>
          <w:color w:val="111827"/>
          <w:sz w:val="21"/>
        </w:rPr>
        <w:t>4.  ORDERS</w:t>
      </w:r>
    </w:p>
    <w:p>
      <w:pPr>
        <w:spacing w:after="40"/>
      </w:pPr>
    </w:p>
    <w:p>
      <w:pPr/>
      <w:r>
        <w:rPr>
          <w:rFonts w:ascii="Calibri" w:hAnsi="Calibri"/>
          <w:b/>
          <w:color w:val="111827"/>
          <w:sz w:val="20"/>
        </w:rPr>
        <w:t xml:space="preserve">4.1  </w:t>
      </w:r>
      <w:r>
        <w:rPr>
          <w:rFonts w:ascii="Calibri" w:hAnsi="Calibri"/>
          <w:color w:val="111827"/>
          <w:sz w:val="20"/>
        </w:rPr>
        <w:t>The Customer shall set its Referral preferences (transaction types, geographic area, and weekly volume cap) in Schedule 1 at the point of signing. The Customer may update these preferences by written notice to the Supplier with [5] Business Days' notice.</w:t>
      </w:r>
    </w:p>
    <w:p>
      <w:pPr/>
      <w:r>
        <w:rPr>
          <w:rFonts w:ascii="Calibri" w:hAnsi="Calibri"/>
          <w:b/>
          <w:color w:val="111827"/>
          <w:sz w:val="20"/>
        </w:rPr>
        <w:t xml:space="preserve">4.2  </w:t>
      </w:r>
      <w:r>
        <w:rPr>
          <w:rFonts w:ascii="Calibri" w:hAnsi="Calibri"/>
          <w:color w:val="111827"/>
          <w:sz w:val="20"/>
        </w:rPr>
        <w:t>Each Referral delivered to the Customer constitutes a separate transaction under this Agreement. The Supplier shall assign a unique Referral reference number to each Referral and include it in the Delivery notification. The Customer shall reference this number in all subsequent correspondence regarding that Referral.</w:t>
      </w:r>
    </w:p>
    <w:p>
      <w:pPr/>
      <w:r>
        <w:rPr>
          <w:rFonts w:ascii="Calibri" w:hAnsi="Calibri"/>
          <w:b/>
          <w:color w:val="111827"/>
          <w:sz w:val="20"/>
        </w:rPr>
        <w:t xml:space="preserve">4.3  </w:t>
      </w:r>
      <w:r>
        <w:rPr>
          <w:rFonts w:ascii="Calibri" w:hAnsi="Calibri"/>
          <w:color w:val="111827"/>
          <w:sz w:val="20"/>
        </w:rPr>
        <w:t>The Supplier may accept or decline to supply any particular Referral at its absolute discretion, including where the Supplier determines that the Referral does not meet quality thresholds. The Supplier shall not be liable for declining to supply a Referral.</w:t>
      </w:r>
    </w:p>
    <w:p>
      <w:pPr/>
      <w:r>
        <w:rPr>
          <w:rFonts w:ascii="Calibri" w:hAnsi="Calibri"/>
          <w:b/>
          <w:color w:val="111827"/>
          <w:sz w:val="20"/>
        </w:rPr>
        <w:t xml:space="preserve">4.4  </w:t>
      </w:r>
      <w:r>
        <w:rPr>
          <w:rFonts w:ascii="Calibri" w:hAnsi="Calibri"/>
          <w:color w:val="111827"/>
          <w:sz w:val="20"/>
        </w:rPr>
        <w:t>The Customer must acknowledge receipt of each Referral and respond to the prospective client with a fee quote within 24 hours of Delivery (excluding weekends and bank holidays). Failure to respond within this period may result in the Referral being made available to other Customer firms. No credit or refund will be issued for Referrals on which the Customer fails to respond in time.</w:t>
      </w:r>
    </w:p>
    <w:p>
      <w:pPr>
        <w:spacing w:after="40"/>
      </w:pPr>
    </w:p>
    <w:p>
      <w:pPr>
        <w:spacing w:after="40"/>
      </w:pPr>
    </w:p>
    <w:p>
      <w:pPr>
        <w:spacing w:before="280"/>
      </w:pPr>
      <w:r>
        <w:rPr>
          <w:rFonts w:ascii="Calibri" w:hAnsi="Calibri"/>
          <w:b/>
          <w:color w:val="111827"/>
          <w:sz w:val="21"/>
        </w:rPr>
        <w:t>5.  DELIVERY</w:t>
      </w:r>
    </w:p>
    <w:p>
      <w:pPr>
        <w:spacing w:after="40"/>
      </w:pPr>
    </w:p>
    <w:p>
      <w:pPr/>
      <w:r>
        <w:rPr>
          <w:rFonts w:ascii="Calibri" w:hAnsi="Calibri"/>
          <w:b/>
          <w:color w:val="111827"/>
          <w:sz w:val="20"/>
        </w:rPr>
        <w:t xml:space="preserve">5.1  </w:t>
      </w:r>
      <w:r>
        <w:rPr>
          <w:rFonts w:ascii="Calibri" w:hAnsi="Calibri"/>
          <w:color w:val="111827"/>
          <w:sz w:val="20"/>
        </w:rPr>
        <w:t>The Supplier shall deliver each Referral by email to the address specified in Schedule 1, and/or through any partner portal operated by the Supplier. Delivery is complete on transmission to the nominated address.</w:t>
      </w:r>
    </w:p>
    <w:p>
      <w:pPr/>
      <w:r>
        <w:rPr>
          <w:rFonts w:ascii="Calibri" w:hAnsi="Calibri"/>
          <w:b/>
          <w:color w:val="111827"/>
          <w:sz w:val="20"/>
        </w:rPr>
        <w:t xml:space="preserve">5.2  </w:t>
      </w:r>
      <w:r>
        <w:rPr>
          <w:rFonts w:ascii="Calibri" w:hAnsi="Calibri"/>
          <w:color w:val="111827"/>
          <w:sz w:val="20"/>
        </w:rPr>
        <w:t>Each Referral shall contain the data fields set out in the Specification (Schedule 2). The Supplier warrants that each Referral delivered under this Agreement shall, at the point of Delivery, conform to the Specification.</w:t>
      </w:r>
    </w:p>
    <w:p>
      <w:pPr/>
      <w:r>
        <w:rPr>
          <w:rFonts w:ascii="Calibri" w:hAnsi="Calibri"/>
          <w:b/>
          <w:color w:val="111827"/>
          <w:sz w:val="20"/>
        </w:rPr>
        <w:t xml:space="preserve">5.3  </w:t>
      </w:r>
      <w:r>
        <w:rPr>
          <w:rFonts w:ascii="Calibri" w:hAnsi="Calibri"/>
          <w:color w:val="111827"/>
          <w:sz w:val="20"/>
        </w:rPr>
        <w:t>The Supplier does not guarantee any minimum volume of Referrals and may reduce, suspend or cease Delivery at any time. The Supplier will give reasonable notice of any planned suspension except where suspension is required immediately for platform or technical reasons.</w:t>
      </w:r>
    </w:p>
    <w:p>
      <w:pPr/>
      <w:r>
        <w:rPr>
          <w:rFonts w:ascii="Calibri" w:hAnsi="Calibri"/>
          <w:b/>
          <w:color w:val="111827"/>
          <w:sz w:val="20"/>
        </w:rPr>
        <w:t xml:space="preserve">5.4  </w:t>
      </w:r>
      <w:r>
        <w:rPr>
          <w:rFonts w:ascii="Calibri" w:hAnsi="Calibri"/>
          <w:color w:val="111827"/>
          <w:sz w:val="20"/>
        </w:rPr>
        <w:t>Risk in each Referral (meaning the risk that the data is acted upon by the Customer without instruction resulting) passes to the Customer on Delivery.</w:t>
      </w:r>
    </w:p>
    <w:p>
      <w:pPr>
        <w:spacing w:after="40"/>
      </w:pPr>
    </w:p>
    <w:p>
      <w:pPr/>
      <w:r>
        <w:rPr>
          <w:rFonts w:ascii="Calibri" w:hAnsi="Calibri"/>
          <w:b/>
          <w:color w:val="111827"/>
          <w:sz w:val="20"/>
        </w:rPr>
        <w:t>6.  QUALITY, SPECIFICATION AND REJECTION</w:t>
      </w:r>
    </w:p>
    <w:p>
      <w:pPr>
        <w:spacing w:after="40"/>
      </w:pPr>
    </w:p>
    <w:p>
      <w:pPr/>
      <w:r>
        <w:rPr>
          <w:rFonts w:ascii="Calibri" w:hAnsi="Calibri"/>
          <w:b/>
          <w:color w:val="111827"/>
          <w:sz w:val="20"/>
        </w:rPr>
        <w:t xml:space="preserve">6.1  </w:t>
      </w:r>
      <w:r>
        <w:rPr>
          <w:rFonts w:ascii="Calibri" w:hAnsi="Calibri"/>
          <w:color w:val="111827"/>
          <w:sz w:val="20"/>
        </w:rPr>
        <w:t>The Supplier warrants that each Referral delivered shall, at the point of Delivery:</w:t>
      </w:r>
    </w:p>
    <w:p>
      <w:pPr>
        <w:ind w:left="454"/>
      </w:pPr>
      <w:r>
        <w:rPr>
          <w:rFonts w:ascii="Calibri" w:hAnsi="Calibri"/>
          <w:b/>
          <w:color w:val="111827"/>
          <w:sz w:val="20"/>
        </w:rPr>
        <w:t xml:space="preserve">(a)  </w:t>
      </w:r>
      <w:r>
        <w:rPr>
          <w:rFonts w:ascii="Calibri" w:hAnsi="Calibri"/>
          <w:color w:val="111827"/>
          <w:sz w:val="20"/>
        </w:rPr>
        <w:t>conform to the Specification set out in Schedule 2;</w:t>
      </w:r>
    </w:p>
    <w:p>
      <w:pPr>
        <w:ind w:left="454"/>
      </w:pPr>
      <w:r>
        <w:rPr>
          <w:rFonts w:ascii="Calibri" w:hAnsi="Calibri"/>
          <w:b/>
          <w:color w:val="111827"/>
          <w:sz w:val="20"/>
        </w:rPr>
        <w:t xml:space="preserve">(b)  </w:t>
      </w:r>
      <w:r>
        <w:rPr>
          <w:rFonts w:ascii="Calibri" w:hAnsi="Calibri"/>
          <w:color w:val="111827"/>
          <w:sz w:val="20"/>
        </w:rPr>
        <w:t>contain contact details that are, to the best of the Supplier's knowledge at the time of Delivery, accurate and complete;</w:t>
      </w:r>
    </w:p>
    <w:p>
      <w:pPr>
        <w:ind w:left="454"/>
      </w:pPr>
      <w:r>
        <w:rPr>
          <w:rFonts w:ascii="Calibri" w:hAnsi="Calibri"/>
          <w:b/>
          <w:color w:val="111827"/>
          <w:sz w:val="20"/>
        </w:rPr>
        <w:t xml:space="preserve">(c)  </w:t>
      </w:r>
      <w:r>
        <w:rPr>
          <w:rFonts w:ascii="Calibri" w:hAnsi="Calibri"/>
          <w:color w:val="111827"/>
          <w:sz w:val="20"/>
        </w:rPr>
        <w:t>relate to a genuine conveyancing enquiry submitted by the prospective client; and</w:t>
      </w:r>
    </w:p>
    <w:p>
      <w:pPr>
        <w:ind w:left="454"/>
      </w:pPr>
      <w:r>
        <w:rPr>
          <w:rFonts w:ascii="Calibri" w:hAnsi="Calibri"/>
          <w:b/>
          <w:color w:val="111827"/>
          <w:sz w:val="20"/>
        </w:rPr>
        <w:t xml:space="preserve">(d)  </w:t>
      </w:r>
      <w:r>
        <w:rPr>
          <w:rFonts w:ascii="Calibri" w:hAnsi="Calibri"/>
          <w:color w:val="111827"/>
          <w:sz w:val="20"/>
        </w:rPr>
        <w:t>not be a duplicate of a Referral delivered to the Customer for the same property within the preceding [90] days.</w:t>
      </w:r>
    </w:p>
    <w:p>
      <w:pPr/>
      <w:r>
        <w:rPr>
          <w:rFonts w:ascii="Calibri" w:hAnsi="Calibri"/>
          <w:b/>
          <w:color w:val="111827"/>
          <w:sz w:val="20"/>
        </w:rPr>
        <w:t xml:space="preserve">6.2  </w:t>
      </w:r>
      <w:r>
        <w:rPr>
          <w:rFonts w:ascii="Calibri" w:hAnsi="Calibri"/>
          <w:color w:val="111827"/>
          <w:sz w:val="20"/>
        </w:rPr>
        <w:t>The Supplier does not warrant that any Referral will result in an instruction, a transaction proceeding, or any particular outcome. The implied condition as to satisfactory quality under the Sale of Goods Act 1979 is excluded to the extent permissible under the Unfair Contract Terms Act 1977, the parties being two businesses of comparable commercial sophistication dealing at arm's length.</w:t>
      </w:r>
    </w:p>
    <w:p>
      <w:pPr>
        <w:spacing w:after="40"/>
      </w:pPr>
    </w:p>
    <w:p>
      <w:pPr/>
      <w:r>
        <w:rPr>
          <w:rFonts w:ascii="Calibri" w:hAnsi="Calibri"/>
          <w:b/>
          <w:color w:val="111827"/>
          <w:sz w:val="20"/>
        </w:rPr>
        <w:t xml:space="preserve">6.3  </w:t>
      </w:r>
      <w:r>
        <w:rPr>
          <w:rFonts w:ascii="Calibri" w:hAnsi="Calibri"/>
          <w:color w:val="111827"/>
          <w:sz w:val="20"/>
        </w:rPr>
        <w:t>A Referral is a Valid Referral for payment purposes if it satisfies the criteria in clause 6.1. A Referral is not a Valid Referral if:</w:t>
      </w:r>
    </w:p>
    <w:p>
      <w:pPr>
        <w:ind w:left="454"/>
      </w:pPr>
      <w:r>
        <w:rPr>
          <w:rFonts w:ascii="Calibri" w:hAnsi="Calibri"/>
          <w:b/>
          <w:color w:val="111827"/>
          <w:sz w:val="20"/>
        </w:rPr>
        <w:t xml:space="preserve">(a)  </w:t>
      </w:r>
      <w:r>
        <w:rPr>
          <w:rFonts w:ascii="Calibri" w:hAnsi="Calibri"/>
          <w:color w:val="111827"/>
          <w:sz w:val="20"/>
        </w:rPr>
        <w:t>the prospective client's telephone number and email address are both demonstrably non-functional at the point of Delivery; or</w:t>
      </w:r>
    </w:p>
    <w:p>
      <w:pPr>
        <w:ind w:left="454"/>
      </w:pPr>
      <w:r>
        <w:rPr>
          <w:rFonts w:ascii="Calibri" w:hAnsi="Calibri"/>
          <w:b/>
          <w:color w:val="111827"/>
          <w:sz w:val="20"/>
        </w:rPr>
        <w:t xml:space="preserve">(b)  </w:t>
      </w:r>
      <w:r>
        <w:rPr>
          <w:rFonts w:ascii="Calibri" w:hAnsi="Calibri"/>
          <w:color w:val="111827"/>
          <w:sz w:val="20"/>
        </w:rPr>
        <w:t>the same individual has already been delivered as a Referral for the same property to the Customer within the preceding [90] days; or</w:t>
      </w:r>
    </w:p>
    <w:p>
      <w:pPr>
        <w:ind w:left="454"/>
      </w:pPr>
      <w:r>
        <w:rPr>
          <w:rFonts w:ascii="Calibri" w:hAnsi="Calibri"/>
          <w:b/>
          <w:color w:val="111827"/>
          <w:sz w:val="20"/>
        </w:rPr>
        <w:t xml:space="preserve">(c)  </w:t>
      </w:r>
      <w:r>
        <w:rPr>
          <w:rFonts w:ascii="Calibri" w:hAnsi="Calibri"/>
          <w:color w:val="111827"/>
          <w:sz w:val="20"/>
        </w:rPr>
        <w:t>the Referral relates to a transaction type or geographic area outside those specified in Schedule 1.</w:t>
      </w:r>
    </w:p>
    <w:p>
      <w:pPr/>
      <w:r>
        <w:rPr>
          <w:rFonts w:ascii="Calibri" w:hAnsi="Calibri"/>
          <w:b/>
          <w:color w:val="111827"/>
          <w:sz w:val="20"/>
        </w:rPr>
        <w:t xml:space="preserve">6.4  </w:t>
      </w:r>
      <w:r>
        <w:rPr>
          <w:rFonts w:ascii="Calibri" w:hAnsi="Calibri"/>
          <w:color w:val="111827"/>
          <w:sz w:val="20"/>
        </w:rPr>
        <w:t>The Customer must notify the Supplier in writing of any rejection of a Referral on grounds of non-conformity with the Specification within [5] Business Days of Delivery, specifying the Referral reference number and grounds for rejection. The Supplier will review the rejection and, if upheld, issue a credit note for the applicable Price. Rejections raised after [5] Business Days will not be accepted.</w:t>
      </w:r>
    </w:p>
    <w:p>
      <w:pPr/>
      <w:r>
        <w:rPr>
          <w:rFonts w:ascii="Calibri" w:hAnsi="Calibri"/>
          <w:b/>
          <w:color w:val="111827"/>
          <w:sz w:val="20"/>
        </w:rPr>
        <w:t xml:space="preserve">6.5  </w:t>
      </w:r>
      <w:r>
        <w:rPr>
          <w:rFonts w:ascii="Calibri" w:hAnsi="Calibri"/>
          <w:color w:val="111827"/>
          <w:sz w:val="20"/>
        </w:rPr>
        <w:t>The Customer's right to reject under clause 6.4 is its sole remedy for non-conforming Referrals. The Customer may not reject a Referral on the grounds that it did not result in an instruction or that the prospective client did not proceed.</w:t>
      </w:r>
    </w:p>
    <w:p>
      <w:pPr>
        <w:spacing w:after="40"/>
      </w:pPr>
    </w:p>
    <w:p>
      <w:pPr>
        <w:spacing w:before="280"/>
      </w:pPr>
      <w:r>
        <w:rPr>
          <w:rFonts w:ascii="Calibri" w:hAnsi="Calibri"/>
          <w:b/>
          <w:color w:val="111827"/>
          <w:sz w:val="21"/>
        </w:rPr>
        <w:t>7.  PRICE AND PAYMENT</w:t>
      </w:r>
    </w:p>
    <w:p>
      <w:pPr>
        <w:spacing w:after="40"/>
      </w:pPr>
    </w:p>
    <w:p>
      <w:pPr/>
      <w:r>
        <w:rPr>
          <w:rFonts w:ascii="Calibri" w:hAnsi="Calibri"/>
          <w:b/>
          <w:color w:val="111827"/>
          <w:sz w:val="20"/>
        </w:rPr>
        <w:t xml:space="preserve">7.1  </w:t>
      </w:r>
      <w:r>
        <w:rPr>
          <w:rFonts w:ascii="Calibri" w:hAnsi="Calibri"/>
          <w:color w:val="111827"/>
          <w:sz w:val="20"/>
        </w:rPr>
        <w:t>This Agreement operates on a Pay-Per-Completion basis only. The Completion Fee is due and payable upon Completion of each transaction originating from a Referral delivered under this Agreement. No payment is due to the Supplier at the point of Delivery.</w:t>
      </w:r>
    </w:p>
    <w:p>
      <w:pPr/>
      <w:r>
        <w:rPr>
          <w:rFonts w:ascii="Calibri" w:hAnsi="Calibri"/>
          <w:b/>
          <w:color w:val="111827"/>
          <w:sz w:val="20"/>
        </w:rPr>
        <w:t xml:space="preserve">7.2  </w:t>
      </w:r>
      <w:r>
        <w:rPr>
          <w:rFonts w:ascii="Calibri" w:hAnsi="Calibri"/>
          <w:color w:val="111827"/>
          <w:sz w:val="20"/>
        </w:rPr>
        <w:t>For the avoidance of doubt, no payment is due from the Customer: (a) on or after Delivery of a Referral; (b) where the prospective client does not instruct the Customer following receipt of a quote; (c) where the Customer submits a quote but is not selected by the prospective client; or (d) where the transaction falls through after instruction but before Completion. The Supplier carries the conversion and fall-through risk in full.</w:t>
      </w:r>
    </w:p>
    <w:p>
      <w:pPr/>
      <w:r>
        <w:rPr>
          <w:rFonts w:ascii="Calibri" w:hAnsi="Calibri"/>
          <w:b/>
          <w:color w:val="111827"/>
          <w:sz w:val="20"/>
        </w:rPr>
        <w:t xml:space="preserve">7.3  </w:t>
      </w:r>
      <w:r>
        <w:rPr>
          <w:rFonts w:ascii="Calibri" w:hAnsi="Calibri"/>
          <w:color w:val="111827"/>
          <w:sz w:val="20"/>
        </w:rPr>
        <w:t>The Customer shall notify the Supplier of each Completion within [5] Business Days of the Completion date, providing: the Referral reference number, property address, Completion date, and transaction value. The Supplier shall invoice within [7] Business Days of receiving that notification (or of independently identifying a Completion under clause 7.4). Payment is due within [14] days of invoice.</w:t>
      </w:r>
    </w:p>
    <w:p>
      <w:pPr/>
      <w:r>
        <w:rPr>
          <w:rFonts w:ascii="Calibri" w:hAnsi="Calibri"/>
          <w:b/>
          <w:color w:val="111827"/>
          <w:sz w:val="20"/>
        </w:rPr>
        <w:t xml:space="preserve">7.4  </w:t>
      </w:r>
      <w:r>
        <w:rPr>
          <w:rFonts w:ascii="Calibri" w:hAnsi="Calibri"/>
          <w:color w:val="111827"/>
          <w:sz w:val="20"/>
        </w:rPr>
        <w:t>The Supplier may independently verify Completions by searching HM Land Registry records using the property address from the original Referral. Where the Supplier identifies a Completion not notified by the Customer within the period required by clause 7.3, it may issue an invoice for the applicable Completion Fee. The Customer must pay within [14] days of that invoice.</w:t>
      </w:r>
    </w:p>
    <w:p>
      <w:pPr>
        <w:spacing w:after="40"/>
      </w:pPr>
    </w:p>
    <w:p>
      <w:pPr>
        <w:pStyle w:val="Heading2"/>
      </w:pPr>
      <w:r>
        <w:t>General Payment Terms</w:t>
      </w:r>
    </w:p>
    <w:p>
      <w:pPr/>
      <w:r>
        <w:rPr>
          <w:rFonts w:ascii="Calibri" w:hAnsi="Calibri"/>
          <w:b/>
          <w:color w:val="111827"/>
          <w:sz w:val="20"/>
        </w:rPr>
        <w:t xml:space="preserve">7.7  </w:t>
      </w:r>
      <w:r>
        <w:rPr>
          <w:rFonts w:ascii="Calibri" w:hAnsi="Calibri"/>
          <w:color w:val="111827"/>
          <w:sz w:val="20"/>
        </w:rPr>
        <w:t>All Prices are exclusive of VAT. Where VAT is chargeable, it will be added to invoices at the prevailing rate.</w:t>
      </w:r>
    </w:p>
    <w:p>
      <w:pPr/>
      <w:r>
        <w:rPr>
          <w:rFonts w:ascii="Calibri" w:hAnsi="Calibri"/>
          <w:b/>
          <w:color w:val="111827"/>
          <w:sz w:val="20"/>
        </w:rPr>
        <w:t xml:space="preserve">7.8  </w:t>
      </w:r>
      <w:r>
        <w:rPr>
          <w:rFonts w:ascii="Calibri" w:hAnsi="Calibri"/>
          <w:color w:val="111827"/>
          <w:sz w:val="20"/>
        </w:rPr>
        <w:t>Interest on late payment accrues at 8% per annum above the Bank of England base rate under the Late Payment of Commercial Debts (Interest) Act 1998.</w:t>
      </w:r>
    </w:p>
    <w:p>
      <w:pPr/>
      <w:r>
        <w:rPr>
          <w:rFonts w:ascii="Calibri" w:hAnsi="Calibri"/>
          <w:b/>
          <w:color w:val="111827"/>
          <w:sz w:val="20"/>
        </w:rPr>
        <w:t xml:space="preserve">7.9  </w:t>
      </w:r>
      <w:r>
        <w:rPr>
          <w:rFonts w:ascii="Calibri" w:hAnsi="Calibri"/>
          <w:color w:val="111827"/>
          <w:sz w:val="20"/>
        </w:rPr>
        <w:t>The Supplier may suspend Delivery if any undisputed invoice remains unpaid [21] days after the due date, without prejudice to any other remedy.</w:t>
      </w:r>
    </w:p>
    <w:p>
      <w:pPr/>
      <w:r>
        <w:rPr>
          <w:rFonts w:ascii="Calibri" w:hAnsi="Calibri"/>
          <w:b/>
          <w:color w:val="111827"/>
          <w:sz w:val="20"/>
        </w:rPr>
        <w:t xml:space="preserve">7.10  </w:t>
      </w:r>
      <w:r>
        <w:rPr>
          <w:rFonts w:ascii="Calibri" w:hAnsi="Calibri"/>
          <w:color w:val="111827"/>
          <w:sz w:val="20"/>
        </w:rPr>
        <w:t>The Customer shall not withhold or set off any amounts due under this Agreement against any claim it may have against the Supplier, except to the extent of any credit note issued and outstanding under clause 6.4.</w:t>
      </w:r>
    </w:p>
    <w:p>
      <w:pPr>
        <w:spacing w:after="40"/>
      </w:pPr>
    </w:p>
    <w:p>
      <w:pPr>
        <w:spacing w:before="280"/>
      </w:pPr>
      <w:r>
        <w:rPr>
          <w:rFonts w:ascii="Calibri" w:hAnsi="Calibri"/>
          <w:b/>
          <w:color w:val="111827"/>
          <w:sz w:val="21"/>
        </w:rPr>
        <w:t>8.  PRICE REVIEW</w:t>
      </w:r>
    </w:p>
    <w:p>
      <w:pPr>
        <w:spacing w:after="40"/>
      </w:pPr>
    </w:p>
    <w:p>
      <w:pPr/>
      <w:r>
        <w:rPr>
          <w:rFonts w:ascii="Calibri" w:hAnsi="Calibri"/>
          <w:b/>
          <w:color w:val="111827"/>
          <w:sz w:val="20"/>
        </w:rPr>
        <w:t xml:space="preserve">8.1  </w:t>
      </w:r>
      <w:r>
        <w:rPr>
          <w:rFonts w:ascii="Calibri" w:hAnsi="Calibri"/>
          <w:color w:val="111827"/>
          <w:sz w:val="20"/>
        </w:rPr>
        <w:t>The Supplier may vary the Prices set out in Schedule 1 by giving the Customer [30] days' written notice.</w:t>
      </w:r>
    </w:p>
    <w:p>
      <w:pPr/>
      <w:r>
        <w:rPr>
          <w:rFonts w:ascii="Calibri" w:hAnsi="Calibri"/>
          <w:b/>
          <w:color w:val="111827"/>
          <w:sz w:val="20"/>
        </w:rPr>
        <w:t xml:space="preserve">8.2  </w:t>
      </w:r>
      <w:r>
        <w:rPr>
          <w:rFonts w:ascii="Calibri" w:hAnsi="Calibri"/>
          <w:color w:val="111827"/>
          <w:sz w:val="20"/>
        </w:rPr>
        <w:t>If the Customer does not accept the revised Prices, it may terminate this Agreement by written notice given before the end of the notice period in clause 8.1, taking effect at the end of that notice period.</w:t>
      </w:r>
    </w:p>
    <w:p>
      <w:pPr/>
      <w:r>
        <w:rPr>
          <w:rFonts w:ascii="Calibri" w:hAnsi="Calibri"/>
          <w:b/>
          <w:color w:val="111827"/>
          <w:sz w:val="20"/>
        </w:rPr>
        <w:t xml:space="preserve">8.3  </w:t>
      </w:r>
      <w:r>
        <w:rPr>
          <w:rFonts w:ascii="Calibri" w:hAnsi="Calibri"/>
          <w:color w:val="111827"/>
          <w:sz w:val="20"/>
        </w:rPr>
        <w:t>Prices shall not be varied more than once in any [12]-month period.</w:t>
      </w:r>
    </w:p>
    <w:p>
      <w:pPr>
        <w:spacing w:after="40"/>
      </w:pPr>
    </w:p>
    <w:p>
      <w:pPr>
        <w:spacing w:before="280"/>
      </w:pPr>
      <w:r>
        <w:rPr>
          <w:rFonts w:ascii="Calibri" w:hAnsi="Calibri"/>
          <w:b/>
          <w:color w:val="111827"/>
          <w:sz w:val="21"/>
        </w:rPr>
        <w:t>9.  CUSTOMER OBLIGATIONS</w:t>
      </w:r>
    </w:p>
    <w:p>
      <w:pPr>
        <w:spacing w:after="40"/>
      </w:pPr>
    </w:p>
    <w:p>
      <w:pPr/>
      <w:r>
        <w:rPr>
          <w:rFonts w:ascii="Calibri" w:hAnsi="Calibri"/>
          <w:b/>
          <w:color w:val="111827"/>
          <w:sz w:val="20"/>
        </w:rPr>
        <w:t xml:space="preserve">9.1  </w:t>
      </w:r>
      <w:r>
        <w:rPr>
          <w:rFonts w:ascii="Calibri" w:hAnsi="Calibri"/>
          <w:color w:val="111827"/>
          <w:sz w:val="20"/>
        </w:rPr>
        <w:t>The Customer shall at all times:</w:t>
      </w:r>
    </w:p>
    <w:p>
      <w:pPr>
        <w:ind w:left="454"/>
      </w:pPr>
      <w:r>
        <w:rPr>
          <w:rFonts w:ascii="Calibri" w:hAnsi="Calibri"/>
          <w:b/>
          <w:color w:val="111827"/>
          <w:sz w:val="20"/>
        </w:rPr>
        <w:t xml:space="preserve">(a)  </w:t>
      </w:r>
      <w:r>
        <w:rPr>
          <w:rFonts w:ascii="Calibri" w:hAnsi="Calibri"/>
          <w:color w:val="111827"/>
          <w:sz w:val="20"/>
        </w:rPr>
        <w:t>hold a current practising certificate or licence from the SRA or CLC and notify the Supplier immediately if its regulatory status changes;</w:t>
      </w:r>
    </w:p>
    <w:p>
      <w:pPr>
        <w:ind w:left="454"/>
      </w:pPr>
      <w:r>
        <w:rPr>
          <w:rFonts w:ascii="Calibri" w:hAnsi="Calibri"/>
          <w:b/>
          <w:color w:val="111827"/>
          <w:sz w:val="20"/>
        </w:rPr>
        <w:t xml:space="preserve">(b)  </w:t>
      </w:r>
      <w:r>
        <w:rPr>
          <w:rFonts w:ascii="Calibri" w:hAnsi="Calibri"/>
          <w:color w:val="111827"/>
          <w:sz w:val="20"/>
        </w:rPr>
        <w:t>maintain adequate professional indemnity insurance in respect of its conveyancing practice;</w:t>
      </w:r>
    </w:p>
    <w:p>
      <w:pPr>
        <w:ind w:left="454"/>
      </w:pPr>
      <w:r>
        <w:rPr>
          <w:rFonts w:ascii="Calibri" w:hAnsi="Calibri"/>
          <w:b/>
          <w:color w:val="111827"/>
          <w:sz w:val="20"/>
        </w:rPr>
        <w:t xml:space="preserve">(c)  </w:t>
      </w:r>
      <w:r>
        <w:rPr>
          <w:rFonts w:ascii="Calibri" w:hAnsi="Calibri"/>
          <w:color w:val="111827"/>
          <w:sz w:val="20"/>
        </w:rPr>
        <w:t>respond to each Referral within 24 hours of Delivery as required by clause 4.4;</w:t>
      </w:r>
    </w:p>
    <w:p>
      <w:pPr>
        <w:ind w:left="454"/>
      </w:pPr>
      <w:r>
        <w:rPr>
          <w:rFonts w:ascii="Calibri" w:hAnsi="Calibri"/>
          <w:b/>
          <w:color w:val="111827"/>
          <w:sz w:val="20"/>
        </w:rPr>
        <w:t xml:space="preserve">(d)  </w:t>
      </w:r>
      <w:r>
        <w:rPr>
          <w:rFonts w:ascii="Calibri" w:hAnsi="Calibri"/>
          <w:color w:val="111827"/>
          <w:sz w:val="20"/>
        </w:rPr>
        <w:t>deal with prospective clients professionally and in accordance with its regulatory obligations;</w:t>
      </w:r>
    </w:p>
    <w:p>
      <w:pPr>
        <w:ind w:left="454"/>
      </w:pPr>
      <w:r>
        <w:rPr>
          <w:rFonts w:ascii="Calibri" w:hAnsi="Calibri"/>
          <w:b/>
          <w:color w:val="111827"/>
          <w:sz w:val="20"/>
        </w:rPr>
        <w:t xml:space="preserve">(e)  </w:t>
      </w:r>
      <w:r>
        <w:rPr>
          <w:rFonts w:ascii="Calibri" w:hAnsi="Calibri"/>
          <w:color w:val="111827"/>
          <w:sz w:val="20"/>
        </w:rPr>
        <w:t>comply with UK GDPR and the Data Protection Act 2018 in connection with personal data received from the Supplier; and</w:t>
      </w:r>
    </w:p>
    <w:p>
      <w:pPr>
        <w:ind w:left="454"/>
      </w:pPr>
      <w:r>
        <w:rPr>
          <w:rFonts w:ascii="Calibri" w:hAnsi="Calibri"/>
          <w:b/>
          <w:color w:val="111827"/>
          <w:sz w:val="20"/>
        </w:rPr>
        <w:t xml:space="preserve">(f)  </w:t>
      </w:r>
      <w:r>
        <w:rPr>
          <w:rFonts w:ascii="Calibri" w:hAnsi="Calibri"/>
          <w:color w:val="111827"/>
          <w:sz w:val="20"/>
        </w:rPr>
        <w:t>keep its profile information on the Platform current and accurate.</w:t>
      </w:r>
    </w:p>
    <w:p>
      <w:pPr/>
      <w:r>
        <w:rPr>
          <w:rFonts w:ascii="Calibri" w:hAnsi="Calibri"/>
          <w:b/>
          <w:color w:val="111827"/>
          <w:sz w:val="20"/>
        </w:rPr>
        <w:t xml:space="preserve">9.2  </w:t>
      </w:r>
      <w:r>
        <w:rPr>
          <w:rFonts w:ascii="Calibri" w:hAnsi="Calibri"/>
          <w:color w:val="111827"/>
          <w:sz w:val="20"/>
        </w:rPr>
        <w:t>The Customer must not represent itself as affiliated with or endorsed by FindConveyancers, and must not use the Supplier's name or branding without prior written consent.</w:t>
      </w:r>
    </w:p>
    <w:p>
      <w:pPr/>
      <w:r>
        <w:rPr>
          <w:rFonts w:ascii="Calibri" w:hAnsi="Calibri"/>
          <w:b/>
          <w:color w:val="111827"/>
          <w:sz w:val="20"/>
        </w:rPr>
        <w:t xml:space="preserve">9.3  </w:t>
      </w:r>
      <w:r>
        <w:rPr>
          <w:rFonts w:ascii="Calibri" w:hAnsi="Calibri"/>
          <w:color w:val="111827"/>
          <w:sz w:val="20"/>
        </w:rPr>
        <w:t>The Supplier may suspend Delivery and/or remove the Customer's Platform profile if the Customer: (a) ceases to be regulated by the SRA or CLC; (b) is subject to a disciplinary investigation or intervention; (c) accumulates repeated client complaints that the Supplier reasonably considers damaging to the Platform's reputation; or (d) is in material breach of this Agreement.</w:t>
      </w:r>
    </w:p>
    <w:p>
      <w:pPr>
        <w:spacing w:after="40"/>
      </w:pPr>
    </w:p>
    <w:p>
      <w:pPr>
        <w:spacing w:before="280"/>
      </w:pPr>
      <w:r>
        <w:rPr>
          <w:rFonts w:ascii="Calibri" w:hAnsi="Calibri"/>
          <w:b/>
          <w:color w:val="111827"/>
          <w:sz w:val="21"/>
        </w:rPr>
        <w:t>10.  INTELLECTUAL PROPERTY</w:t>
      </w:r>
    </w:p>
    <w:p>
      <w:pPr>
        <w:spacing w:after="40"/>
      </w:pPr>
    </w:p>
    <w:p>
      <w:pPr/>
      <w:r>
        <w:rPr>
          <w:rFonts w:ascii="Calibri" w:hAnsi="Calibri"/>
          <w:b/>
          <w:color w:val="111827"/>
          <w:sz w:val="20"/>
        </w:rPr>
        <w:t xml:space="preserve">10.1  </w:t>
      </w:r>
      <w:r>
        <w:rPr>
          <w:rFonts w:ascii="Calibri" w:hAnsi="Calibri"/>
          <w:color w:val="111827"/>
          <w:sz w:val="20"/>
        </w:rPr>
        <w:t>All intellectual property rights in the Platform, the FindConveyancers brand, and referral sourcing methodology remain the sole property of the Supplier.</w:t>
      </w:r>
    </w:p>
    <w:p>
      <w:pPr/>
      <w:r>
        <w:rPr>
          <w:rFonts w:ascii="Calibri" w:hAnsi="Calibri"/>
          <w:b/>
          <w:color w:val="111827"/>
          <w:sz w:val="20"/>
        </w:rPr>
        <w:t xml:space="preserve">10.2  </w:t>
      </w:r>
      <w:r>
        <w:rPr>
          <w:rFonts w:ascii="Calibri" w:hAnsi="Calibri"/>
          <w:color w:val="111827"/>
          <w:sz w:val="20"/>
        </w:rPr>
        <w:t>The Customer grants the Supplier a non-exclusive, royalty-free licence to display the Customer's name, logo, and profile information on the Platform for the duration of this Agreement.</w:t>
      </w:r>
    </w:p>
    <w:p>
      <w:pPr/>
      <w:r>
        <w:rPr>
          <w:rFonts w:ascii="Calibri" w:hAnsi="Calibri"/>
          <w:b/>
          <w:color w:val="111827"/>
          <w:sz w:val="20"/>
        </w:rPr>
        <w:t xml:space="preserve">10.3  </w:t>
      </w:r>
      <w:r>
        <w:rPr>
          <w:rFonts w:ascii="Calibri" w:hAnsi="Calibri"/>
          <w:color w:val="111827"/>
          <w:sz w:val="20"/>
        </w:rPr>
        <w:t>On termination, the Supplier shall promptly remove the Customer's profile from the Platform and delete the Customer's branding materials.</w:t>
      </w:r>
    </w:p>
    <w:p>
      <w:pPr>
        <w:spacing w:after="40"/>
      </w:pPr>
    </w:p>
    <w:p>
      <w:pPr>
        <w:spacing w:before="280"/>
      </w:pPr>
      <w:r>
        <w:rPr>
          <w:rFonts w:ascii="Calibri" w:hAnsi="Calibri"/>
          <w:b/>
          <w:color w:val="111827"/>
          <w:sz w:val="21"/>
        </w:rPr>
        <w:t>11.  DATA PROTECTION</w:t>
      </w:r>
    </w:p>
    <w:p>
      <w:pPr>
        <w:spacing w:after="40"/>
      </w:pPr>
    </w:p>
    <w:p>
      <w:pPr/>
      <w:r>
        <w:rPr>
          <w:rFonts w:ascii="Calibri" w:hAnsi="Calibri"/>
          <w:b/>
          <w:color w:val="111827"/>
          <w:sz w:val="20"/>
        </w:rPr>
        <w:t xml:space="preserve">11.1  </w:t>
      </w:r>
      <w:r>
        <w:rPr>
          <w:rFonts w:ascii="Calibri" w:hAnsi="Calibri"/>
          <w:color w:val="111827"/>
          <w:sz w:val="20"/>
        </w:rPr>
        <w:t>Each party is an independent data controller in respect of personal data it processes in connection with this Agreement. Neither party acts as data processor for the other.</w:t>
      </w:r>
    </w:p>
    <w:p>
      <w:pPr/>
      <w:r>
        <w:rPr>
          <w:rFonts w:ascii="Calibri" w:hAnsi="Calibri"/>
          <w:b/>
          <w:color w:val="111827"/>
          <w:sz w:val="20"/>
        </w:rPr>
        <w:t xml:space="preserve">11.2  </w:t>
      </w:r>
      <w:r>
        <w:rPr>
          <w:rFonts w:ascii="Calibri" w:hAnsi="Calibri"/>
          <w:color w:val="111827"/>
          <w:sz w:val="20"/>
        </w:rPr>
        <w:t>The Supplier will provide the Customer with the personal data of prospective clients contained in each Referral (name, contact details, property address, transaction details) for the sole purpose of the Customer providing a conveyancing fee quote and, if instructed, delivering conveyancing services. The Customer must not use this data for any other purpose without the individual's consent.</w:t>
      </w:r>
    </w:p>
    <w:p>
      <w:pPr/>
      <w:r>
        <w:rPr>
          <w:rFonts w:ascii="Calibri" w:hAnsi="Calibri"/>
          <w:b/>
          <w:color w:val="111827"/>
          <w:sz w:val="20"/>
        </w:rPr>
        <w:t xml:space="preserve">11.3  </w:t>
      </w:r>
      <w:r>
        <w:rPr>
          <w:rFonts w:ascii="Calibri" w:hAnsi="Calibri"/>
          <w:color w:val="111827"/>
          <w:sz w:val="20"/>
        </w:rPr>
        <w:t>Each party shall comply with UK GDPR and the Data Protection Act 2018. The parties shall execute a data sharing agreement if required.</w:t>
      </w:r>
    </w:p>
    <w:p>
      <w:pPr/>
      <w:r>
        <w:rPr>
          <w:rFonts w:ascii="Calibri" w:hAnsi="Calibri"/>
          <w:b/>
          <w:color w:val="111827"/>
          <w:sz w:val="20"/>
        </w:rPr>
        <w:t xml:space="preserve">11.4  </w:t>
      </w:r>
      <w:r>
        <w:rPr>
          <w:rFonts w:ascii="Calibri" w:hAnsi="Calibri"/>
          <w:color w:val="111827"/>
          <w:sz w:val="20"/>
        </w:rPr>
        <w:t>The Customer warrants that it is registered with the ICO and will notify the Supplier of its registration number on request.</w:t>
      </w:r>
    </w:p>
    <w:p>
      <w:pPr>
        <w:spacing w:after="40"/>
      </w:pPr>
    </w:p>
    <w:p>
      <w:pPr>
        <w:spacing w:before="280"/>
      </w:pPr>
      <w:r>
        <w:rPr>
          <w:rFonts w:ascii="Calibri" w:hAnsi="Calibri"/>
          <w:b/>
          <w:color w:val="111827"/>
          <w:sz w:val="21"/>
        </w:rPr>
        <w:t>12.  LIABILITY</w:t>
      </w:r>
    </w:p>
    <w:p>
      <w:pPr>
        <w:spacing w:after="40"/>
      </w:pPr>
    </w:p>
    <w:p>
      <w:pPr/>
      <w:r>
        <w:rPr>
          <w:rFonts w:ascii="Calibri" w:hAnsi="Calibri"/>
          <w:b/>
          <w:color w:val="111827"/>
          <w:sz w:val="20"/>
        </w:rPr>
        <w:t xml:space="preserve">12.1  </w:t>
      </w:r>
      <w:r>
        <w:rPr>
          <w:rFonts w:ascii="Calibri" w:hAnsi="Calibri"/>
          <w:color w:val="111827"/>
          <w:sz w:val="20"/>
        </w:rPr>
        <w:t>Nothing in this Agreement limits or excludes either party's liability for: (a) death or personal injury caused by negligence; (b) fraud or fraudulent misrepresentation; or (c) any other liability that cannot be excluded by law.</w:t>
      </w:r>
    </w:p>
    <w:p>
      <w:pPr/>
      <w:r>
        <w:rPr>
          <w:rFonts w:ascii="Calibri" w:hAnsi="Calibri"/>
          <w:b/>
          <w:color w:val="111827"/>
          <w:sz w:val="20"/>
        </w:rPr>
        <w:t xml:space="preserve">12.2  </w:t>
      </w:r>
      <w:r>
        <w:rPr>
          <w:rFonts w:ascii="Calibri" w:hAnsi="Calibri"/>
          <w:color w:val="111827"/>
          <w:sz w:val="20"/>
        </w:rPr>
        <w:t>The Supplier is not liable for:</w:t>
      </w:r>
    </w:p>
    <w:p>
      <w:pPr>
        <w:ind w:left="454"/>
      </w:pPr>
      <w:r>
        <w:rPr>
          <w:rFonts w:ascii="Calibri" w:hAnsi="Calibri"/>
          <w:b/>
          <w:color w:val="111827"/>
          <w:sz w:val="20"/>
        </w:rPr>
        <w:t xml:space="preserve">(a)  </w:t>
      </w:r>
      <w:r>
        <w:rPr>
          <w:rFonts w:ascii="Calibri" w:hAnsi="Calibri"/>
          <w:color w:val="111827"/>
          <w:sz w:val="20"/>
        </w:rPr>
        <w:t>the quality or outcome of legal services provided by the Customer to any prospective client;</w:t>
      </w:r>
    </w:p>
    <w:p>
      <w:pPr>
        <w:ind w:left="454"/>
      </w:pPr>
      <w:r>
        <w:rPr>
          <w:rFonts w:ascii="Calibri" w:hAnsi="Calibri"/>
          <w:b/>
          <w:color w:val="111827"/>
          <w:sz w:val="20"/>
        </w:rPr>
        <w:t xml:space="preserve">(b)  </w:t>
      </w:r>
      <w:r>
        <w:rPr>
          <w:rFonts w:ascii="Calibri" w:hAnsi="Calibri"/>
          <w:color w:val="111827"/>
          <w:sz w:val="20"/>
        </w:rPr>
        <w:t>any loss suffered by the Customer arising from a Referral not converting to an instruction;</w:t>
      </w:r>
    </w:p>
    <w:p>
      <w:pPr>
        <w:ind w:left="454"/>
      </w:pPr>
      <w:r>
        <w:rPr>
          <w:rFonts w:ascii="Calibri" w:hAnsi="Calibri"/>
          <w:b/>
          <w:color w:val="111827"/>
          <w:sz w:val="20"/>
        </w:rPr>
        <w:t xml:space="preserve">(c)  </w:t>
      </w:r>
      <w:r>
        <w:rPr>
          <w:rFonts w:ascii="Calibri" w:hAnsi="Calibri"/>
          <w:color w:val="111827"/>
          <w:sz w:val="20"/>
        </w:rPr>
        <w:t>any loss suffered by the Customer arising from a transaction not proceeding to Completion; or</w:t>
      </w:r>
    </w:p>
    <w:p>
      <w:pPr>
        <w:ind w:left="454"/>
      </w:pPr>
      <w:r>
        <w:rPr>
          <w:rFonts w:ascii="Calibri" w:hAnsi="Calibri"/>
          <w:b/>
          <w:color w:val="111827"/>
          <w:sz w:val="20"/>
        </w:rPr>
        <w:t xml:space="preserve">(d)  </w:t>
      </w:r>
      <w:r>
        <w:rPr>
          <w:rFonts w:ascii="Calibri" w:hAnsi="Calibri"/>
          <w:color w:val="111827"/>
          <w:sz w:val="20"/>
        </w:rPr>
        <w:t>any indirect, special or consequential loss of any kind, including loss of profit, loss of business, or loss of anticipated savings.</w:t>
      </w:r>
    </w:p>
    <w:p>
      <w:pPr/>
      <w:r>
        <w:rPr>
          <w:rFonts w:ascii="Calibri" w:hAnsi="Calibri"/>
          <w:b/>
          <w:color w:val="111827"/>
          <w:sz w:val="20"/>
        </w:rPr>
        <w:t xml:space="preserve">12.3  </w:t>
      </w:r>
      <w:r>
        <w:rPr>
          <w:rFonts w:ascii="Calibri" w:hAnsi="Calibri"/>
          <w:color w:val="111827"/>
          <w:sz w:val="20"/>
        </w:rPr>
        <w:t>The Supplier's total aggregate liability to the Customer under or in connection with this Agreement (whether in contract, tort, misrepresentation or otherwise) is limited to the total Prices paid by the Customer to the Supplier in the [3] months preceding the event giving rise to the claim.</w:t>
      </w:r>
    </w:p>
    <w:p>
      <w:pPr/>
      <w:r>
        <w:rPr>
          <w:rFonts w:ascii="Calibri" w:hAnsi="Calibri"/>
          <w:b/>
          <w:color w:val="111827"/>
          <w:sz w:val="20"/>
        </w:rPr>
        <w:t xml:space="preserve">12.4  </w:t>
      </w:r>
      <w:r>
        <w:rPr>
          <w:rFonts w:ascii="Calibri" w:hAnsi="Calibri"/>
          <w:color w:val="111827"/>
          <w:sz w:val="20"/>
        </w:rPr>
        <w:t>The Customer shall indemnify the Supplier against any claims, losses, costs, damages or expenses arising from: (a) the Customer's breach of this Agreement; (b) any professional negligence or misconduct by the Customer; or (c) any breach by the Customer of applicable law or regulatory requirements.</w:t>
      </w:r>
    </w:p>
    <w:p>
      <w:pPr>
        <w:spacing w:after="40"/>
      </w:pPr>
    </w:p>
    <w:p>
      <w:pPr>
        <w:spacing w:before="280"/>
      </w:pPr>
      <w:r>
        <w:rPr>
          <w:rFonts w:ascii="Calibri" w:hAnsi="Calibri"/>
          <w:b/>
          <w:color w:val="111827"/>
          <w:sz w:val="21"/>
        </w:rPr>
        <w:t>13.  TERM AND TERMINATION</w:t>
      </w:r>
    </w:p>
    <w:p>
      <w:pPr>
        <w:spacing w:after="40"/>
      </w:pPr>
    </w:p>
    <w:p>
      <w:pPr/>
      <w:r>
        <w:rPr>
          <w:rFonts w:ascii="Calibri" w:hAnsi="Calibri"/>
          <w:b/>
          <w:color w:val="111827"/>
          <w:sz w:val="20"/>
        </w:rPr>
        <w:t xml:space="preserve">13.1  </w:t>
      </w:r>
      <w:r>
        <w:rPr>
          <w:rFonts w:ascii="Calibri" w:hAnsi="Calibri"/>
          <w:color w:val="111827"/>
          <w:sz w:val="20"/>
        </w:rPr>
        <w:t>This Agreement continues until terminated under this clause.</w:t>
      </w:r>
    </w:p>
    <w:p>
      <w:pPr/>
      <w:r>
        <w:rPr>
          <w:rFonts w:ascii="Calibri" w:hAnsi="Calibri"/>
          <w:b/>
          <w:color w:val="111827"/>
          <w:sz w:val="20"/>
        </w:rPr>
        <w:t xml:space="preserve">13.2  </w:t>
      </w:r>
      <w:r>
        <w:rPr>
          <w:rFonts w:ascii="Calibri" w:hAnsi="Calibri"/>
          <w:color w:val="111827"/>
          <w:sz w:val="20"/>
        </w:rPr>
        <w:t>Either party may terminate this Agreement by giving [30] days' written notice to the other.</w:t>
      </w:r>
    </w:p>
    <w:p>
      <w:pPr/>
      <w:r>
        <w:rPr>
          <w:rFonts w:ascii="Calibri" w:hAnsi="Calibri"/>
          <w:b/>
          <w:color w:val="111827"/>
          <w:sz w:val="20"/>
        </w:rPr>
        <w:t xml:space="preserve">13.3  </w:t>
      </w:r>
      <w:r>
        <w:rPr>
          <w:rFonts w:ascii="Calibri" w:hAnsi="Calibri"/>
          <w:color w:val="111827"/>
          <w:sz w:val="20"/>
        </w:rPr>
        <w:t>Either party may terminate this Agreement immediately by written notice if the other party:</w:t>
      </w:r>
    </w:p>
    <w:p>
      <w:pPr>
        <w:ind w:left="454"/>
      </w:pPr>
      <w:r>
        <w:rPr>
          <w:rFonts w:ascii="Calibri" w:hAnsi="Calibri"/>
          <w:b/>
          <w:color w:val="111827"/>
          <w:sz w:val="20"/>
        </w:rPr>
        <w:t xml:space="preserve">(a)  </w:t>
      </w:r>
      <w:r>
        <w:rPr>
          <w:rFonts w:ascii="Calibri" w:hAnsi="Calibri"/>
          <w:color w:val="111827"/>
          <w:sz w:val="20"/>
        </w:rPr>
        <w:t>commits a material breach which (if capable of remedy) it fails to remedy within [14] days of written notice specifying the breach;</w:t>
      </w:r>
    </w:p>
    <w:p>
      <w:pPr>
        <w:ind w:left="454"/>
      </w:pPr>
      <w:r>
        <w:rPr>
          <w:rFonts w:ascii="Calibri" w:hAnsi="Calibri"/>
          <w:b/>
          <w:color w:val="111827"/>
          <w:sz w:val="20"/>
        </w:rPr>
        <w:t xml:space="preserve">(b)  </w:t>
      </w:r>
      <w:r>
        <w:rPr>
          <w:rFonts w:ascii="Calibri" w:hAnsi="Calibri"/>
          <w:color w:val="111827"/>
          <w:sz w:val="20"/>
        </w:rPr>
        <w:t>becomes insolvent, is unable to pay its debts as they fall due, enters administration or bankruptcy, or ceases to trade; or</w:t>
      </w:r>
    </w:p>
    <w:p>
      <w:pPr>
        <w:ind w:left="454"/>
      </w:pPr>
      <w:r>
        <w:rPr>
          <w:rFonts w:ascii="Calibri" w:hAnsi="Calibri"/>
          <w:b/>
          <w:color w:val="111827"/>
          <w:sz w:val="20"/>
        </w:rPr>
        <w:t xml:space="preserve">(c)  </w:t>
      </w:r>
      <w:r>
        <w:rPr>
          <w:rFonts w:ascii="Calibri" w:hAnsi="Calibri"/>
          <w:color w:val="111827"/>
          <w:sz w:val="20"/>
        </w:rPr>
        <w:t>in the case of the Customer, loses its SRA or CLC authorisation.</w:t>
      </w:r>
    </w:p>
    <w:p>
      <w:pPr/>
      <w:r>
        <w:rPr>
          <w:rFonts w:ascii="Calibri" w:hAnsi="Calibri"/>
          <w:b/>
          <w:color w:val="111827"/>
          <w:sz w:val="20"/>
        </w:rPr>
        <w:t xml:space="preserve">13.4  </w:t>
      </w:r>
      <w:r>
        <w:rPr>
          <w:rFonts w:ascii="Calibri" w:hAnsi="Calibri"/>
          <w:color w:val="111827"/>
          <w:sz w:val="20"/>
        </w:rPr>
        <w:t>On termination:</w:t>
      </w:r>
    </w:p>
    <w:p>
      <w:pPr>
        <w:ind w:left="454"/>
      </w:pPr>
      <w:r>
        <w:rPr>
          <w:rFonts w:ascii="Calibri" w:hAnsi="Calibri"/>
          <w:b/>
          <w:color w:val="111827"/>
          <w:sz w:val="20"/>
        </w:rPr>
        <w:t xml:space="preserve">(a)  </w:t>
      </w:r>
      <w:r>
        <w:rPr>
          <w:rFonts w:ascii="Calibri" w:hAnsi="Calibri"/>
          <w:color w:val="111827"/>
          <w:sz w:val="20"/>
        </w:rPr>
        <w:t>all outstanding Referral Fees or Completion Fees for Referrals delivered before the termination date remain due and payable;</w:t>
      </w:r>
    </w:p>
    <w:p>
      <w:pPr>
        <w:ind w:left="454"/>
      </w:pPr>
      <w:r>
        <w:rPr>
          <w:rFonts w:ascii="Calibri" w:hAnsi="Calibri"/>
          <w:b/>
          <w:color w:val="111827"/>
          <w:sz w:val="20"/>
        </w:rPr>
        <w:t xml:space="preserve">(b)  </w:t>
      </w:r>
      <w:r>
        <w:rPr>
          <w:rFonts w:ascii="Calibri" w:hAnsi="Calibri"/>
          <w:color w:val="111827"/>
          <w:sz w:val="20"/>
        </w:rPr>
        <w:t>the Customer's Platform profile will be removed;</w:t>
      </w:r>
    </w:p>
    <w:p>
      <w:pPr>
        <w:ind w:left="454"/>
      </w:pPr>
      <w:r>
        <w:rPr>
          <w:rFonts w:ascii="Calibri" w:hAnsi="Calibri"/>
          <w:b/>
          <w:color w:val="111827"/>
          <w:sz w:val="20"/>
        </w:rPr>
        <w:t xml:space="preserve">(c)  </w:t>
      </w:r>
      <w:r>
        <w:rPr>
          <w:rFonts w:ascii="Calibri" w:hAnsi="Calibri"/>
          <w:color w:val="111827"/>
          <w:sz w:val="20"/>
        </w:rPr>
        <w:t>each party shall return or destroy the other's confidential information on request; and</w:t>
      </w:r>
    </w:p>
    <w:p>
      <w:pPr>
        <w:ind w:left="454"/>
      </w:pPr>
      <w:r>
        <w:rPr>
          <w:rFonts w:ascii="Calibri" w:hAnsi="Calibri"/>
          <w:b/>
          <w:color w:val="111827"/>
          <w:sz w:val="20"/>
        </w:rPr>
        <w:t xml:space="preserve">(d)  </w:t>
      </w:r>
      <w:r>
        <w:rPr>
          <w:rFonts w:ascii="Calibri" w:hAnsi="Calibri"/>
          <w:color w:val="111827"/>
          <w:sz w:val="20"/>
        </w:rPr>
        <w:t>clauses 7 (to the extent fees are outstanding), 11, 12, 14 and 15 survive termination.</w:t>
      </w:r>
    </w:p>
    <w:p>
      <w:pPr>
        <w:spacing w:after="40"/>
      </w:pPr>
    </w:p>
    <w:p>
      <w:pPr>
        <w:spacing w:before="280"/>
      </w:pPr>
      <w:r>
        <w:rPr>
          <w:rFonts w:ascii="Calibri" w:hAnsi="Calibri"/>
          <w:b/>
          <w:color w:val="111827"/>
          <w:sz w:val="21"/>
        </w:rPr>
        <w:t>14.  CONFIDENTIALITY</w:t>
      </w:r>
    </w:p>
    <w:p>
      <w:pPr>
        <w:spacing w:after="40"/>
      </w:pPr>
    </w:p>
    <w:p>
      <w:pPr/>
      <w:r>
        <w:rPr>
          <w:rFonts w:ascii="Calibri" w:hAnsi="Calibri"/>
          <w:b/>
          <w:color w:val="111827"/>
          <w:sz w:val="20"/>
        </w:rPr>
        <w:t xml:space="preserve">14.1  </w:t>
      </w:r>
      <w:r>
        <w:rPr>
          <w:rFonts w:ascii="Calibri" w:hAnsi="Calibri"/>
          <w:color w:val="111827"/>
          <w:sz w:val="20"/>
        </w:rPr>
        <w:t>Each party shall keep confidential the other party's Prices, commercial terms, business plans, Platform algorithms, and any other information that is marked confidential or that a reasonable person would regard as confidential.</w:t>
      </w:r>
    </w:p>
    <w:p>
      <w:pPr/>
      <w:r>
        <w:rPr>
          <w:rFonts w:ascii="Calibri" w:hAnsi="Calibri"/>
          <w:b/>
          <w:color w:val="111827"/>
          <w:sz w:val="20"/>
        </w:rPr>
        <w:t xml:space="preserve">14.2  </w:t>
      </w:r>
      <w:r>
        <w:rPr>
          <w:rFonts w:ascii="Calibri" w:hAnsi="Calibri"/>
          <w:color w:val="111827"/>
          <w:sz w:val="20"/>
        </w:rPr>
        <w:t>The confidentiality obligation does not apply to information that: (a) is or becomes publicly available other than through breach of this clause; (b) was already known to the receiving party; or (c) is required to be disclosed by law or a regulatory authority.</w:t>
      </w:r>
    </w:p>
    <w:p>
      <w:pPr/>
      <w:r>
        <w:rPr>
          <w:rFonts w:ascii="Calibri" w:hAnsi="Calibri"/>
          <w:b/>
          <w:color w:val="111827"/>
          <w:sz w:val="20"/>
        </w:rPr>
        <w:t xml:space="preserve">14.3  </w:t>
      </w:r>
      <w:r>
        <w:rPr>
          <w:rFonts w:ascii="Calibri" w:hAnsi="Calibri"/>
          <w:color w:val="111827"/>
          <w:sz w:val="20"/>
        </w:rPr>
        <w:t>This clause 14 survives termination for [3] years.</w:t>
      </w:r>
    </w:p>
    <w:p>
      <w:pPr>
        <w:spacing w:after="40"/>
      </w:pPr>
    </w:p>
    <w:p>
      <w:pPr>
        <w:spacing w:before="280"/>
      </w:pPr>
      <w:r>
        <w:rPr>
          <w:rFonts w:ascii="Calibri" w:hAnsi="Calibri"/>
          <w:b/>
          <w:color w:val="111827"/>
          <w:sz w:val="21"/>
        </w:rPr>
        <w:t>15.  GENERAL</w:t>
      </w:r>
    </w:p>
    <w:p>
      <w:pPr>
        <w:spacing w:after="40"/>
      </w:pPr>
    </w:p>
    <w:p>
      <w:pPr/>
      <w:r>
        <w:rPr>
          <w:rFonts w:ascii="Calibri" w:hAnsi="Calibri"/>
          <w:b/>
          <w:color w:val="111827"/>
          <w:sz w:val="20"/>
        </w:rPr>
        <w:t xml:space="preserve">15.1  </w:t>
      </w:r>
      <w:r>
        <w:rPr>
          <w:rFonts w:ascii="Calibri" w:hAnsi="Calibri"/>
          <w:color w:val="111827"/>
          <w:sz w:val="20"/>
        </w:rPr>
        <w:t>Governing law and jurisdiction.  This Agreement and any dispute arising out of it are governed by the law of England and Wales. The parties submit to the exclusive jurisdiction of the courts of England and Wales.</w:t>
      </w:r>
    </w:p>
    <w:p>
      <w:pPr/>
      <w:r>
        <w:rPr>
          <w:rFonts w:ascii="Calibri" w:hAnsi="Calibri"/>
          <w:b/>
          <w:color w:val="111827"/>
          <w:sz w:val="20"/>
        </w:rPr>
        <w:t xml:space="preserve">15.2  </w:t>
      </w:r>
      <w:r>
        <w:rPr>
          <w:rFonts w:ascii="Calibri" w:hAnsi="Calibri"/>
          <w:color w:val="111827"/>
          <w:sz w:val="20"/>
        </w:rPr>
        <w:t>Entire agreement.  This Agreement (including the Schedules) constitutes the entire agreement between the parties relating to the sale and purchase of Referrals and supersedes all prior representations, agreements and understandings. Each party acknowledges it has not relied on any representation not set out in this Agreement.</w:t>
      </w:r>
    </w:p>
    <w:p>
      <w:pPr/>
      <w:r>
        <w:rPr>
          <w:rFonts w:ascii="Calibri" w:hAnsi="Calibri"/>
          <w:b/>
          <w:color w:val="111827"/>
          <w:sz w:val="20"/>
        </w:rPr>
        <w:t xml:space="preserve">15.3  </w:t>
      </w:r>
      <w:r>
        <w:rPr>
          <w:rFonts w:ascii="Calibri" w:hAnsi="Calibri"/>
          <w:color w:val="111827"/>
          <w:sz w:val="20"/>
        </w:rPr>
        <w:t>Variation.  Except as provided in clause 8, any variation to this Agreement must be agreed in writing and signed by authorised representatives of both parties.</w:t>
      </w:r>
    </w:p>
    <w:p>
      <w:pPr/>
      <w:r>
        <w:rPr>
          <w:rFonts w:ascii="Calibri" w:hAnsi="Calibri"/>
          <w:b/>
          <w:color w:val="111827"/>
          <w:sz w:val="20"/>
        </w:rPr>
        <w:t xml:space="preserve">15.4  </w:t>
      </w:r>
      <w:r>
        <w:rPr>
          <w:rFonts w:ascii="Calibri" w:hAnsi="Calibri"/>
          <w:color w:val="111827"/>
          <w:sz w:val="20"/>
        </w:rPr>
        <w:t>Assignment.  The Customer may not assign or transfer its rights or obligations under this Agreement without the Supplier's prior written consent. The Supplier may assign its rights to any successor entity on written notice to the Customer.</w:t>
      </w:r>
    </w:p>
    <w:p>
      <w:pPr/>
      <w:r>
        <w:rPr>
          <w:rFonts w:ascii="Calibri" w:hAnsi="Calibri"/>
          <w:b/>
          <w:color w:val="111827"/>
          <w:sz w:val="20"/>
        </w:rPr>
        <w:t xml:space="preserve">15.5  </w:t>
      </w:r>
      <w:r>
        <w:rPr>
          <w:rFonts w:ascii="Calibri" w:hAnsi="Calibri"/>
          <w:color w:val="111827"/>
          <w:sz w:val="20"/>
        </w:rPr>
        <w:t>Severance.  If any provision of this Agreement is found invalid or unenforceable, it shall be deemed deleted and the remaining provisions shall continue in full force.</w:t>
      </w:r>
    </w:p>
    <w:p>
      <w:pPr/>
      <w:r>
        <w:rPr>
          <w:rFonts w:ascii="Calibri" w:hAnsi="Calibri"/>
          <w:b/>
          <w:color w:val="111827"/>
          <w:sz w:val="20"/>
        </w:rPr>
        <w:t xml:space="preserve">15.6  </w:t>
      </w:r>
      <w:r>
        <w:rPr>
          <w:rFonts w:ascii="Calibri" w:hAnsi="Calibri"/>
          <w:color w:val="111827"/>
          <w:sz w:val="20"/>
        </w:rPr>
        <w:t>Waiver.  Failure to exercise or delay in exercising any right does not constitute a waiver of that right.</w:t>
      </w:r>
    </w:p>
    <w:p>
      <w:pPr/>
      <w:r>
        <w:rPr>
          <w:rFonts w:ascii="Calibri" w:hAnsi="Calibri"/>
          <w:b/>
          <w:color w:val="111827"/>
          <w:sz w:val="20"/>
        </w:rPr>
        <w:t xml:space="preserve">15.7  </w:t>
      </w:r>
      <w:r>
        <w:rPr>
          <w:rFonts w:ascii="Calibri" w:hAnsi="Calibri"/>
          <w:color w:val="111827"/>
          <w:sz w:val="20"/>
        </w:rPr>
        <w:t>Notices.  Notices must be in writing and delivered by email (with read receipt) or first-class post to the addresses on the cover page. Email notices are deemed received on the next Business Day after sending.</w:t>
      </w:r>
    </w:p>
    <w:p>
      <w:pPr/>
      <w:r>
        <w:rPr>
          <w:rFonts w:ascii="Calibri" w:hAnsi="Calibri"/>
          <w:b/>
          <w:color w:val="111827"/>
          <w:sz w:val="20"/>
        </w:rPr>
        <w:t xml:space="preserve">15.8  </w:t>
      </w:r>
      <w:r>
        <w:rPr>
          <w:rFonts w:ascii="Calibri" w:hAnsi="Calibri"/>
          <w:color w:val="111827"/>
          <w:sz w:val="20"/>
        </w:rPr>
        <w:t>Force majeure.  Neither party shall be liable for any failure or delay caused by circumstances beyond its reasonable control, provided it notifies the other as soon as practicable. If a force majeure event continues for more than [30] days, either party may terminate this Agreement on written notice.</w:t>
      </w:r>
    </w:p>
    <w:p>
      <w:pPr/>
      <w:r>
        <w:rPr>
          <w:rFonts w:ascii="Calibri" w:hAnsi="Calibri"/>
          <w:b/>
          <w:color w:val="111827"/>
          <w:sz w:val="20"/>
        </w:rPr>
        <w:t xml:space="preserve">15.9  </w:t>
      </w:r>
      <w:r>
        <w:rPr>
          <w:rFonts w:ascii="Calibri" w:hAnsi="Calibri"/>
          <w:color w:val="111827"/>
          <w:sz w:val="20"/>
        </w:rPr>
        <w:t>Third parties.  Nothing in this Agreement creates rights enforceable by any third party under the Contracts (Rights of Third Parties) Act 1999.</w:t>
      </w:r>
    </w:p>
    <w:p>
      <w:pPr/>
      <w:r>
        <w:rPr>
          <w:rFonts w:ascii="Calibri" w:hAnsi="Calibri"/>
          <w:b/>
          <w:color w:val="111827"/>
          <w:sz w:val="20"/>
        </w:rPr>
        <w:t xml:space="preserve">15.10  </w:t>
      </w:r>
      <w:r>
        <w:rPr>
          <w:rFonts w:ascii="Calibri" w:hAnsi="Calibri"/>
          <w:color w:val="111827"/>
          <w:sz w:val="20"/>
        </w:rPr>
        <w:t>Counterparts.  This Agreement may be executed in counterparts. Electronic signatures are valid.</w:t>
      </w:r>
    </w:p>
    <w:p>
      <w:pPr>
        <w:spacing w:after="40"/>
      </w:pPr>
    </w:p>
    <w:p>
      <w:pPr>
        <w:pStyle w:val="Heading2"/>
      </w:pPr>
      <w:r>
        <w:t>Execution</w:t>
      </w:r>
    </w:p>
    <w:p>
      <w:pPr>
        <w:spacing w:after="40"/>
      </w:pPr>
    </w:p>
    <w:p>
      <w:pPr/>
      <w:r>
        <w:rPr>
          <w:rFonts w:ascii="Calibri" w:hAnsi="Calibri"/>
          <w:color w:val="111827"/>
          <w:sz w:val="20"/>
        </w:rPr>
        <w:t>This Agreement is entered into on the date stated on the cover page.</w:t>
      </w:r>
    </w:p>
    <w:p>
      <w:pPr>
        <w:spacing w:after="40"/>
      </w:pPr>
    </w:p>
    <w:p>
      <w:pPr>
        <w:spacing w:after="40"/>
      </w:pPr>
    </w:p>
    <w:p>
      <w:pPr>
        <w:spacing w:after="40"/>
      </w:pPr>
    </w:p>
    <w:p>
      <w:pPr>
        <w:pStyle w:val="Heading1"/>
        <w:pBdr>
          <w:bottom w:val="single" w:sz="4" w:space="1" w:color="2563EB"/>
        </w:pBdr>
      </w:pPr>
      <w:r>
        <w:t>Schedule 1 — Pricing and Commercial Terms</w:t>
      </w:r>
    </w:p>
    <w:p>
      <w:pPr>
        <w:spacing w:after="40"/>
      </w:pPr>
    </w:p>
    <w:p>
      <w:pPr>
        <w:pStyle w:val="Heading2"/>
      </w:pPr>
      <w:r>
        <w:t>1.  Pricing Model</w:t>
      </w:r>
    </w:p>
    <w:p>
      <w:pPr/>
      <w:r>
        <w:rPr>
          <w:rFonts w:ascii="Calibri" w:hAnsi="Calibri"/>
          <w:color w:val="111827"/>
          <w:sz w:val="20"/>
        </w:rPr>
        <w:t>This Agreement operates on a Pay-Per-Completion basis. No fee is payable on Delivery of a Referral. The Completion Fee in section 2 below is due only upon verified Completion of the transaction described in the Referral. The Supplier bears the conversion and fall-through risk in full.</w:t>
      </w:r>
    </w:p>
    <w:p>
      <w:pPr>
        <w:spacing w:after="40"/>
      </w:pPr>
    </w:p>
    <w:p>
      <w:pPr>
        <w:pStyle w:val="Heading2"/>
      </w:pPr>
      <w:r>
        <w:t>2.  Agreed Prices</w:t>
      </w:r>
    </w:p>
    <w:p>
      <w:pPr>
        <w:spacing w:after="40"/>
      </w:pPr>
    </w:p>
    <w:p>
      <w:pPr>
        <w:spacing w:after="40"/>
      </w:pPr>
    </w:p>
    <w:p>
      <w:pPr>
        <w:pStyle w:val="Heading2"/>
      </w:pPr>
      <w:r>
        <w:t>3.  Geographic Area and Referral Preferences</w:t>
      </w:r>
    </w:p>
    <w:p>
      <w:pPr>
        <w:spacing w:after="40"/>
      </w:pPr>
    </w:p>
    <w:p>
      <w:pPr>
        <w:spacing w:after="40"/>
      </w:pPr>
    </w:p>
    <w:p>
      <w:pPr>
        <w:pStyle w:val="Heading2"/>
      </w:pPr>
      <w:r>
        <w:t>4.  Customer Details</w:t>
      </w:r>
    </w:p>
    <w:p>
      <w:pPr>
        <w:spacing w:after="40"/>
      </w:pPr>
    </w:p>
    <w:p>
      <w:pPr>
        <w:spacing w:after="40"/>
      </w:pPr>
    </w:p>
    <w:p>
      <w:pPr>
        <w:pStyle w:val="Heading1"/>
        <w:pBdr>
          <w:bottom w:val="single" w:sz="4" w:space="1" w:color="2563EB"/>
        </w:pBdr>
      </w:pPr>
      <w:r>
        <w:t>Schedule 2 — Referral Specification</w:t>
      </w:r>
    </w:p>
    <w:p>
      <w:pPr>
        <w:spacing w:after="40"/>
      </w:pPr>
    </w:p>
    <w:p>
      <w:pPr/>
      <w:r>
        <w:rPr>
          <w:rFonts w:ascii="Calibri" w:hAnsi="Calibri"/>
          <w:color w:val="111827"/>
          <w:sz w:val="20"/>
        </w:rPr>
        <w:t>Each Referral delivered under this Agreement shall contain the following data fields. A Referral that omits any mandatory field, or contains demonstrably inaccurate contact data, may be rejected under clause 6.4.</w:t>
      </w:r>
    </w:p>
    <w:p>
      <w:pPr>
        <w:spacing w:after="40"/>
      </w:pPr>
    </w:p>
    <w:p>
      <w:pPr>
        <w:spacing w:after="40"/>
      </w:pPr>
    </w:p>
    <w:p>
      <w:pPr>
        <w:spacing w:after="40"/>
      </w:pPr>
    </w:p>
    <w:p>
      <w:pPr>
        <w:spacing w:after="40"/>
      </w:pPr>
    </w:p>
    <w:p>
      <w:pPr/>
      <w:r>
        <w:rPr>
          <w:rFonts w:ascii="Calibri" w:hAnsi="Calibri"/>
          <w:i/>
          <w:color w:val="111827"/>
          <w:sz w:val="20"/>
        </w:rPr>
        <w:t>This document is a working draft. All fees, fields, and bracketed items must be confirmed before execution. Legal review is strongly recommended before signature.</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bottom w:val="single" w:sz="4" w:space="1" w:color="E5E7EB"/>
      </w:pBdr>
      <w:jc w:val="center"/>
    </w:pPr>
    <w:r>
      <w:rPr>
        <w:rFonts w:ascii="Calibri" w:hAnsi="Calibri"/>
        <w:color w:val="6B7280"/>
        <w:sz w:val="16"/>
      </w:rPr>
      <w:t>FindConveyancers  ·  findconveyancers.co.uk  ·  Operated by Corre Connections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563EB"/>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563E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