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34AC" w14:textId="77777777" w:rsidR="00BD2F37" w:rsidRPr="00BD2F37" w:rsidRDefault="00BD2F37" w:rsidP="004B19AB">
      <w:pPr>
        <w:jc w:val="center"/>
        <w:rPr>
          <w:rFonts w:ascii="Palatino Linotype" w:hAnsi="Palatino Linotype"/>
          <w:b/>
          <w:u w:val="single"/>
        </w:rPr>
      </w:pPr>
      <w:r w:rsidRPr="00BD2F37">
        <w:rPr>
          <w:rFonts w:ascii="Palatino Linotype" w:hAnsi="Palatino Linotype"/>
          <w:b/>
          <w:u w:val="single"/>
        </w:rPr>
        <w:t>WEEK 1</w:t>
      </w:r>
    </w:p>
    <w:p w14:paraId="3021571A" w14:textId="77777777" w:rsidR="00BD2F37" w:rsidRDefault="00BD2F37" w:rsidP="004B19AB">
      <w:pPr>
        <w:jc w:val="center"/>
        <w:rPr>
          <w:rFonts w:ascii="Palatino Linotype" w:hAnsi="Palatino Linotype"/>
          <w:b/>
        </w:rPr>
      </w:pPr>
    </w:p>
    <w:p w14:paraId="1B4C1F28" w14:textId="5226A8AA" w:rsidR="001B7FB8" w:rsidRPr="00E37A11" w:rsidRDefault="00AD795A" w:rsidP="004B19AB">
      <w:pPr>
        <w:jc w:val="center"/>
        <w:rPr>
          <w:rFonts w:ascii="Palatino Linotype" w:hAnsi="Palatino Linotype"/>
          <w:b/>
        </w:rPr>
      </w:pPr>
      <w:r w:rsidRPr="00E37A11">
        <w:rPr>
          <w:rFonts w:ascii="Palatino Linotype" w:hAnsi="Palatino Linotype"/>
          <w:b/>
        </w:rPr>
        <w:t>INTRODUCTION</w:t>
      </w:r>
      <w:r w:rsidR="002665FD">
        <w:rPr>
          <w:rFonts w:ascii="Palatino Linotype" w:hAnsi="Palatino Linotype"/>
          <w:b/>
        </w:rPr>
        <w:t xml:space="preserve">, </w:t>
      </w:r>
      <w:r w:rsidRPr="00E37A11">
        <w:rPr>
          <w:rFonts w:ascii="Palatino Linotype" w:hAnsi="Palatino Linotype"/>
          <w:b/>
        </w:rPr>
        <w:t>THEORETICAL FOUNDATIONS</w:t>
      </w:r>
      <w:r w:rsidR="002665FD">
        <w:rPr>
          <w:rFonts w:ascii="Palatino Linotype" w:hAnsi="Palatino Linotype"/>
          <w:b/>
        </w:rPr>
        <w:t xml:space="preserve"> AND CRITIQUE</w:t>
      </w:r>
      <w:r w:rsidRPr="00E37A11">
        <w:rPr>
          <w:rFonts w:ascii="Palatino Linotype" w:hAnsi="Palatino Linotype"/>
          <w:b/>
        </w:rPr>
        <w:t xml:space="preserve"> OF TORT</w:t>
      </w:r>
    </w:p>
    <w:p w14:paraId="113FC951" w14:textId="77777777" w:rsidR="00110959" w:rsidRDefault="00110959" w:rsidP="00E37A11">
      <w:pPr>
        <w:jc w:val="both"/>
        <w:rPr>
          <w:rFonts w:ascii="Palatino Linotype" w:hAnsi="Palatino Linotype" w:cs="Palatino Linotype"/>
        </w:rPr>
      </w:pPr>
    </w:p>
    <w:p w14:paraId="31F02C6C" w14:textId="35A20C2F" w:rsidR="00317AD0" w:rsidRDefault="00110959" w:rsidP="00E37A11">
      <w:p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There are two basic </w:t>
      </w:r>
      <w:r w:rsidR="00ED08EC">
        <w:rPr>
          <w:rFonts w:ascii="Palatino Linotype" w:hAnsi="Palatino Linotype" w:cs="Palatino Linotype"/>
        </w:rPr>
        <w:t>questions</w:t>
      </w:r>
      <w:r>
        <w:rPr>
          <w:rFonts w:ascii="Palatino Linotype" w:hAnsi="Palatino Linotype" w:cs="Palatino Linotype"/>
        </w:rPr>
        <w:t xml:space="preserve"> covered in the readings. The first </w:t>
      </w:r>
      <w:r w:rsidR="00ED08EC">
        <w:rPr>
          <w:rFonts w:ascii="Palatino Linotype" w:hAnsi="Palatino Linotype" w:cs="Palatino Linotype"/>
        </w:rPr>
        <w:t>question is</w:t>
      </w:r>
      <w:r>
        <w:rPr>
          <w:rFonts w:ascii="Palatino Linotype" w:hAnsi="Palatino Linotype" w:cs="Palatino Linotype"/>
        </w:rPr>
        <w:t xml:space="preserve">: ‘what is the purpose of tort law?’. </w:t>
      </w:r>
      <w:r w:rsidR="00760332">
        <w:rPr>
          <w:rFonts w:ascii="Palatino Linotype" w:hAnsi="Palatino Linotype" w:cs="Palatino Linotype"/>
        </w:rPr>
        <w:t>This is covered in the reading from H&amp;R</w:t>
      </w:r>
      <w:r w:rsidR="00712790">
        <w:rPr>
          <w:rFonts w:ascii="Palatino Linotype" w:hAnsi="Palatino Linotype" w:cs="Palatino Linotype"/>
        </w:rPr>
        <w:t xml:space="preserve"> (and </w:t>
      </w:r>
      <w:r w:rsidR="00760332">
        <w:rPr>
          <w:rFonts w:ascii="Palatino Linotype" w:hAnsi="Palatino Linotype" w:cs="Palatino Linotype"/>
        </w:rPr>
        <w:t xml:space="preserve">the chapters from Robert Stevens’ book, and the </w:t>
      </w:r>
      <w:r w:rsidR="00760332" w:rsidRPr="00760332">
        <w:rPr>
          <w:rFonts w:ascii="Palatino Linotype" w:hAnsi="Palatino Linotype" w:cs="Palatino Linotype"/>
        </w:rPr>
        <w:t>Stanford Encyclopedia of Philosophy</w:t>
      </w:r>
      <w:r w:rsidR="00760332">
        <w:rPr>
          <w:rFonts w:ascii="Palatino Linotype" w:hAnsi="Palatino Linotype" w:cs="Palatino Linotype"/>
        </w:rPr>
        <w:t xml:space="preserve"> reading</w:t>
      </w:r>
      <w:r w:rsidR="00712790">
        <w:rPr>
          <w:rFonts w:ascii="Palatino Linotype" w:hAnsi="Palatino Linotype" w:cs="Palatino Linotype"/>
        </w:rPr>
        <w:t>)</w:t>
      </w:r>
      <w:r w:rsidR="00760332">
        <w:rPr>
          <w:rFonts w:ascii="Palatino Linotype" w:hAnsi="Palatino Linotype" w:cs="Palatino Linotype"/>
        </w:rPr>
        <w:t>.</w:t>
      </w:r>
      <w:r w:rsidR="00760332" w:rsidRPr="00760332">
        <w:rPr>
          <w:rFonts w:ascii="Palatino Linotype" w:hAnsi="Palatino Linotype" w:cs="Palatino Linotype"/>
        </w:rPr>
        <w:t xml:space="preserve"> </w:t>
      </w:r>
      <w:r w:rsidR="00317AD0">
        <w:rPr>
          <w:rFonts w:ascii="Palatino Linotype" w:hAnsi="Palatino Linotype" w:cs="Palatino Linotype"/>
        </w:rPr>
        <w:t xml:space="preserve">The </w:t>
      </w:r>
      <w:r w:rsidR="008C38B6">
        <w:rPr>
          <w:rFonts w:ascii="Palatino Linotype" w:hAnsi="Palatino Linotype" w:cs="Palatino Linotype"/>
        </w:rPr>
        <w:t>point</w:t>
      </w:r>
      <w:r w:rsidR="00317AD0">
        <w:rPr>
          <w:rFonts w:ascii="Palatino Linotype" w:hAnsi="Palatino Linotype" w:cs="Palatino Linotype"/>
        </w:rPr>
        <w:t xml:space="preserve"> of these readings is to </w:t>
      </w:r>
      <w:r w:rsidR="008C38B6">
        <w:rPr>
          <w:rFonts w:ascii="Palatino Linotype" w:hAnsi="Palatino Linotype" w:cs="Palatino Linotype"/>
        </w:rPr>
        <w:t>enrich</w:t>
      </w:r>
      <w:r w:rsidR="00317AD0">
        <w:rPr>
          <w:rFonts w:ascii="Palatino Linotype" w:hAnsi="Palatino Linotype" w:cs="Palatino Linotype"/>
        </w:rPr>
        <w:t xml:space="preserve"> your understanding of the way the disparate bits of tort law might be linked together by a common purpose. Each of the theories</w:t>
      </w:r>
      <w:r w:rsidR="00760332">
        <w:rPr>
          <w:rFonts w:ascii="Palatino Linotype" w:hAnsi="Palatino Linotype" w:cs="Palatino Linotype"/>
        </w:rPr>
        <w:t xml:space="preserve"> you will encounter</w:t>
      </w:r>
      <w:r w:rsidR="00317AD0">
        <w:rPr>
          <w:rFonts w:ascii="Palatino Linotype" w:hAnsi="Palatino Linotype" w:cs="Palatino Linotype"/>
        </w:rPr>
        <w:t xml:space="preserve"> claim</w:t>
      </w:r>
      <w:r w:rsidR="00501DC6">
        <w:rPr>
          <w:rFonts w:ascii="Palatino Linotype" w:hAnsi="Palatino Linotype" w:cs="Palatino Linotype"/>
        </w:rPr>
        <w:t>s</w:t>
      </w:r>
      <w:r w:rsidR="00317AD0">
        <w:rPr>
          <w:rFonts w:ascii="Palatino Linotype" w:hAnsi="Palatino Linotype" w:cs="Palatino Linotype"/>
        </w:rPr>
        <w:t xml:space="preserve"> to fit with</w:t>
      </w:r>
      <w:r w:rsidR="007B6FCA">
        <w:rPr>
          <w:rFonts w:ascii="Palatino Linotype" w:hAnsi="Palatino Linotype" w:cs="Palatino Linotype"/>
        </w:rPr>
        <w:t>,</w:t>
      </w:r>
      <w:r w:rsidR="00317AD0">
        <w:rPr>
          <w:rFonts w:ascii="Palatino Linotype" w:hAnsi="Palatino Linotype" w:cs="Palatino Linotype"/>
        </w:rPr>
        <w:t xml:space="preserve"> and justify</w:t>
      </w:r>
      <w:r w:rsidR="007B6FCA">
        <w:rPr>
          <w:rFonts w:ascii="Palatino Linotype" w:hAnsi="Palatino Linotype" w:cs="Palatino Linotype"/>
        </w:rPr>
        <w:t xml:space="preserve">, </w:t>
      </w:r>
      <w:r w:rsidR="00317AD0">
        <w:rPr>
          <w:rFonts w:ascii="Palatino Linotype" w:hAnsi="Palatino Linotype" w:cs="Palatino Linotype"/>
        </w:rPr>
        <w:t xml:space="preserve">the practice of tort law. </w:t>
      </w:r>
      <w:r w:rsidR="00760332">
        <w:rPr>
          <w:rFonts w:ascii="Palatino Linotype" w:hAnsi="Palatino Linotype" w:cs="Palatino Linotype"/>
        </w:rPr>
        <w:t>Moreover,</w:t>
      </w:r>
      <w:r w:rsidR="00CA0CF2">
        <w:rPr>
          <w:rFonts w:ascii="Palatino Linotype" w:hAnsi="Palatino Linotype" w:cs="Palatino Linotype"/>
        </w:rPr>
        <w:t xml:space="preserve"> </w:t>
      </w:r>
      <w:r w:rsidR="00760332">
        <w:rPr>
          <w:rFonts w:ascii="Palatino Linotype" w:hAnsi="Palatino Linotype" w:cs="Palatino Linotype"/>
        </w:rPr>
        <w:t xml:space="preserve">without understanding what purpose </w:t>
      </w:r>
      <w:r w:rsidR="004D1FEC">
        <w:rPr>
          <w:rFonts w:ascii="Palatino Linotype" w:hAnsi="Palatino Linotype" w:cs="Palatino Linotype"/>
        </w:rPr>
        <w:t>something</w:t>
      </w:r>
      <w:r w:rsidR="00760332">
        <w:rPr>
          <w:rFonts w:ascii="Palatino Linotype" w:hAnsi="Palatino Linotype" w:cs="Palatino Linotype"/>
        </w:rPr>
        <w:t xml:space="preserve"> serves</w:t>
      </w:r>
      <w:r w:rsidR="004C3714">
        <w:rPr>
          <w:rFonts w:ascii="Palatino Linotype" w:hAnsi="Palatino Linotype" w:cs="Palatino Linotype"/>
        </w:rPr>
        <w:t xml:space="preserve"> </w:t>
      </w:r>
      <w:r w:rsidR="00C328C7">
        <w:rPr>
          <w:rFonts w:ascii="Palatino Linotype" w:hAnsi="Palatino Linotype" w:cs="Palatino Linotype"/>
        </w:rPr>
        <w:t>—</w:t>
      </w:r>
      <w:r w:rsidR="004C3714">
        <w:rPr>
          <w:rFonts w:ascii="Palatino Linotype" w:hAnsi="Palatino Linotype" w:cs="Palatino Linotype"/>
        </w:rPr>
        <w:t xml:space="preserve"> </w:t>
      </w:r>
      <w:r w:rsidR="00760332">
        <w:rPr>
          <w:rFonts w:ascii="Palatino Linotype" w:hAnsi="Palatino Linotype" w:cs="Palatino Linotype"/>
        </w:rPr>
        <w:t>what its ‘job’ is</w:t>
      </w:r>
      <w:r w:rsidR="004C3714">
        <w:rPr>
          <w:rFonts w:ascii="Palatino Linotype" w:hAnsi="Palatino Linotype" w:cs="Palatino Linotype"/>
        </w:rPr>
        <w:t xml:space="preserve"> </w:t>
      </w:r>
      <w:r w:rsidR="00C328C7">
        <w:rPr>
          <w:rFonts w:ascii="Palatino Linotype" w:hAnsi="Palatino Linotype" w:cs="Palatino Linotype"/>
        </w:rPr>
        <w:t>—</w:t>
      </w:r>
      <w:r w:rsidR="004C3714">
        <w:rPr>
          <w:rFonts w:ascii="Palatino Linotype" w:hAnsi="Palatino Linotype" w:cs="Palatino Linotype"/>
        </w:rPr>
        <w:t xml:space="preserve"> </w:t>
      </w:r>
      <w:r w:rsidR="00760332">
        <w:rPr>
          <w:rFonts w:ascii="Palatino Linotype" w:hAnsi="Palatino Linotype" w:cs="Palatino Linotype"/>
        </w:rPr>
        <w:t xml:space="preserve">we cannot say much about whether it is any good. Understanding the various purposes tort law serves will also allow you to analyse critically whether </w:t>
      </w:r>
      <w:r w:rsidR="00CA0CF2">
        <w:rPr>
          <w:rFonts w:ascii="Palatino Linotype" w:hAnsi="Palatino Linotype" w:cs="Palatino Linotype"/>
        </w:rPr>
        <w:t>it</w:t>
      </w:r>
      <w:r w:rsidR="00760332">
        <w:rPr>
          <w:rFonts w:ascii="Palatino Linotype" w:hAnsi="Palatino Linotype" w:cs="Palatino Linotype"/>
        </w:rPr>
        <w:t xml:space="preserve"> is any good</w:t>
      </w:r>
      <w:r w:rsidR="00CA0CF2">
        <w:rPr>
          <w:rFonts w:ascii="Palatino Linotype" w:hAnsi="Palatino Linotype" w:cs="Palatino Linotype"/>
        </w:rPr>
        <w:t xml:space="preserve"> at its job</w:t>
      </w:r>
      <w:r w:rsidR="00760332">
        <w:rPr>
          <w:rFonts w:ascii="Palatino Linotype" w:hAnsi="Palatino Linotype" w:cs="Palatino Linotype"/>
        </w:rPr>
        <w:t xml:space="preserve">. </w:t>
      </w:r>
    </w:p>
    <w:p w14:paraId="60DDCC7E" w14:textId="77777777" w:rsidR="00CA0CF2" w:rsidRDefault="00CA0CF2" w:rsidP="00E37A11">
      <w:pPr>
        <w:jc w:val="both"/>
        <w:rPr>
          <w:rFonts w:ascii="Palatino Linotype" w:hAnsi="Palatino Linotype" w:cs="Palatino Linotype"/>
        </w:rPr>
      </w:pPr>
    </w:p>
    <w:p w14:paraId="4FE0ECCB" w14:textId="16B8556F" w:rsidR="00351365" w:rsidRDefault="004C3714" w:rsidP="00E37A11">
      <w:pPr>
        <w:jc w:val="both"/>
        <w:rPr>
          <w:rFonts w:ascii="Palatino Linotype" w:hAnsi="Palatino Linotype" w:cs="Palatino Linotype"/>
          <w:color w:val="000000" w:themeColor="text1"/>
        </w:rPr>
      </w:pPr>
      <w:r>
        <w:rPr>
          <w:rFonts w:ascii="Palatino Linotype" w:hAnsi="Palatino Linotype" w:cs="Palatino Linotype"/>
        </w:rPr>
        <w:t>That brings us to</w:t>
      </w:r>
      <w:r w:rsidR="00CA0CF2">
        <w:rPr>
          <w:rFonts w:ascii="Palatino Linotype" w:hAnsi="Palatino Linotype" w:cs="Palatino Linotype"/>
        </w:rPr>
        <w:t xml:space="preserve"> the second </w:t>
      </w:r>
      <w:r w:rsidR="00ED08EC">
        <w:rPr>
          <w:rFonts w:ascii="Palatino Linotype" w:hAnsi="Palatino Linotype" w:cs="Palatino Linotype"/>
        </w:rPr>
        <w:t>question</w:t>
      </w:r>
      <w:r w:rsidR="00CA0CF2">
        <w:rPr>
          <w:rFonts w:ascii="Palatino Linotype" w:hAnsi="Palatino Linotype" w:cs="Palatino Linotype"/>
        </w:rPr>
        <w:t xml:space="preserve">: </w:t>
      </w:r>
      <w:r w:rsidR="00ED08EC">
        <w:rPr>
          <w:rFonts w:ascii="Palatino Linotype" w:hAnsi="Palatino Linotype" w:cs="Palatino Linotype"/>
        </w:rPr>
        <w:t>‘</w:t>
      </w:r>
      <w:r w:rsidR="00CA0CF2">
        <w:rPr>
          <w:rFonts w:ascii="Palatino Linotype" w:hAnsi="Palatino Linotype" w:cs="Palatino Linotype"/>
        </w:rPr>
        <w:t>is tort law any good at its job?</w:t>
      </w:r>
      <w:r w:rsidR="00E03E05">
        <w:rPr>
          <w:rFonts w:ascii="Palatino Linotype" w:hAnsi="Palatino Linotype" w:cs="Palatino Linotype"/>
        </w:rPr>
        <w:t>’.</w:t>
      </w:r>
      <w:r w:rsidR="00CA0CF2">
        <w:rPr>
          <w:rFonts w:ascii="Palatino Linotype" w:hAnsi="Palatino Linotype" w:cs="Palatino Linotype"/>
        </w:rPr>
        <w:t xml:space="preserve"> This </w:t>
      </w:r>
      <w:r w:rsidR="006C64CF">
        <w:rPr>
          <w:rFonts w:ascii="Palatino Linotype" w:hAnsi="Palatino Linotype" w:cs="Palatino Linotype"/>
        </w:rPr>
        <w:t>question</w:t>
      </w:r>
      <w:r w:rsidR="00CA0CF2">
        <w:rPr>
          <w:rFonts w:ascii="Palatino Linotype" w:hAnsi="Palatino Linotype" w:cs="Palatino Linotype"/>
        </w:rPr>
        <w:t xml:space="preserve"> is addressed </w:t>
      </w:r>
      <w:r w:rsidR="00C23045">
        <w:rPr>
          <w:rFonts w:ascii="Palatino Linotype" w:hAnsi="Palatino Linotype" w:cs="Palatino Linotype"/>
        </w:rPr>
        <w:t xml:space="preserve">in </w:t>
      </w:r>
      <w:r w:rsidR="00CA0CF2">
        <w:rPr>
          <w:rFonts w:ascii="Palatino Linotype" w:hAnsi="Palatino Linotype" w:cs="Palatino Linotype"/>
          <w:color w:val="000000" w:themeColor="text1"/>
        </w:rPr>
        <w:t>Lord Sumption’s speech</w:t>
      </w:r>
      <w:r w:rsidR="00C23045">
        <w:rPr>
          <w:rFonts w:ascii="Palatino Linotype" w:hAnsi="Palatino Linotype" w:cs="Palatino Linotype"/>
          <w:color w:val="000000" w:themeColor="text1"/>
        </w:rPr>
        <w:t xml:space="preserve"> </w:t>
      </w:r>
      <w:r w:rsidR="00712790">
        <w:rPr>
          <w:rFonts w:ascii="Palatino Linotype" w:hAnsi="Palatino Linotype" w:cs="Palatino Linotype"/>
          <w:color w:val="000000" w:themeColor="text1"/>
        </w:rPr>
        <w:t>(</w:t>
      </w:r>
      <w:r w:rsidR="00C23045">
        <w:rPr>
          <w:rFonts w:ascii="Palatino Linotype" w:hAnsi="Palatino Linotype" w:cs="Palatino Linotype"/>
          <w:color w:val="000000" w:themeColor="text1"/>
        </w:rPr>
        <w:t xml:space="preserve">and </w:t>
      </w:r>
      <w:r w:rsidR="00C23045">
        <w:rPr>
          <w:rFonts w:ascii="Palatino Linotype" w:hAnsi="Palatino Linotype" w:cs="Palatino Linotype"/>
        </w:rPr>
        <w:t xml:space="preserve">in the </w:t>
      </w:r>
      <w:r w:rsidR="00C23045" w:rsidRPr="00CA0CF2">
        <w:rPr>
          <w:rFonts w:ascii="Palatino Linotype" w:hAnsi="Palatino Linotype" w:cs="Palatino Linotype"/>
          <w:color w:val="000000" w:themeColor="text1"/>
        </w:rPr>
        <w:t xml:space="preserve">Winfield and </w:t>
      </w:r>
      <w:proofErr w:type="spellStart"/>
      <w:r w:rsidR="00C23045" w:rsidRPr="00CA0CF2">
        <w:rPr>
          <w:rFonts w:ascii="Palatino Linotype" w:hAnsi="Palatino Linotype" w:cs="Palatino Linotype"/>
          <w:color w:val="000000" w:themeColor="text1"/>
        </w:rPr>
        <w:t>Jolowicz</w:t>
      </w:r>
      <w:proofErr w:type="spellEnd"/>
      <w:r w:rsidR="00DB5C3B">
        <w:rPr>
          <w:rFonts w:ascii="Palatino Linotype" w:hAnsi="Palatino Linotype" w:cs="Palatino Linotype"/>
          <w:color w:val="000000" w:themeColor="text1"/>
        </w:rPr>
        <w:t xml:space="preserve"> reading</w:t>
      </w:r>
      <w:r w:rsidR="00712790">
        <w:rPr>
          <w:rFonts w:ascii="Palatino Linotype" w:hAnsi="Palatino Linotype" w:cs="Palatino Linotype"/>
          <w:color w:val="000000" w:themeColor="text1"/>
        </w:rPr>
        <w:t>)</w:t>
      </w:r>
      <w:r w:rsidR="00CA0CF2">
        <w:rPr>
          <w:rFonts w:ascii="Palatino Linotype" w:hAnsi="Palatino Linotype" w:cs="Palatino Linotype"/>
          <w:color w:val="000000" w:themeColor="text1"/>
        </w:rPr>
        <w:t xml:space="preserve">. </w:t>
      </w:r>
      <w:r w:rsidR="00D36E40">
        <w:rPr>
          <w:rFonts w:ascii="Palatino Linotype" w:hAnsi="Palatino Linotype" w:cs="Palatino Linotype"/>
          <w:color w:val="000000" w:themeColor="text1"/>
        </w:rPr>
        <w:t>You will encounter many criticisms of tort law in these readings, but the most</w:t>
      </w:r>
      <w:r w:rsidR="00807FBA">
        <w:rPr>
          <w:rFonts w:ascii="Palatino Linotype" w:hAnsi="Palatino Linotype" w:cs="Palatino Linotype"/>
          <w:color w:val="000000" w:themeColor="text1"/>
        </w:rPr>
        <w:t xml:space="preserve"> fundamental </w:t>
      </w:r>
      <w:r w:rsidR="00D36E40">
        <w:rPr>
          <w:rFonts w:ascii="Palatino Linotype" w:hAnsi="Palatino Linotype" w:cs="Palatino Linotype"/>
          <w:color w:val="000000" w:themeColor="text1"/>
        </w:rPr>
        <w:t xml:space="preserve">of these </w:t>
      </w:r>
      <w:r w:rsidR="00807FBA">
        <w:rPr>
          <w:rFonts w:ascii="Palatino Linotype" w:hAnsi="Palatino Linotype" w:cs="Palatino Linotype"/>
          <w:color w:val="000000" w:themeColor="text1"/>
        </w:rPr>
        <w:t>can be summed up very simply: it</w:t>
      </w:r>
      <w:r w:rsidR="003E0BFB">
        <w:rPr>
          <w:rFonts w:ascii="Palatino Linotype" w:hAnsi="Palatino Linotype" w:cs="Palatino Linotype"/>
          <w:color w:val="000000" w:themeColor="text1"/>
        </w:rPr>
        <w:t>’</w:t>
      </w:r>
      <w:r w:rsidR="00807FBA">
        <w:rPr>
          <w:rFonts w:ascii="Palatino Linotype" w:hAnsi="Palatino Linotype" w:cs="Palatino Linotype"/>
          <w:color w:val="000000" w:themeColor="text1"/>
        </w:rPr>
        <w:t xml:space="preserve">s not fair </w:t>
      </w:r>
      <w:r w:rsidR="003E0BFB">
        <w:rPr>
          <w:rFonts w:ascii="Palatino Linotype" w:hAnsi="Palatino Linotype" w:cs="Palatino Linotype"/>
          <w:color w:val="000000" w:themeColor="text1"/>
        </w:rPr>
        <w:t xml:space="preserve">that </w:t>
      </w:r>
      <w:r w:rsidR="00800D10">
        <w:rPr>
          <w:rFonts w:ascii="Palatino Linotype" w:hAnsi="Palatino Linotype" w:cs="Palatino Linotype"/>
          <w:color w:val="000000" w:themeColor="text1"/>
        </w:rPr>
        <w:t>people who suffer accidents that are caused by someone else get rich, while those</w:t>
      </w:r>
      <w:r w:rsidR="003E0BFB">
        <w:rPr>
          <w:rFonts w:ascii="Palatino Linotype" w:hAnsi="Palatino Linotype" w:cs="Palatino Linotype"/>
          <w:color w:val="000000" w:themeColor="text1"/>
        </w:rPr>
        <w:t xml:space="preserve"> who suffer accidents </w:t>
      </w:r>
      <w:r w:rsidR="00800D10">
        <w:rPr>
          <w:rFonts w:ascii="Palatino Linotype" w:hAnsi="Palatino Linotype" w:cs="Palatino Linotype"/>
          <w:color w:val="000000" w:themeColor="text1"/>
        </w:rPr>
        <w:t xml:space="preserve">that are </w:t>
      </w:r>
      <w:r w:rsidR="003E0BFB">
        <w:rPr>
          <w:rFonts w:ascii="Palatino Linotype" w:hAnsi="Palatino Linotype" w:cs="Palatino Linotype"/>
          <w:color w:val="000000" w:themeColor="text1"/>
        </w:rPr>
        <w:t xml:space="preserve">not caused by someone else get next to </w:t>
      </w:r>
      <w:r w:rsidR="00F873E1">
        <w:rPr>
          <w:rFonts w:ascii="Palatino Linotype" w:hAnsi="Palatino Linotype" w:cs="Palatino Linotype"/>
          <w:color w:val="000000" w:themeColor="text1"/>
        </w:rPr>
        <w:t>nothing</w:t>
      </w:r>
      <w:r w:rsidR="003E0BFB">
        <w:rPr>
          <w:rFonts w:ascii="Palatino Linotype" w:hAnsi="Palatino Linotype" w:cs="Palatino Linotype"/>
          <w:color w:val="000000" w:themeColor="text1"/>
        </w:rPr>
        <w:t>.</w:t>
      </w:r>
      <w:r w:rsidR="00004FEA">
        <w:rPr>
          <w:rFonts w:ascii="Palatino Linotype" w:hAnsi="Palatino Linotype" w:cs="Palatino Linotype"/>
          <w:color w:val="000000" w:themeColor="text1"/>
        </w:rPr>
        <w:t xml:space="preserve"> </w:t>
      </w:r>
      <w:r w:rsidR="00E04950">
        <w:rPr>
          <w:rFonts w:ascii="Palatino Linotype" w:hAnsi="Palatino Linotype" w:cs="Palatino Linotype"/>
          <w:color w:val="000000" w:themeColor="text1"/>
        </w:rPr>
        <w:t xml:space="preserve">When you are doing these readings, </w:t>
      </w:r>
      <w:r w:rsidR="00396866">
        <w:rPr>
          <w:rFonts w:ascii="Palatino Linotype" w:hAnsi="Palatino Linotype" w:cs="Palatino Linotype"/>
          <w:color w:val="000000" w:themeColor="text1"/>
        </w:rPr>
        <w:t>write</w:t>
      </w:r>
      <w:r w:rsidR="00E04950">
        <w:rPr>
          <w:rFonts w:ascii="Palatino Linotype" w:hAnsi="Palatino Linotype" w:cs="Palatino Linotype"/>
          <w:color w:val="000000" w:themeColor="text1"/>
        </w:rPr>
        <w:t xml:space="preserve"> down a list of the criticisms of tort law and think about how you might respond to them if you were </w:t>
      </w:r>
      <w:r w:rsidR="001B7842">
        <w:rPr>
          <w:rFonts w:ascii="Palatino Linotype" w:hAnsi="Palatino Linotype" w:cs="Palatino Linotype"/>
          <w:color w:val="000000" w:themeColor="text1"/>
        </w:rPr>
        <w:t>try</w:t>
      </w:r>
      <w:r w:rsidR="00B23A3C">
        <w:rPr>
          <w:rFonts w:ascii="Palatino Linotype" w:hAnsi="Palatino Linotype" w:cs="Palatino Linotype"/>
          <w:color w:val="000000" w:themeColor="text1"/>
        </w:rPr>
        <w:t>ing</w:t>
      </w:r>
      <w:r w:rsidR="00E04950">
        <w:rPr>
          <w:rFonts w:ascii="Palatino Linotype" w:hAnsi="Palatino Linotype" w:cs="Palatino Linotype"/>
          <w:color w:val="000000" w:themeColor="text1"/>
        </w:rPr>
        <w:t xml:space="preserve"> to defend tort law. </w:t>
      </w:r>
      <w:r w:rsidR="00B034E1">
        <w:rPr>
          <w:rFonts w:ascii="Palatino Linotype" w:hAnsi="Palatino Linotype" w:cs="Palatino Linotype"/>
          <w:color w:val="000000" w:themeColor="text1"/>
        </w:rPr>
        <w:t xml:space="preserve">The readings will also </w:t>
      </w:r>
      <w:r w:rsidR="00515CF2">
        <w:rPr>
          <w:rFonts w:ascii="Palatino Linotype" w:hAnsi="Palatino Linotype" w:cs="Palatino Linotype"/>
          <w:color w:val="000000" w:themeColor="text1"/>
        </w:rPr>
        <w:t>show that</w:t>
      </w:r>
      <w:r w:rsidR="00B034E1">
        <w:rPr>
          <w:rFonts w:ascii="Palatino Linotype" w:hAnsi="Palatino Linotype" w:cs="Palatino Linotype"/>
          <w:color w:val="000000" w:themeColor="text1"/>
        </w:rPr>
        <w:t xml:space="preserve"> </w:t>
      </w:r>
      <w:r w:rsidR="00351365">
        <w:rPr>
          <w:rFonts w:ascii="Palatino Linotype" w:hAnsi="Palatino Linotype" w:cs="Palatino Linotype"/>
          <w:color w:val="000000" w:themeColor="text1"/>
        </w:rPr>
        <w:t xml:space="preserve">the </w:t>
      </w:r>
      <w:r w:rsidR="00E04950">
        <w:rPr>
          <w:rFonts w:ascii="Palatino Linotype" w:hAnsi="Palatino Linotype" w:cs="Palatino Linotype"/>
          <w:color w:val="000000" w:themeColor="text1"/>
        </w:rPr>
        <w:t xml:space="preserve">existence of English tort law as we know it is historically contingent </w:t>
      </w:r>
      <w:r w:rsidR="00861014">
        <w:rPr>
          <w:rFonts w:ascii="Palatino Linotype" w:hAnsi="Palatino Linotype" w:cs="Palatino Linotype"/>
          <w:color w:val="000000" w:themeColor="text1"/>
        </w:rPr>
        <w:t>—</w:t>
      </w:r>
      <w:r w:rsidR="00E04950">
        <w:rPr>
          <w:rFonts w:ascii="Palatino Linotype" w:hAnsi="Palatino Linotype" w:cs="Palatino Linotype"/>
          <w:color w:val="000000" w:themeColor="text1"/>
        </w:rPr>
        <w:t xml:space="preserve"> there are lots of different systems which </w:t>
      </w:r>
      <w:r w:rsidR="00B034E1">
        <w:rPr>
          <w:rFonts w:ascii="Palatino Linotype" w:hAnsi="Palatino Linotype" w:cs="Palatino Linotype"/>
          <w:color w:val="000000" w:themeColor="text1"/>
        </w:rPr>
        <w:t xml:space="preserve">could </w:t>
      </w:r>
      <w:r w:rsidR="00E04950">
        <w:rPr>
          <w:rFonts w:ascii="Palatino Linotype" w:hAnsi="Palatino Linotype" w:cs="Palatino Linotype"/>
          <w:color w:val="000000" w:themeColor="text1"/>
        </w:rPr>
        <w:t>exist</w:t>
      </w:r>
      <w:r w:rsidR="00B034E1">
        <w:rPr>
          <w:rFonts w:ascii="Palatino Linotype" w:hAnsi="Palatino Linotype" w:cs="Palatino Linotype"/>
          <w:color w:val="000000" w:themeColor="text1"/>
        </w:rPr>
        <w:t>,</w:t>
      </w:r>
      <w:r w:rsidR="00E04950">
        <w:rPr>
          <w:rFonts w:ascii="Palatino Linotype" w:hAnsi="Palatino Linotype" w:cs="Palatino Linotype"/>
          <w:color w:val="000000" w:themeColor="text1"/>
        </w:rPr>
        <w:t xml:space="preserve"> represent</w:t>
      </w:r>
      <w:r w:rsidR="00B034E1">
        <w:rPr>
          <w:rFonts w:ascii="Palatino Linotype" w:hAnsi="Palatino Linotype" w:cs="Palatino Linotype"/>
          <w:color w:val="000000" w:themeColor="text1"/>
        </w:rPr>
        <w:t>ing</w:t>
      </w:r>
      <w:r w:rsidR="00E04950">
        <w:rPr>
          <w:rFonts w:ascii="Palatino Linotype" w:hAnsi="Palatino Linotype" w:cs="Palatino Linotype"/>
          <w:color w:val="000000" w:themeColor="text1"/>
        </w:rPr>
        <w:t xml:space="preserve"> different ways that the state might rationally respond to the basic moral imperatives underlying tort law. </w:t>
      </w:r>
      <w:r w:rsidR="00FE6637">
        <w:rPr>
          <w:rFonts w:ascii="Palatino Linotype" w:hAnsi="Palatino Linotype" w:cs="Palatino Linotype"/>
          <w:color w:val="000000" w:themeColor="text1"/>
        </w:rPr>
        <w:t xml:space="preserve">Have a think about whether it is </w:t>
      </w:r>
      <w:r w:rsidR="00FE6637" w:rsidRPr="00E37A11">
        <w:rPr>
          <w:rFonts w:ascii="Palatino Linotype" w:hAnsi="Palatino Linotype" w:cs="Palatino Linotype"/>
          <w:i/>
          <w:iCs/>
        </w:rPr>
        <w:t>morally</w:t>
      </w:r>
      <w:r w:rsidR="00FE6637" w:rsidRPr="00E37A11">
        <w:rPr>
          <w:rFonts w:ascii="Palatino Linotype" w:hAnsi="Palatino Linotype" w:cs="Palatino Linotype"/>
        </w:rPr>
        <w:t xml:space="preserve"> necessary </w:t>
      </w:r>
      <w:r w:rsidR="00FE6637">
        <w:rPr>
          <w:rFonts w:ascii="Palatino Linotype" w:hAnsi="Palatino Linotype" w:cs="Palatino Linotype"/>
        </w:rPr>
        <w:t xml:space="preserve">for a state </w:t>
      </w:r>
      <w:r w:rsidR="00FE6637" w:rsidRPr="00E37A11">
        <w:rPr>
          <w:rFonts w:ascii="Palatino Linotype" w:hAnsi="Palatino Linotype" w:cs="Palatino Linotype"/>
        </w:rPr>
        <w:t xml:space="preserve">to provide at least some of the rules that make up what we call </w:t>
      </w:r>
      <w:r w:rsidR="00FE6637">
        <w:rPr>
          <w:rFonts w:ascii="Palatino Linotype" w:hAnsi="Palatino Linotype" w:cs="Palatino Linotype"/>
        </w:rPr>
        <w:t>t</w:t>
      </w:r>
      <w:r w:rsidR="00FE6637" w:rsidRPr="00E37A11">
        <w:rPr>
          <w:rFonts w:ascii="Palatino Linotype" w:hAnsi="Palatino Linotype" w:cs="Palatino Linotype"/>
        </w:rPr>
        <w:t xml:space="preserve">ort </w:t>
      </w:r>
      <w:r w:rsidR="00FE6637">
        <w:rPr>
          <w:rFonts w:ascii="Palatino Linotype" w:hAnsi="Palatino Linotype" w:cs="Palatino Linotype"/>
        </w:rPr>
        <w:t>l</w:t>
      </w:r>
      <w:r w:rsidR="00FE6637" w:rsidRPr="00E37A11">
        <w:rPr>
          <w:rFonts w:ascii="Palatino Linotype" w:hAnsi="Palatino Linotype" w:cs="Palatino Linotype"/>
        </w:rPr>
        <w:t>aw</w:t>
      </w:r>
      <w:r w:rsidR="00515CF2">
        <w:rPr>
          <w:rFonts w:ascii="Palatino Linotype" w:hAnsi="Palatino Linotype" w:cs="Palatino Linotype"/>
        </w:rPr>
        <w:t xml:space="preserve">. </w:t>
      </w:r>
    </w:p>
    <w:p w14:paraId="643CF21A" w14:textId="77777777" w:rsidR="00D10FED" w:rsidRPr="00E37A11" w:rsidRDefault="00D10FED" w:rsidP="00E37A11">
      <w:pPr>
        <w:jc w:val="both"/>
        <w:rPr>
          <w:rFonts w:ascii="Palatino Linotype" w:hAnsi="Palatino Linotype" w:cs="Palatino Linotype"/>
          <w:color w:val="FF0000"/>
        </w:rPr>
      </w:pPr>
    </w:p>
    <w:p w14:paraId="597CD0AE" w14:textId="5881BA38" w:rsidR="00A00151" w:rsidRPr="00E37A11" w:rsidRDefault="00A00151" w:rsidP="000F68BE">
      <w:pPr>
        <w:rPr>
          <w:rFonts w:ascii="Palatino Linotype" w:hAnsi="Palatino Linotype" w:cs="Palatino Linotype"/>
          <w:b/>
          <w:bCs/>
          <w:color w:val="000000" w:themeColor="text1"/>
        </w:rPr>
      </w:pPr>
      <w:r w:rsidRPr="00E37A11">
        <w:rPr>
          <w:rFonts w:ascii="Palatino Linotype" w:hAnsi="Palatino Linotype" w:cs="Palatino Linotype"/>
          <w:b/>
          <w:bCs/>
          <w:color w:val="000000" w:themeColor="text1"/>
        </w:rPr>
        <w:t>Textbook</w:t>
      </w:r>
      <w:r w:rsidR="003F0733" w:rsidRPr="00E37A11">
        <w:rPr>
          <w:rFonts w:ascii="Palatino Linotype" w:hAnsi="Palatino Linotype" w:cs="Palatino Linotype"/>
          <w:b/>
          <w:bCs/>
          <w:color w:val="000000" w:themeColor="text1"/>
        </w:rPr>
        <w:t>s</w:t>
      </w:r>
    </w:p>
    <w:p w14:paraId="72E1B0E3" w14:textId="7A95F7D8" w:rsidR="006937DE" w:rsidRDefault="00A00151" w:rsidP="000F68BE">
      <w:pPr>
        <w:rPr>
          <w:rFonts w:ascii="Palatino Linotype" w:hAnsi="Palatino Linotype" w:cs="Palatino Linotype"/>
          <w:b/>
          <w:bCs/>
          <w:color w:val="0070C0"/>
        </w:rPr>
      </w:pPr>
      <w:r w:rsidRPr="00E37A11">
        <w:rPr>
          <w:rFonts w:ascii="Palatino Linotype" w:hAnsi="Palatino Linotype" w:cs="Palatino Linotype"/>
          <w:b/>
          <w:bCs/>
          <w:color w:val="0070C0"/>
        </w:rPr>
        <w:t>*</w:t>
      </w:r>
      <w:r w:rsidR="002429D5">
        <w:rPr>
          <w:rFonts w:ascii="Palatino Linotype" w:hAnsi="Palatino Linotype" w:cs="Palatino Linotype"/>
          <w:b/>
          <w:bCs/>
          <w:color w:val="0070C0"/>
        </w:rPr>
        <w:t xml:space="preserve">Horsey and Rackley, </w:t>
      </w:r>
      <w:r w:rsidR="002429D5">
        <w:rPr>
          <w:rFonts w:ascii="Palatino Linotype" w:hAnsi="Palatino Linotype" w:cs="Palatino Linotype"/>
          <w:b/>
          <w:bCs/>
          <w:i/>
          <w:iCs/>
          <w:color w:val="0070C0"/>
        </w:rPr>
        <w:t xml:space="preserve">Tort Law </w:t>
      </w:r>
      <w:r w:rsidR="002429D5">
        <w:rPr>
          <w:rFonts w:ascii="Palatino Linotype" w:hAnsi="Palatino Linotype" w:cs="Palatino Linotype"/>
          <w:b/>
          <w:bCs/>
          <w:color w:val="0070C0"/>
        </w:rPr>
        <w:t>(8</w:t>
      </w:r>
      <w:r w:rsidR="002429D5" w:rsidRPr="002429D5">
        <w:rPr>
          <w:rFonts w:ascii="Palatino Linotype" w:hAnsi="Palatino Linotype" w:cs="Palatino Linotype"/>
          <w:b/>
          <w:bCs/>
          <w:color w:val="0070C0"/>
          <w:vertAlign w:val="superscript"/>
        </w:rPr>
        <w:t>th</w:t>
      </w:r>
      <w:r w:rsidR="002429D5">
        <w:rPr>
          <w:rFonts w:ascii="Palatino Linotype" w:hAnsi="Palatino Linotype" w:cs="Palatino Linotype"/>
          <w:b/>
          <w:bCs/>
          <w:color w:val="0070C0"/>
        </w:rPr>
        <w:t xml:space="preserve"> </w:t>
      </w:r>
      <w:proofErr w:type="spellStart"/>
      <w:r w:rsidR="002429D5">
        <w:rPr>
          <w:rFonts w:ascii="Palatino Linotype" w:hAnsi="Palatino Linotype" w:cs="Palatino Linotype"/>
          <w:b/>
          <w:bCs/>
          <w:color w:val="0070C0"/>
        </w:rPr>
        <w:t>edn</w:t>
      </w:r>
      <w:proofErr w:type="spellEnd"/>
      <w:r w:rsidR="002429D5">
        <w:rPr>
          <w:rFonts w:ascii="Palatino Linotype" w:hAnsi="Palatino Linotype" w:cs="Palatino Linotype"/>
          <w:b/>
          <w:bCs/>
          <w:color w:val="0070C0"/>
        </w:rPr>
        <w:t>, 2023, OUP) (‘</w:t>
      </w:r>
      <w:r w:rsidRPr="00E37A11">
        <w:rPr>
          <w:rFonts w:ascii="Palatino Linotype" w:hAnsi="Palatino Linotype" w:cs="Palatino Linotype"/>
          <w:b/>
          <w:bCs/>
          <w:color w:val="0070C0"/>
        </w:rPr>
        <w:t>H&amp;R</w:t>
      </w:r>
      <w:r w:rsidR="002429D5">
        <w:rPr>
          <w:rFonts w:ascii="Palatino Linotype" w:hAnsi="Palatino Linotype" w:cs="Palatino Linotype"/>
          <w:b/>
          <w:bCs/>
          <w:color w:val="0070C0"/>
        </w:rPr>
        <w:t>’)</w:t>
      </w:r>
      <w:r w:rsidRPr="00E37A11">
        <w:rPr>
          <w:rFonts w:ascii="Palatino Linotype" w:hAnsi="Palatino Linotype" w:cs="Palatino Linotype"/>
          <w:b/>
          <w:bCs/>
          <w:color w:val="0070C0"/>
        </w:rPr>
        <w:t xml:space="preserve">, Ch.1 – Introduction </w:t>
      </w:r>
    </w:p>
    <w:p w14:paraId="22F2057A" w14:textId="0376FEC9" w:rsidR="006937DE" w:rsidRDefault="006937DE" w:rsidP="000F68BE">
      <w:pPr>
        <w:rPr>
          <w:rFonts w:ascii="Palatino Linotype" w:hAnsi="Palatino Linotype" w:cs="Palatino Linotype"/>
          <w:b/>
          <w:bCs/>
          <w:color w:val="0070C0"/>
        </w:rPr>
      </w:pPr>
      <w:r w:rsidRPr="00744FF4">
        <w:rPr>
          <w:rFonts w:ascii="Palatino Linotype" w:hAnsi="Palatino Linotype" w:cs="Palatino Linotype"/>
          <w:color w:val="000000" w:themeColor="text1"/>
        </w:rPr>
        <w:t xml:space="preserve">J </w:t>
      </w:r>
      <w:proofErr w:type="spellStart"/>
      <w:r w:rsidRPr="00744FF4">
        <w:rPr>
          <w:rFonts w:ascii="Palatino Linotype" w:hAnsi="Palatino Linotype" w:cs="Palatino Linotype"/>
          <w:color w:val="000000" w:themeColor="text1"/>
        </w:rPr>
        <w:t>Goudkamp</w:t>
      </w:r>
      <w:proofErr w:type="spellEnd"/>
      <w:r w:rsidRPr="00744FF4">
        <w:rPr>
          <w:rFonts w:ascii="Palatino Linotype" w:hAnsi="Palatino Linotype" w:cs="Palatino Linotype"/>
          <w:color w:val="000000" w:themeColor="text1"/>
        </w:rPr>
        <w:t xml:space="preserve"> and D Nolan, </w:t>
      </w:r>
      <w:r w:rsidRPr="00744FF4">
        <w:rPr>
          <w:rFonts w:ascii="Palatino Linotype" w:hAnsi="Palatino Linotype" w:cs="Palatino Linotype"/>
          <w:i/>
          <w:iCs/>
          <w:color w:val="000000" w:themeColor="text1"/>
        </w:rPr>
        <w:t xml:space="preserve">Winfield and </w:t>
      </w:r>
      <w:proofErr w:type="spellStart"/>
      <w:r w:rsidRPr="00744FF4">
        <w:rPr>
          <w:rFonts w:ascii="Palatino Linotype" w:hAnsi="Palatino Linotype" w:cs="Palatino Linotype"/>
          <w:i/>
          <w:iCs/>
          <w:color w:val="000000" w:themeColor="text1"/>
        </w:rPr>
        <w:t>Jolowicz</w:t>
      </w:r>
      <w:proofErr w:type="spellEnd"/>
      <w:r w:rsidRPr="00744FF4">
        <w:rPr>
          <w:rFonts w:ascii="Palatino Linotype" w:hAnsi="Palatino Linotype" w:cs="Palatino Linotype"/>
          <w:i/>
          <w:iCs/>
          <w:color w:val="000000" w:themeColor="text1"/>
        </w:rPr>
        <w:t xml:space="preserve"> on Tort</w:t>
      </w:r>
      <w:r w:rsidRPr="00744FF4">
        <w:rPr>
          <w:rFonts w:ascii="Palatino Linotype" w:hAnsi="Palatino Linotype" w:cs="Palatino Linotype"/>
          <w:color w:val="000000" w:themeColor="text1"/>
        </w:rPr>
        <w:t xml:space="preserve"> (20th </w:t>
      </w:r>
      <w:proofErr w:type="spellStart"/>
      <w:r w:rsidRPr="00744FF4">
        <w:rPr>
          <w:rFonts w:ascii="Palatino Linotype" w:hAnsi="Palatino Linotype" w:cs="Palatino Linotype"/>
          <w:color w:val="000000" w:themeColor="text1"/>
        </w:rPr>
        <w:t>edn</w:t>
      </w:r>
      <w:proofErr w:type="spellEnd"/>
      <w:r w:rsidRPr="00744FF4">
        <w:rPr>
          <w:rFonts w:ascii="Palatino Linotype" w:hAnsi="Palatino Linotype" w:cs="Palatino Linotype"/>
          <w:color w:val="000000" w:themeColor="text1"/>
        </w:rPr>
        <w:t>, Sweet and Maxwell, 2020), pp.19-32 (sections 1-032 to 1-053)</w:t>
      </w:r>
    </w:p>
    <w:p w14:paraId="2E917A4F" w14:textId="77777777" w:rsidR="001D5B5F" w:rsidRPr="00E37A11" w:rsidRDefault="001D5B5F" w:rsidP="000F68BE">
      <w:pPr>
        <w:rPr>
          <w:rFonts w:ascii="Palatino Linotype" w:hAnsi="Palatino Linotype"/>
        </w:rPr>
      </w:pPr>
    </w:p>
    <w:p w14:paraId="3BC1A75E" w14:textId="23F2EF6B" w:rsidR="00AB104A" w:rsidRPr="00E37A11" w:rsidRDefault="00AB104A" w:rsidP="000F68BE">
      <w:pPr>
        <w:rPr>
          <w:rFonts w:ascii="Palatino Linotype" w:hAnsi="Palatino Linotype"/>
          <w:b/>
          <w:bCs/>
        </w:rPr>
      </w:pPr>
      <w:r w:rsidRPr="00E37A11">
        <w:rPr>
          <w:rFonts w:ascii="Palatino Linotype" w:hAnsi="Palatino Linotype"/>
          <w:b/>
          <w:bCs/>
        </w:rPr>
        <w:t>Articles</w:t>
      </w:r>
    </w:p>
    <w:p w14:paraId="63BD6ADE" w14:textId="155F12C2" w:rsidR="00C7011C" w:rsidRPr="00C7011C" w:rsidRDefault="00C7011C" w:rsidP="000F68BE">
      <w:pPr>
        <w:rPr>
          <w:rStyle w:val="IntenseEmphasis"/>
          <w:rFonts w:ascii="Palatino Linotype" w:hAnsi="Palatino Linotype"/>
          <w:bCs/>
          <w:i w:val="0"/>
          <w:iCs w:val="0"/>
        </w:rPr>
      </w:pPr>
      <w:r w:rsidRPr="00305A77">
        <w:rPr>
          <w:rStyle w:val="IntenseEmphasis"/>
          <w:rFonts w:ascii="Palatino Linotype" w:hAnsi="Palatino Linotype"/>
          <w:bCs/>
          <w:i w:val="0"/>
          <w:iCs w:val="0"/>
        </w:rPr>
        <w:t xml:space="preserve">*Lord Sumption, ‘Abolishing Personal Injury Law: A Project’ (2017) Personal Injuries Bar Association Annual Lecture </w:t>
      </w:r>
      <w:r w:rsidRPr="00796439">
        <w:rPr>
          <w:rStyle w:val="IntenseEmphasis"/>
          <w:rFonts w:ascii="Palatino Linotype" w:hAnsi="Palatino Linotype"/>
          <w:bCs/>
          <w:i w:val="0"/>
          <w:iCs w:val="0"/>
        </w:rPr>
        <w:t>(</w:t>
      </w:r>
      <w:hyperlink r:id="rId8" w:history="1">
        <w:r w:rsidRPr="00796439">
          <w:rPr>
            <w:rStyle w:val="Hyperlink"/>
            <w:rFonts w:ascii="Palatino Linotype" w:hAnsi="Palatino Linotype"/>
            <w:bCs/>
          </w:rPr>
          <w:t>https://www.supremecourt.uk/docs/speech-171116.pdf</w:t>
        </w:r>
      </w:hyperlink>
      <w:r w:rsidRPr="00796439">
        <w:rPr>
          <w:rStyle w:val="IntenseEmphasis"/>
          <w:rFonts w:ascii="Palatino Linotype" w:hAnsi="Palatino Linotype"/>
          <w:bCs/>
          <w:i w:val="0"/>
          <w:iCs w:val="0"/>
        </w:rPr>
        <w:t>)</w:t>
      </w:r>
      <w:r>
        <w:rPr>
          <w:rStyle w:val="IntenseEmphasis"/>
          <w:rFonts w:ascii="Palatino Linotype" w:hAnsi="Palatino Linotype"/>
          <w:bCs/>
          <w:i w:val="0"/>
          <w:iCs w:val="0"/>
        </w:rPr>
        <w:t xml:space="preserve"> </w:t>
      </w:r>
    </w:p>
    <w:p w14:paraId="127171F4" w14:textId="38B24C74" w:rsidR="00BE76A2" w:rsidRPr="00712790" w:rsidRDefault="00BE76A2" w:rsidP="000F68BE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  <w:r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R Stevens, </w:t>
      </w:r>
      <w:r w:rsidRPr="00712790">
        <w:rPr>
          <w:rStyle w:val="IntenseEmphasis"/>
          <w:rFonts w:ascii="Palatino Linotype" w:hAnsi="Palatino Linotype"/>
          <w:b w:val="0"/>
          <w:bCs/>
          <w:color w:val="000000" w:themeColor="text1"/>
        </w:rPr>
        <w:t xml:space="preserve">Torts and Rights </w:t>
      </w:r>
      <w:r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(2007, Oxford University Press)</w:t>
      </w:r>
      <w:r w:rsidR="00D178CA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– </w:t>
      </w:r>
      <w:r w:rsidR="00C20DAF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READ </w:t>
      </w:r>
      <w:r w:rsidR="00D178CA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  <w:u w:val="single"/>
        </w:rPr>
        <w:t>ONLY</w:t>
      </w:r>
      <w:r w:rsidR="00C019E2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:</w:t>
      </w:r>
      <w:r w:rsidR="00D178CA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Chapter</w:t>
      </w:r>
      <w:r w:rsidR="00A2558A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</w:t>
      </w:r>
      <w:r w:rsidR="00275A52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1</w:t>
      </w:r>
      <w:r w:rsidR="002F3782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,</w:t>
      </w:r>
      <w:r w:rsidR="00275A52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</w:t>
      </w:r>
      <w:r w:rsidR="00A2558A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“Introduction” and</w:t>
      </w:r>
      <w:r w:rsidR="00660EAD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</w:t>
      </w:r>
      <w:r w:rsidR="00A2558A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Chapter </w:t>
      </w:r>
      <w:r w:rsidR="00D178CA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15, “Justice”</w:t>
      </w:r>
    </w:p>
    <w:p w14:paraId="28D3964A" w14:textId="2B2BE2C5" w:rsidR="00A932C4" w:rsidRPr="00712790" w:rsidRDefault="00823095" w:rsidP="000F68BE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  <w:r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J Coleman, S</w:t>
      </w:r>
      <w:r w:rsidR="006D075F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</w:t>
      </w:r>
      <w:proofErr w:type="spellStart"/>
      <w:r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Hershovitz</w:t>
      </w:r>
      <w:proofErr w:type="spellEnd"/>
      <w:r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, and G</w:t>
      </w:r>
      <w:r w:rsidR="006D075F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</w:t>
      </w:r>
      <w:proofErr w:type="spellStart"/>
      <w:r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Mendlow</w:t>
      </w:r>
      <w:proofErr w:type="spellEnd"/>
      <w:r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, “Theories of the Common Law of Torts”, </w:t>
      </w:r>
      <w:r w:rsidRPr="00712790">
        <w:rPr>
          <w:rStyle w:val="IntenseEmphasis"/>
          <w:rFonts w:ascii="Palatino Linotype" w:hAnsi="Palatino Linotype"/>
          <w:b w:val="0"/>
          <w:bCs/>
          <w:color w:val="000000" w:themeColor="text1"/>
        </w:rPr>
        <w:t>Stanford Encyclopedia of Philosophy</w:t>
      </w:r>
      <w:r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(Spring 2022 Edition), Edward N. Zalta (ed.)</w:t>
      </w:r>
      <w:r w:rsidR="008F301A" w:rsidRPr="00712790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</w:t>
      </w:r>
      <w:r w:rsidR="008F301A" w:rsidRPr="00712790">
        <w:rPr>
          <w:rStyle w:val="IntenseEmphasis"/>
          <w:rFonts w:ascii="Palatino Linotype" w:hAnsi="Palatino Linotype"/>
          <w:i w:val="0"/>
          <w:iCs w:val="0"/>
          <w:color w:val="000000" w:themeColor="text1"/>
        </w:rPr>
        <w:t>(</w:t>
      </w:r>
      <w:hyperlink r:id="rId9" w:history="1">
        <w:r w:rsidR="008F301A" w:rsidRPr="00712790">
          <w:rPr>
            <w:rStyle w:val="Hyperlink"/>
            <w:rFonts w:ascii="Palatino Linotype" w:hAnsi="Palatino Linotype"/>
            <w:color w:val="000000" w:themeColor="text1"/>
          </w:rPr>
          <w:t>https://plato.stanford.edu/entries/tort-theories/</w:t>
        </w:r>
      </w:hyperlink>
      <w:r w:rsidRPr="00712790">
        <w:rPr>
          <w:rStyle w:val="IntenseEmphasis"/>
          <w:rFonts w:ascii="Palatino Linotype" w:hAnsi="Palatino Linotype"/>
          <w:i w:val="0"/>
          <w:iCs w:val="0"/>
          <w:color w:val="000000" w:themeColor="text1"/>
        </w:rPr>
        <w:t>)</w:t>
      </w:r>
    </w:p>
    <w:p w14:paraId="1177C123" w14:textId="5D8D6285" w:rsidR="00C70ED3" w:rsidRPr="00E37A11" w:rsidRDefault="00C70ED3" w:rsidP="000F68BE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  <w:r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lastRenderedPageBreak/>
        <w:t xml:space="preserve">S </w:t>
      </w:r>
      <w:proofErr w:type="spellStart"/>
      <w:r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Hershovitz</w:t>
      </w:r>
      <w:proofErr w:type="spellEnd"/>
      <w:r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, ‘The Search for a Grand Unified Theory of Tort Law’, (2017) 130(3) </w:t>
      </w:r>
      <w:r w:rsidRPr="00E37A11">
        <w:rPr>
          <w:rStyle w:val="IntenseEmphasis"/>
          <w:rFonts w:ascii="Palatino Linotype" w:hAnsi="Palatino Linotype"/>
          <w:b w:val="0"/>
          <w:bCs/>
          <w:color w:val="000000" w:themeColor="text1"/>
        </w:rPr>
        <w:t>Harvard Law Review</w:t>
      </w:r>
      <w:r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942</w:t>
      </w:r>
      <w:r w:rsidR="00DA44E5"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-970</w:t>
      </w:r>
    </w:p>
    <w:p w14:paraId="7A2558AA" w14:textId="1DAEBF3F" w:rsidR="0078520F" w:rsidRPr="00E37A11" w:rsidRDefault="003E7E60" w:rsidP="000F68BE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  <w:r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A </w:t>
      </w:r>
      <w:r w:rsidR="00C57511"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Beever</w:t>
      </w:r>
      <w:r w:rsidR="003C1F80"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, ‘Corrective Justice and Personal Responsibility in Tort Law’, (2008) 28(3) </w:t>
      </w:r>
      <w:r w:rsidR="003C1F80" w:rsidRPr="00E37A11">
        <w:rPr>
          <w:rStyle w:val="IntenseEmphasis"/>
          <w:rFonts w:ascii="Palatino Linotype" w:hAnsi="Palatino Linotype"/>
          <w:b w:val="0"/>
          <w:bCs/>
          <w:color w:val="000000" w:themeColor="text1"/>
        </w:rPr>
        <w:t xml:space="preserve">Oxford Journal of Legal Studies </w:t>
      </w:r>
      <w:r w:rsidR="003C1F80"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475-500</w:t>
      </w:r>
    </w:p>
    <w:p w14:paraId="71C3F335" w14:textId="64B67F36" w:rsidR="00F66EE4" w:rsidRDefault="00F66EE4" w:rsidP="000F68BE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  <w:r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J</w:t>
      </w:r>
      <w:r w:rsidR="0000054E"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</w:t>
      </w:r>
      <w:r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Murphy, ‘The Heterogeneity of Tort Law’ (2019) 39(3) </w:t>
      </w:r>
      <w:r w:rsidRPr="00E37A11">
        <w:rPr>
          <w:rStyle w:val="IntenseEmphasis"/>
          <w:rFonts w:ascii="Palatino Linotype" w:hAnsi="Palatino Linotype"/>
          <w:b w:val="0"/>
          <w:bCs/>
          <w:color w:val="000000" w:themeColor="text1"/>
        </w:rPr>
        <w:t>Oxford Journal of Legal Studies</w:t>
      </w:r>
      <w:r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455-482</w:t>
      </w:r>
    </w:p>
    <w:p w14:paraId="015571C6" w14:textId="77777777" w:rsidR="008F301A" w:rsidRDefault="008F301A" w:rsidP="008F301A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  <w:r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J Goldberg, ‘Twentieth-century Tort Theory’ (2003)91(3) </w:t>
      </w:r>
      <w:r w:rsidRPr="00E37A11">
        <w:rPr>
          <w:rStyle w:val="IntenseEmphasis"/>
          <w:rFonts w:ascii="Palatino Linotype" w:hAnsi="Palatino Linotype"/>
          <w:b w:val="0"/>
          <w:bCs/>
          <w:color w:val="000000" w:themeColor="text1"/>
        </w:rPr>
        <w:t>Georgetown Law Journal</w:t>
      </w:r>
      <w:r w:rsidRPr="00E37A1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513-584</w:t>
      </w:r>
    </w:p>
    <w:p w14:paraId="1D62EE30" w14:textId="69DAB2D2" w:rsidR="000D74FA" w:rsidRDefault="000D74FA" w:rsidP="008F301A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  <w: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J Morgan, ‘</w:t>
      </w:r>
      <w:r w:rsidRPr="000D74FA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Abolishing Personal Injuries Law? A reply to Lord Sumption</w:t>
      </w:r>
      <w: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’, (2018) </w:t>
      </w:r>
      <w:r w:rsidRPr="000D74FA">
        <w:rPr>
          <w:rStyle w:val="IntenseEmphasis"/>
          <w:rFonts w:ascii="Palatino Linotype" w:hAnsi="Palatino Linotype"/>
          <w:b w:val="0"/>
          <w:bCs/>
          <w:color w:val="000000" w:themeColor="text1"/>
        </w:rPr>
        <w:t>Professional Negligence</w:t>
      </w:r>
      <w:r>
        <w:rPr>
          <w:rStyle w:val="IntenseEmphasis"/>
          <w:rFonts w:ascii="Palatino Linotype" w:hAnsi="Palatino Linotype"/>
          <w:b w:val="0"/>
          <w:bCs/>
          <w:color w:val="000000" w:themeColor="text1"/>
        </w:rPr>
        <w:t xml:space="preserve"> </w:t>
      </w:r>
      <w: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(available at: </w:t>
      </w:r>
      <w:hyperlink r:id="rId10" w:history="1">
        <w:r w:rsidR="00205CDA" w:rsidRPr="003738EC">
          <w:rPr>
            <w:rStyle w:val="Hyperlink"/>
            <w:rFonts w:ascii="Palatino Linotype" w:hAnsi="Palatino Linotype"/>
            <w:bCs/>
          </w:rPr>
          <w:t>https://www.repository.cam.ac.uk/items/6a511052-b19a-4862-8299-8d8b58056395</w:t>
        </w:r>
      </w:hyperlink>
      <w: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)</w:t>
      </w:r>
    </w:p>
    <w:p w14:paraId="2A52FB15" w14:textId="50C454F5" w:rsidR="00035F09" w:rsidRDefault="00035F09" w:rsidP="008F301A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  <w:r w:rsidRPr="00035F09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K Oliphant, “Beyond Misadventure: Compensation for Medical Injuries in New Zealand” (2007) </w:t>
      </w:r>
      <w:r w:rsidRPr="00035F09">
        <w:rPr>
          <w:rStyle w:val="IntenseEmphasis"/>
          <w:rFonts w:ascii="Palatino Linotype" w:hAnsi="Palatino Linotype"/>
          <w:b w:val="0"/>
          <w:bCs/>
          <w:color w:val="000000" w:themeColor="text1"/>
        </w:rPr>
        <w:t>Medical Law Review</w:t>
      </w:r>
      <w:r w:rsidRPr="00035F09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357</w:t>
      </w:r>
    </w:p>
    <w:p w14:paraId="3FD5096A" w14:textId="2E1F9562" w:rsidR="00092DC1" w:rsidRDefault="00092DC1" w:rsidP="008F301A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  <w:r w:rsidRPr="00092DC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Lord Neuberger, ‘Implications of Tort Law Decisions’</w:t>
      </w:r>
      <w: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(2017) </w:t>
      </w:r>
      <w:r w:rsidRPr="00092DC1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Address to Northern Ireland Personal Injury Bar’s Inaugural Conference</w:t>
      </w:r>
      <w: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(</w:t>
      </w:r>
      <w:hyperlink r:id="rId11" w:history="1">
        <w:r w:rsidRPr="003738EC">
          <w:rPr>
            <w:rStyle w:val="Hyperlink"/>
            <w:rFonts w:ascii="Palatino Linotype" w:hAnsi="Palatino Linotype"/>
            <w:bCs/>
          </w:rPr>
          <w:t>https://www.supremecourt.uk/docs/speech-170513.pdf</w:t>
        </w:r>
      </w:hyperlink>
      <w: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) </w:t>
      </w:r>
    </w:p>
    <w:p w14:paraId="097F14C3" w14:textId="16134E37" w:rsidR="00EF3A43" w:rsidRPr="000D74FA" w:rsidRDefault="00EF3A43" w:rsidP="008F301A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  <w:r w:rsidRPr="00EF3A43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>P</w:t>
      </w:r>
      <w:r w:rsidR="001D1A2E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</w:t>
      </w:r>
      <w:r w:rsidRPr="00EF3A43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Cane, 'Distributive Justice and Tort Law' (2001) </w:t>
      </w:r>
      <w:r w:rsidRPr="00EF3A43">
        <w:rPr>
          <w:rStyle w:val="IntenseEmphasis"/>
          <w:rFonts w:ascii="Palatino Linotype" w:hAnsi="Palatino Linotype"/>
          <w:b w:val="0"/>
          <w:bCs/>
          <w:color w:val="000000" w:themeColor="text1"/>
        </w:rPr>
        <w:t>NZ L Rev</w:t>
      </w:r>
      <w:r w:rsidRPr="00EF3A43"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  <w:t xml:space="preserve"> 401</w:t>
      </w:r>
    </w:p>
    <w:p w14:paraId="1C4AEC3C" w14:textId="77777777" w:rsidR="008F301A" w:rsidRPr="00E37A11" w:rsidRDefault="008F301A" w:rsidP="000F68BE">
      <w:pPr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</w:p>
    <w:p w14:paraId="5469B7DB" w14:textId="77777777" w:rsidR="00660EAD" w:rsidRPr="00E37A11" w:rsidRDefault="00660EAD" w:rsidP="00E37A11">
      <w:pPr>
        <w:jc w:val="both"/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</w:p>
    <w:p w14:paraId="095A578B" w14:textId="456F6057" w:rsidR="00525525" w:rsidRPr="00E37A11" w:rsidRDefault="00741677" w:rsidP="00E37A11">
      <w:pPr>
        <w:jc w:val="both"/>
        <w:rPr>
          <w:rStyle w:val="IntenseEmphasis"/>
          <w:rFonts w:ascii="Palatino Linotype" w:hAnsi="Palatino Linotype"/>
          <w:b w:val="0"/>
          <w:bCs/>
          <w:color w:val="000000" w:themeColor="text1"/>
        </w:rPr>
      </w:pPr>
      <w:r>
        <w:rPr>
          <w:rStyle w:val="IntenseEmphasis"/>
          <w:rFonts w:ascii="Palatino Linotype" w:hAnsi="Palatino Linotype"/>
          <w:b w:val="0"/>
          <w:bCs/>
          <w:color w:val="000000" w:themeColor="text1"/>
        </w:rPr>
        <w:t xml:space="preserve">The compulsory readings are </w:t>
      </w:r>
      <w:r w:rsidRPr="00741677">
        <w:rPr>
          <w:rStyle w:val="IntenseEmphasis"/>
          <w:rFonts w:ascii="Palatino Linotype" w:hAnsi="Palatino Linotype"/>
          <w:b w:val="0"/>
          <w:bCs/>
        </w:rPr>
        <w:t>blue</w:t>
      </w:r>
      <w:r>
        <w:rPr>
          <w:rStyle w:val="IntenseEmphasis"/>
          <w:rFonts w:ascii="Palatino Linotype" w:hAnsi="Palatino Linotype"/>
          <w:b w:val="0"/>
          <w:bCs/>
          <w:color w:val="000000" w:themeColor="text1"/>
        </w:rPr>
        <w:t xml:space="preserve">, in </w:t>
      </w:r>
      <w:r w:rsidRPr="00753725">
        <w:rPr>
          <w:rStyle w:val="IntenseEmphasis"/>
          <w:rFonts w:ascii="Palatino Linotype" w:hAnsi="Palatino Linotype"/>
          <w:color w:val="000000" w:themeColor="text1"/>
        </w:rPr>
        <w:t>bold</w:t>
      </w:r>
      <w:r>
        <w:rPr>
          <w:rStyle w:val="IntenseEmphasis"/>
          <w:rFonts w:ascii="Palatino Linotype" w:hAnsi="Palatino Linotype"/>
          <w:b w:val="0"/>
          <w:bCs/>
          <w:color w:val="000000" w:themeColor="text1"/>
        </w:rPr>
        <w:t>, and preceded by a</w:t>
      </w:r>
      <w:r w:rsidR="0078520F" w:rsidRPr="00E37A11">
        <w:rPr>
          <w:rStyle w:val="IntenseEmphasis"/>
          <w:rFonts w:ascii="Palatino Linotype" w:hAnsi="Palatino Linotype"/>
          <w:b w:val="0"/>
          <w:bCs/>
          <w:color w:val="000000" w:themeColor="text1"/>
        </w:rPr>
        <w:t xml:space="preserve"> “*”. Other items are</w:t>
      </w:r>
      <w:r w:rsidR="00F60904" w:rsidRPr="00E37A11">
        <w:rPr>
          <w:rStyle w:val="IntenseEmphasis"/>
          <w:rFonts w:ascii="Palatino Linotype" w:hAnsi="Palatino Linotype"/>
          <w:b w:val="0"/>
          <w:bCs/>
          <w:color w:val="000000" w:themeColor="text1"/>
        </w:rPr>
        <w:t xml:space="preserve"> optional</w:t>
      </w:r>
      <w:r w:rsidR="0078520F" w:rsidRPr="00E37A11">
        <w:rPr>
          <w:rStyle w:val="IntenseEmphasis"/>
          <w:rFonts w:ascii="Palatino Linotype" w:hAnsi="Palatino Linotype"/>
          <w:b w:val="0"/>
          <w:bCs/>
          <w:color w:val="000000" w:themeColor="text1"/>
        </w:rPr>
        <w:t xml:space="preserve"> additional reading.</w:t>
      </w:r>
      <w:r w:rsidR="00525525" w:rsidRPr="00E37A11">
        <w:rPr>
          <w:rStyle w:val="IntenseEmphasis"/>
          <w:rFonts w:ascii="Palatino Linotype" w:hAnsi="Palatino Linotype"/>
          <w:b w:val="0"/>
          <w:bCs/>
          <w:color w:val="000000" w:themeColor="text1"/>
        </w:rPr>
        <w:t xml:space="preserve"> </w:t>
      </w:r>
    </w:p>
    <w:p w14:paraId="28653652" w14:textId="77777777" w:rsidR="00507B1A" w:rsidRPr="00E37A11" w:rsidRDefault="00507B1A" w:rsidP="00E37A11">
      <w:pPr>
        <w:pStyle w:val="Title"/>
        <w:jc w:val="both"/>
        <w:rPr>
          <w:rFonts w:ascii="Palatino Linotype" w:hAnsi="Palatino Linotype"/>
          <w:color w:val="000000" w:themeColor="text1"/>
        </w:rPr>
      </w:pPr>
    </w:p>
    <w:p w14:paraId="0ACE794F" w14:textId="31C4E49A" w:rsidR="0087097F" w:rsidRPr="00E37A11" w:rsidRDefault="0087097F" w:rsidP="00E37A11">
      <w:pPr>
        <w:jc w:val="both"/>
        <w:rPr>
          <w:rStyle w:val="IntenseEmphasis"/>
          <w:rFonts w:ascii="Palatino Linotype" w:hAnsi="Palatino Linotype"/>
          <w:b w:val="0"/>
          <w:bCs/>
          <w:i w:val="0"/>
          <w:iCs w:val="0"/>
          <w:color w:val="000000" w:themeColor="text1"/>
        </w:rPr>
      </w:pPr>
    </w:p>
    <w:sectPr w:rsidR="0087097F" w:rsidRPr="00E37A11" w:rsidSect="00187EE7">
      <w:footerReference w:type="even" r:id="rId12"/>
      <w:footerReference w:type="default" r:id="rId13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6A4A3" w14:textId="77777777" w:rsidR="00536C55" w:rsidRDefault="00536C55" w:rsidP="00832E5F">
      <w:r>
        <w:separator/>
      </w:r>
    </w:p>
  </w:endnote>
  <w:endnote w:type="continuationSeparator" w:id="0">
    <w:p w14:paraId="3A5D3A89" w14:textId="77777777" w:rsidR="00536C55" w:rsidRDefault="00536C55" w:rsidP="00832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Kings Caslon Text">
    <w:altName w:val="Calibri"/>
    <w:panose1 w:val="020B0604020202020204"/>
    <w:charset w:val="00"/>
    <w:family w:val="auto"/>
    <w:pitch w:val="variable"/>
    <w:sig w:usb0="A00000AF" w:usb1="5000205B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23966624"/>
      <w:docPartObj>
        <w:docPartGallery w:val="Page Numbers (Bottom of Page)"/>
        <w:docPartUnique/>
      </w:docPartObj>
    </w:sdtPr>
    <w:sdtContent>
      <w:p w14:paraId="29A95824" w14:textId="08E75313" w:rsidR="00832E5F" w:rsidRDefault="00832E5F" w:rsidP="000322E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01967A1" w14:textId="77777777" w:rsidR="00832E5F" w:rsidRDefault="00832E5F" w:rsidP="00832E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4106893"/>
      <w:docPartObj>
        <w:docPartGallery w:val="Page Numbers (Bottom of Page)"/>
        <w:docPartUnique/>
      </w:docPartObj>
    </w:sdtPr>
    <w:sdtContent>
      <w:p w14:paraId="0E594693" w14:textId="598ACD9D" w:rsidR="00832E5F" w:rsidRDefault="00832E5F" w:rsidP="000322E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5438C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612126A" w14:textId="77777777" w:rsidR="00832E5F" w:rsidRDefault="00832E5F" w:rsidP="00832E5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E0BD2" w14:textId="77777777" w:rsidR="00536C55" w:rsidRDefault="00536C55" w:rsidP="00832E5F">
      <w:r>
        <w:separator/>
      </w:r>
    </w:p>
  </w:footnote>
  <w:footnote w:type="continuationSeparator" w:id="0">
    <w:p w14:paraId="225454FD" w14:textId="77777777" w:rsidR="00536C55" w:rsidRDefault="00536C55" w:rsidP="00832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1F1C67"/>
    <w:multiLevelType w:val="multilevel"/>
    <w:tmpl w:val="E278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B6236"/>
    <w:multiLevelType w:val="hybridMultilevel"/>
    <w:tmpl w:val="C22E083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C37BF"/>
    <w:multiLevelType w:val="hybridMultilevel"/>
    <w:tmpl w:val="792873A8"/>
    <w:lvl w:ilvl="0" w:tplc="9A24C636">
      <w:start w:val="500"/>
      <w:numFmt w:val="bullet"/>
      <w:lvlText w:val="-"/>
      <w:lvlJc w:val="left"/>
      <w:pPr>
        <w:ind w:left="720" w:hanging="360"/>
      </w:pPr>
      <w:rPr>
        <w:rFonts w:ascii="Kings Caslon Text" w:eastAsia="Times New Roman" w:hAnsi="Kings Caslon T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C3BFF"/>
    <w:multiLevelType w:val="hybridMultilevel"/>
    <w:tmpl w:val="1BDE5E78"/>
    <w:lvl w:ilvl="0" w:tplc="8474D5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846366">
    <w:abstractNumId w:val="1"/>
  </w:num>
  <w:num w:numId="2" w16cid:durableId="497622135">
    <w:abstractNumId w:val="4"/>
  </w:num>
  <w:num w:numId="3" w16cid:durableId="1713189468">
    <w:abstractNumId w:val="3"/>
  </w:num>
  <w:num w:numId="4" w16cid:durableId="1945068170">
    <w:abstractNumId w:val="0"/>
  </w:num>
  <w:num w:numId="5" w16cid:durableId="364643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FB8"/>
    <w:rsid w:val="0000054E"/>
    <w:rsid w:val="00004FEA"/>
    <w:rsid w:val="00007EEA"/>
    <w:rsid w:val="00012B37"/>
    <w:rsid w:val="000225E1"/>
    <w:rsid w:val="00023C84"/>
    <w:rsid w:val="00035F09"/>
    <w:rsid w:val="00066066"/>
    <w:rsid w:val="00075767"/>
    <w:rsid w:val="0008617A"/>
    <w:rsid w:val="00090478"/>
    <w:rsid w:val="00092DC1"/>
    <w:rsid w:val="00097D31"/>
    <w:rsid w:val="000D4D43"/>
    <w:rsid w:val="000D4E41"/>
    <w:rsid w:val="000D72A8"/>
    <w:rsid w:val="000D74FA"/>
    <w:rsid w:val="000E4687"/>
    <w:rsid w:val="000F68BE"/>
    <w:rsid w:val="000F7AFF"/>
    <w:rsid w:val="00101628"/>
    <w:rsid w:val="00110959"/>
    <w:rsid w:val="0012188B"/>
    <w:rsid w:val="00134224"/>
    <w:rsid w:val="00160C28"/>
    <w:rsid w:val="00161AEF"/>
    <w:rsid w:val="00187EE7"/>
    <w:rsid w:val="00193C52"/>
    <w:rsid w:val="001B0737"/>
    <w:rsid w:val="001B2CE3"/>
    <w:rsid w:val="001B7842"/>
    <w:rsid w:val="001B7FB8"/>
    <w:rsid w:val="001D1A2E"/>
    <w:rsid w:val="001D5B5F"/>
    <w:rsid w:val="001E0470"/>
    <w:rsid w:val="001F516D"/>
    <w:rsid w:val="00202598"/>
    <w:rsid w:val="00205CDA"/>
    <w:rsid w:val="002106AF"/>
    <w:rsid w:val="002202D0"/>
    <w:rsid w:val="00225493"/>
    <w:rsid w:val="002429D5"/>
    <w:rsid w:val="00255981"/>
    <w:rsid w:val="0025786F"/>
    <w:rsid w:val="002665FD"/>
    <w:rsid w:val="00267A25"/>
    <w:rsid w:val="002754A1"/>
    <w:rsid w:val="00275A52"/>
    <w:rsid w:val="00280741"/>
    <w:rsid w:val="00286397"/>
    <w:rsid w:val="002A5468"/>
    <w:rsid w:val="002F3782"/>
    <w:rsid w:val="002F57AE"/>
    <w:rsid w:val="00305A77"/>
    <w:rsid w:val="0031762D"/>
    <w:rsid w:val="00317AD0"/>
    <w:rsid w:val="00333845"/>
    <w:rsid w:val="00344FF9"/>
    <w:rsid w:val="00351365"/>
    <w:rsid w:val="00353CEC"/>
    <w:rsid w:val="00396866"/>
    <w:rsid w:val="003C1F80"/>
    <w:rsid w:val="003C729D"/>
    <w:rsid w:val="003E0BFB"/>
    <w:rsid w:val="003E78D5"/>
    <w:rsid w:val="003E7E60"/>
    <w:rsid w:val="003F0733"/>
    <w:rsid w:val="003F23A7"/>
    <w:rsid w:val="00411BD9"/>
    <w:rsid w:val="00462CB5"/>
    <w:rsid w:val="004753E7"/>
    <w:rsid w:val="0048091F"/>
    <w:rsid w:val="00483C65"/>
    <w:rsid w:val="004B19AB"/>
    <w:rsid w:val="004B54B6"/>
    <w:rsid w:val="004C3714"/>
    <w:rsid w:val="004D0218"/>
    <w:rsid w:val="004D1FEC"/>
    <w:rsid w:val="004D2670"/>
    <w:rsid w:val="004F61AF"/>
    <w:rsid w:val="004F7835"/>
    <w:rsid w:val="00501DC6"/>
    <w:rsid w:val="00507B1A"/>
    <w:rsid w:val="00511B74"/>
    <w:rsid w:val="00511B94"/>
    <w:rsid w:val="00515CF2"/>
    <w:rsid w:val="00525525"/>
    <w:rsid w:val="0053442D"/>
    <w:rsid w:val="00536C55"/>
    <w:rsid w:val="00551F33"/>
    <w:rsid w:val="00554A90"/>
    <w:rsid w:val="005617C8"/>
    <w:rsid w:val="00563FF2"/>
    <w:rsid w:val="00567847"/>
    <w:rsid w:val="00587769"/>
    <w:rsid w:val="005B4051"/>
    <w:rsid w:val="005C7729"/>
    <w:rsid w:val="005D0230"/>
    <w:rsid w:val="005E3AA4"/>
    <w:rsid w:val="005E718B"/>
    <w:rsid w:val="005E723A"/>
    <w:rsid w:val="005F28DB"/>
    <w:rsid w:val="00601A37"/>
    <w:rsid w:val="00613077"/>
    <w:rsid w:val="006157D1"/>
    <w:rsid w:val="006206F6"/>
    <w:rsid w:val="00623BD3"/>
    <w:rsid w:val="00647FCE"/>
    <w:rsid w:val="00660EAD"/>
    <w:rsid w:val="00665F13"/>
    <w:rsid w:val="00670EE1"/>
    <w:rsid w:val="00672BC1"/>
    <w:rsid w:val="0069298B"/>
    <w:rsid w:val="0069375F"/>
    <w:rsid w:val="006937DE"/>
    <w:rsid w:val="006A46D7"/>
    <w:rsid w:val="006B2A33"/>
    <w:rsid w:val="006B348A"/>
    <w:rsid w:val="006C1A8D"/>
    <w:rsid w:val="006C3448"/>
    <w:rsid w:val="006C5EC0"/>
    <w:rsid w:val="006C64CF"/>
    <w:rsid w:val="006D075F"/>
    <w:rsid w:val="006F548F"/>
    <w:rsid w:val="00712790"/>
    <w:rsid w:val="00720EA8"/>
    <w:rsid w:val="00727BFA"/>
    <w:rsid w:val="00736711"/>
    <w:rsid w:val="00741677"/>
    <w:rsid w:val="00744FF4"/>
    <w:rsid w:val="00753725"/>
    <w:rsid w:val="00760332"/>
    <w:rsid w:val="007818B7"/>
    <w:rsid w:val="0078520F"/>
    <w:rsid w:val="00790C5E"/>
    <w:rsid w:val="00796439"/>
    <w:rsid w:val="007B6FCA"/>
    <w:rsid w:val="007E7128"/>
    <w:rsid w:val="007F4107"/>
    <w:rsid w:val="007F476B"/>
    <w:rsid w:val="00800D10"/>
    <w:rsid w:val="00807FBA"/>
    <w:rsid w:val="00811537"/>
    <w:rsid w:val="00823095"/>
    <w:rsid w:val="00832E5F"/>
    <w:rsid w:val="00861014"/>
    <w:rsid w:val="0087097F"/>
    <w:rsid w:val="00875216"/>
    <w:rsid w:val="00896050"/>
    <w:rsid w:val="008C38B6"/>
    <w:rsid w:val="008F301A"/>
    <w:rsid w:val="008F4B7B"/>
    <w:rsid w:val="008F5165"/>
    <w:rsid w:val="009043DF"/>
    <w:rsid w:val="009300B8"/>
    <w:rsid w:val="00952E8A"/>
    <w:rsid w:val="0095438C"/>
    <w:rsid w:val="00957676"/>
    <w:rsid w:val="009B7CBE"/>
    <w:rsid w:val="009C1F6C"/>
    <w:rsid w:val="009E0A2B"/>
    <w:rsid w:val="00A00151"/>
    <w:rsid w:val="00A020E1"/>
    <w:rsid w:val="00A2558A"/>
    <w:rsid w:val="00A4076E"/>
    <w:rsid w:val="00A6203C"/>
    <w:rsid w:val="00A6341D"/>
    <w:rsid w:val="00A932C4"/>
    <w:rsid w:val="00AB009F"/>
    <w:rsid w:val="00AB104A"/>
    <w:rsid w:val="00AC2062"/>
    <w:rsid w:val="00AD7188"/>
    <w:rsid w:val="00AD795A"/>
    <w:rsid w:val="00AF5811"/>
    <w:rsid w:val="00B034E1"/>
    <w:rsid w:val="00B03DFD"/>
    <w:rsid w:val="00B23A3C"/>
    <w:rsid w:val="00B30429"/>
    <w:rsid w:val="00B41453"/>
    <w:rsid w:val="00B43DD9"/>
    <w:rsid w:val="00B471AD"/>
    <w:rsid w:val="00B53FCD"/>
    <w:rsid w:val="00B57B69"/>
    <w:rsid w:val="00BD2F37"/>
    <w:rsid w:val="00BD4F85"/>
    <w:rsid w:val="00BE76A2"/>
    <w:rsid w:val="00C019E2"/>
    <w:rsid w:val="00C20DAF"/>
    <w:rsid w:val="00C2139B"/>
    <w:rsid w:val="00C23045"/>
    <w:rsid w:val="00C31BE0"/>
    <w:rsid w:val="00C328C7"/>
    <w:rsid w:val="00C4028C"/>
    <w:rsid w:val="00C41966"/>
    <w:rsid w:val="00C45FA8"/>
    <w:rsid w:val="00C525AB"/>
    <w:rsid w:val="00C54B7E"/>
    <w:rsid w:val="00C57511"/>
    <w:rsid w:val="00C7011C"/>
    <w:rsid w:val="00C70ED3"/>
    <w:rsid w:val="00C723FD"/>
    <w:rsid w:val="00C85B08"/>
    <w:rsid w:val="00C92A4B"/>
    <w:rsid w:val="00C92B81"/>
    <w:rsid w:val="00CA0CF2"/>
    <w:rsid w:val="00CD0101"/>
    <w:rsid w:val="00CD5371"/>
    <w:rsid w:val="00CE43A7"/>
    <w:rsid w:val="00D0580E"/>
    <w:rsid w:val="00D10FED"/>
    <w:rsid w:val="00D176C0"/>
    <w:rsid w:val="00D178CA"/>
    <w:rsid w:val="00D309A1"/>
    <w:rsid w:val="00D3271D"/>
    <w:rsid w:val="00D36E40"/>
    <w:rsid w:val="00D435F9"/>
    <w:rsid w:val="00D73E3D"/>
    <w:rsid w:val="00D841ED"/>
    <w:rsid w:val="00D97F77"/>
    <w:rsid w:val="00DA44E5"/>
    <w:rsid w:val="00DB2CFB"/>
    <w:rsid w:val="00DB5C3B"/>
    <w:rsid w:val="00DB6AA9"/>
    <w:rsid w:val="00DC2142"/>
    <w:rsid w:val="00DF2B2A"/>
    <w:rsid w:val="00DF3E62"/>
    <w:rsid w:val="00E03E05"/>
    <w:rsid w:val="00E04950"/>
    <w:rsid w:val="00E14764"/>
    <w:rsid w:val="00E312B6"/>
    <w:rsid w:val="00E37A11"/>
    <w:rsid w:val="00E47634"/>
    <w:rsid w:val="00E61304"/>
    <w:rsid w:val="00E936C9"/>
    <w:rsid w:val="00EB28F7"/>
    <w:rsid w:val="00EB4773"/>
    <w:rsid w:val="00ED08EC"/>
    <w:rsid w:val="00EF0115"/>
    <w:rsid w:val="00EF3A43"/>
    <w:rsid w:val="00F10E72"/>
    <w:rsid w:val="00F1362E"/>
    <w:rsid w:val="00F14403"/>
    <w:rsid w:val="00F27F64"/>
    <w:rsid w:val="00F31014"/>
    <w:rsid w:val="00F45EB6"/>
    <w:rsid w:val="00F54A81"/>
    <w:rsid w:val="00F60904"/>
    <w:rsid w:val="00F66EE4"/>
    <w:rsid w:val="00F873E1"/>
    <w:rsid w:val="00FB07AA"/>
    <w:rsid w:val="00FE6637"/>
    <w:rsid w:val="00FF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3F18"/>
  <w15:chartTrackingRefBased/>
  <w15:docId w15:val="{6DB32C9A-E144-C043-B922-E5478C3E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FB8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sultsublistitem1">
    <w:name w:val="resultsublistitem1"/>
    <w:basedOn w:val="DefaultParagraphFont"/>
    <w:rsid w:val="001B7FB8"/>
    <w:rPr>
      <w:rFonts w:ascii="Arial" w:hAnsi="Arial" w:cs="Arial"/>
      <w:sz w:val="16"/>
      <w:szCs w:val="16"/>
    </w:rPr>
  </w:style>
  <w:style w:type="paragraph" w:styleId="Title">
    <w:name w:val="Title"/>
    <w:basedOn w:val="Normal"/>
    <w:link w:val="TitleChar"/>
    <w:qFormat/>
    <w:rsid w:val="001B7FB8"/>
    <w:pPr>
      <w:autoSpaceDE w:val="0"/>
      <w:autoSpaceDN w:val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1B7FB8"/>
    <w:rPr>
      <w:rFonts w:ascii="Times New Roman" w:eastAsia="Times New Roman" w:hAnsi="Times New Roman" w:cs="Times New Roman"/>
      <w:b/>
      <w:bCs/>
      <w:lang w:eastAsia="en-GB"/>
    </w:rPr>
  </w:style>
  <w:style w:type="paragraph" w:styleId="ListParagraph">
    <w:name w:val="List Paragraph"/>
    <w:basedOn w:val="Normal"/>
    <w:uiPriority w:val="34"/>
    <w:qFormat/>
    <w:rsid w:val="001B7FB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2E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E5F"/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832E5F"/>
  </w:style>
  <w:style w:type="paragraph" w:styleId="BalloonText">
    <w:name w:val="Balloon Text"/>
    <w:basedOn w:val="Normal"/>
    <w:link w:val="BalloonTextChar"/>
    <w:uiPriority w:val="99"/>
    <w:semiHidden/>
    <w:unhideWhenUsed/>
    <w:rsid w:val="00952E8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E8A"/>
    <w:rPr>
      <w:rFonts w:ascii="Times New Roman" w:eastAsia="Times New Roman" w:hAnsi="Times New Roman" w:cs="Times New Roman"/>
      <w:sz w:val="18"/>
      <w:szCs w:val="18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B304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042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0429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04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0429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styleId="IntenseEmphasis">
    <w:name w:val="Intense Emphasis"/>
    <w:uiPriority w:val="21"/>
    <w:qFormat/>
    <w:rsid w:val="0069375F"/>
    <w:rPr>
      <w:rFonts w:ascii="Kings Caslon Text" w:hAnsi="Kings Caslon Text"/>
      <w:b/>
      <w:i/>
      <w:iCs/>
      <w:color w:val="0070C0"/>
    </w:rPr>
  </w:style>
  <w:style w:type="character" w:styleId="Hyperlink">
    <w:name w:val="Hyperlink"/>
    <w:basedOn w:val="DefaultParagraphFont"/>
    <w:uiPriority w:val="99"/>
    <w:unhideWhenUsed/>
    <w:rsid w:val="008230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0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30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3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1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8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premecourt.uk/docs/speech-171116.pdf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upremecourt.uk/docs/speech-170513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repository.cam.ac.uk/items/6a511052-b19a-4862-8299-8d8b5805639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to.stanford.edu/entries/tort-theorie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61563D-0931-40CE-A622-C6174560C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C.P. Mc Grath</dc:creator>
  <cp:keywords/>
  <dc:description/>
  <cp:lastModifiedBy>Letwin, Jeremy</cp:lastModifiedBy>
  <cp:revision>190</cp:revision>
  <dcterms:created xsi:type="dcterms:W3CDTF">2021-03-01T11:34:00Z</dcterms:created>
  <dcterms:modified xsi:type="dcterms:W3CDTF">2025-09-27T09:14:00Z</dcterms:modified>
</cp:coreProperties>
</file>