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37D" w14:textId="1C7673E9" w:rsidR="00163D7B" w:rsidRPr="00A75FD6" w:rsidRDefault="00673C4F" w:rsidP="00673C4F">
      <w:pPr>
        <w:pStyle w:val="Heading1"/>
        <w:rPr>
          <w:rFonts w:asciiTheme="minorHAnsi" w:hAnsiTheme="minorHAnsi" w:cstheme="minorHAnsi"/>
        </w:rPr>
      </w:pPr>
      <w:r w:rsidRPr="00A75FD6">
        <w:rPr>
          <w:rFonts w:asciiTheme="minorHAnsi" w:hAnsiTheme="minorHAnsi" w:cstheme="minorHAnsi"/>
        </w:rPr>
        <w:t>WEEK</w:t>
      </w:r>
      <w:r w:rsidR="00A741E1">
        <w:rPr>
          <w:rFonts w:asciiTheme="minorHAnsi" w:hAnsiTheme="minorHAnsi" w:cstheme="minorHAnsi"/>
        </w:rPr>
        <w:t xml:space="preserve"> 14</w:t>
      </w:r>
    </w:p>
    <w:p w14:paraId="1469D2E6" w14:textId="77777777" w:rsidR="004836EA" w:rsidRPr="00A75FD6" w:rsidRDefault="004836EA" w:rsidP="004836EA">
      <w:pPr>
        <w:rPr>
          <w:rFonts w:asciiTheme="minorHAnsi" w:hAnsiTheme="minorHAnsi" w:cstheme="minorHAnsi"/>
        </w:rPr>
      </w:pPr>
    </w:p>
    <w:p w14:paraId="08B19C7F" w14:textId="5F30D03D" w:rsidR="00E466D6" w:rsidRPr="00A75FD6" w:rsidRDefault="0008373E" w:rsidP="00F27668">
      <w:pPr>
        <w:pStyle w:val="Heading1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u w:val="none"/>
        </w:rPr>
        <w:t>CONSUMER PROTECTION ACT</w:t>
      </w:r>
      <w:r w:rsidR="003C0585">
        <w:rPr>
          <w:rFonts w:asciiTheme="minorHAnsi" w:hAnsiTheme="minorHAnsi" w:cstheme="minorHAnsi"/>
          <w:u w:val="none"/>
        </w:rPr>
        <w:t xml:space="preserve"> AND</w:t>
      </w:r>
      <w:r>
        <w:rPr>
          <w:rFonts w:asciiTheme="minorHAnsi" w:hAnsiTheme="minorHAnsi" w:cstheme="minorHAnsi"/>
          <w:u w:val="none"/>
        </w:rPr>
        <w:t xml:space="preserve"> </w:t>
      </w:r>
      <w:r w:rsidR="00E869B9">
        <w:rPr>
          <w:rFonts w:asciiTheme="minorHAnsi" w:hAnsiTheme="minorHAnsi" w:cstheme="minorHAnsi"/>
          <w:u w:val="none"/>
        </w:rPr>
        <w:t>PASSING OFF</w:t>
      </w:r>
    </w:p>
    <w:p w14:paraId="29E9FF03" w14:textId="77777777" w:rsidR="0009748A" w:rsidRDefault="0009748A" w:rsidP="005B6558">
      <w:pPr>
        <w:rPr>
          <w:rFonts w:asciiTheme="minorHAnsi" w:hAnsiTheme="minorHAnsi" w:cstheme="minorHAnsi"/>
          <w:b/>
          <w:bCs/>
        </w:rPr>
      </w:pPr>
    </w:p>
    <w:p w14:paraId="5D16772C" w14:textId="2125C262" w:rsidR="003C0585" w:rsidRPr="003C0585" w:rsidRDefault="003C0585" w:rsidP="003C0585">
      <w:pPr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</w:rPr>
        <w:t xml:space="preserve">In our next two classes, we will look at some approaches to product liability and consumer protection.  In our first class, we will look at product liability, with a focus on the Consumer Protection Act 1987 (‘CPA’).  It will be useful to have a copy of the CPA in front of you for lectures.  We will review the statute </w:t>
      </w:r>
      <w:proofErr w:type="gramStart"/>
      <w:r w:rsidRPr="003C0585">
        <w:rPr>
          <w:rFonts w:asciiTheme="minorHAnsi" w:hAnsiTheme="minorHAnsi" w:cstheme="minorHAnsi"/>
        </w:rPr>
        <w:t>in order to</w:t>
      </w:r>
      <w:proofErr w:type="gramEnd"/>
      <w:r w:rsidRPr="003C0585">
        <w:rPr>
          <w:rFonts w:asciiTheme="minorHAnsi" w:hAnsiTheme="minorHAnsi" w:cstheme="minorHAnsi"/>
        </w:rPr>
        <w:t xml:space="preserve"> determine a relevant product and learn how to identify a defect.  The CPA also sets out they types of damage that is recoverable and the appropriate defendant.</w:t>
      </w:r>
    </w:p>
    <w:p w14:paraId="4D601CE0" w14:textId="77777777" w:rsidR="00E869B9" w:rsidRDefault="00E869B9" w:rsidP="005B6558">
      <w:pPr>
        <w:rPr>
          <w:rFonts w:asciiTheme="minorHAnsi" w:hAnsiTheme="minorHAnsi" w:cstheme="minorHAnsi"/>
        </w:rPr>
      </w:pPr>
    </w:p>
    <w:p w14:paraId="28516F37" w14:textId="77777777" w:rsidR="00545553" w:rsidRDefault="00E869B9" w:rsidP="005B655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Passing Off is the civil ‘stop-gap’ where intellectual property protection (usually </w:t>
      </w:r>
      <w:proofErr w:type="gramStart"/>
      <w:r>
        <w:rPr>
          <w:rFonts w:asciiTheme="minorHAnsi" w:hAnsiTheme="minorHAnsi" w:cstheme="minorHAnsi"/>
        </w:rPr>
        <w:t>trade mark</w:t>
      </w:r>
      <w:proofErr w:type="gramEnd"/>
      <w:r>
        <w:rPr>
          <w:rFonts w:asciiTheme="minorHAnsi" w:hAnsiTheme="minorHAnsi" w:cstheme="minorHAnsi"/>
        </w:rPr>
        <w:t xml:space="preserve">) does not provide recourse.  If you are interest in IP or commercial practice, this subject should be useful for you as </w:t>
      </w:r>
      <w:proofErr w:type="gramStart"/>
      <w:r>
        <w:rPr>
          <w:rFonts w:asciiTheme="minorHAnsi" w:hAnsiTheme="minorHAnsi" w:cstheme="minorHAnsi"/>
        </w:rPr>
        <w:t>trade mark</w:t>
      </w:r>
      <w:proofErr w:type="gramEnd"/>
      <w:r>
        <w:rPr>
          <w:rFonts w:asciiTheme="minorHAnsi" w:hAnsiTheme="minorHAnsi" w:cstheme="minorHAnsi"/>
        </w:rPr>
        <w:t xml:space="preserve">-related issues can arise frequently.  We will briefly cover </w:t>
      </w:r>
      <w:proofErr w:type="gramStart"/>
      <w:r>
        <w:rPr>
          <w:rFonts w:asciiTheme="minorHAnsi" w:hAnsiTheme="minorHAnsi" w:cstheme="minorHAnsi"/>
        </w:rPr>
        <w:t>trade marks</w:t>
      </w:r>
      <w:proofErr w:type="gramEnd"/>
      <w:r>
        <w:rPr>
          <w:rFonts w:asciiTheme="minorHAnsi" w:hAnsiTheme="minorHAnsi" w:cstheme="minorHAnsi"/>
        </w:rPr>
        <w:t xml:space="preserve"> so you have context around passing off, but you will not be assessed on anything to do with </w:t>
      </w:r>
      <w:proofErr w:type="gramStart"/>
      <w:r>
        <w:rPr>
          <w:rFonts w:asciiTheme="minorHAnsi" w:hAnsiTheme="minorHAnsi" w:cstheme="minorHAnsi"/>
        </w:rPr>
        <w:t>trade marks</w:t>
      </w:r>
      <w:proofErr w:type="gramEnd"/>
      <w:r>
        <w:rPr>
          <w:rFonts w:asciiTheme="minorHAnsi" w:hAnsiTheme="minorHAnsi" w:cstheme="minorHAnsi"/>
        </w:rPr>
        <w:t xml:space="preserve"> on their own.  </w:t>
      </w:r>
    </w:p>
    <w:p w14:paraId="299BDD8D" w14:textId="77777777" w:rsidR="00545553" w:rsidRDefault="00545553" w:rsidP="005B6558">
      <w:pPr>
        <w:rPr>
          <w:rFonts w:asciiTheme="minorHAnsi" w:hAnsiTheme="minorHAnsi" w:cstheme="minorHAnsi"/>
        </w:rPr>
      </w:pPr>
    </w:p>
    <w:p w14:paraId="78F5BF24" w14:textId="572460A1" w:rsidR="00E869B9" w:rsidRDefault="00E869B9" w:rsidP="005B655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Passing off is meant to protect the goodwill acquired by a business and to prevent consumer confusion.  </w:t>
      </w:r>
      <w:r w:rsidR="00182C8D">
        <w:rPr>
          <w:rFonts w:asciiTheme="minorHAnsi" w:hAnsiTheme="minorHAnsi" w:cstheme="minorHAnsi"/>
        </w:rPr>
        <w:t xml:space="preserve">For a claim to succeed, a trader must have made a misrepresentation to consumers, calculated to injure another business or its goodwill, which causes actual damage (or probably will).  This type of claim is useful when a </w:t>
      </w:r>
      <w:proofErr w:type="gramStart"/>
      <w:r w:rsidR="00182C8D">
        <w:rPr>
          <w:rFonts w:asciiTheme="minorHAnsi" w:hAnsiTheme="minorHAnsi" w:cstheme="minorHAnsi"/>
        </w:rPr>
        <w:t>trade mark</w:t>
      </w:r>
      <w:proofErr w:type="gramEnd"/>
      <w:r w:rsidR="00182C8D">
        <w:rPr>
          <w:rFonts w:asciiTheme="minorHAnsi" w:hAnsiTheme="minorHAnsi" w:cstheme="minorHAnsi"/>
        </w:rPr>
        <w:t xml:space="preserve"> infringement suit fails due to issues with a dispute or registration.</w:t>
      </w:r>
    </w:p>
    <w:p w14:paraId="15672A2D" w14:textId="3A59E9AA" w:rsidR="00C64C65" w:rsidRDefault="00C64C65" w:rsidP="005B6558">
      <w:pPr>
        <w:rPr>
          <w:rFonts w:asciiTheme="minorHAnsi" w:hAnsiTheme="minorHAnsi" w:cstheme="minorHAnsi"/>
          <w:iCs/>
        </w:rPr>
      </w:pPr>
    </w:p>
    <w:p w14:paraId="7F1686EC" w14:textId="20BCE4F2" w:rsidR="003C0585" w:rsidRPr="00A75FD6" w:rsidRDefault="003C0585" w:rsidP="005B6558">
      <w:pPr>
        <w:rPr>
          <w:rFonts w:asciiTheme="minorHAnsi" w:hAnsiTheme="minorHAnsi" w:cstheme="minorHAnsi"/>
          <w:iCs/>
        </w:rPr>
      </w:pPr>
    </w:p>
    <w:p w14:paraId="684115E5" w14:textId="77777777" w:rsidR="00C64C65" w:rsidRPr="00A75FD6" w:rsidRDefault="00C64C65" w:rsidP="005B6558">
      <w:pPr>
        <w:rPr>
          <w:rFonts w:asciiTheme="minorHAnsi" w:hAnsiTheme="minorHAnsi" w:cstheme="minorHAnsi"/>
          <w:iCs/>
        </w:rPr>
      </w:pPr>
    </w:p>
    <w:p w14:paraId="41E8A596" w14:textId="23F1D938" w:rsidR="00C30539" w:rsidRPr="00A75FD6" w:rsidRDefault="00C30539" w:rsidP="00C30539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75FD6">
        <w:rPr>
          <w:rFonts w:asciiTheme="minorHAnsi" w:hAnsiTheme="minorHAnsi" w:cstheme="minorHAnsi"/>
          <w:b/>
          <w:bCs/>
          <w:color w:val="000000" w:themeColor="text1"/>
        </w:rPr>
        <w:t>Textbook:</w:t>
      </w:r>
    </w:p>
    <w:p w14:paraId="1139731B" w14:textId="11BCCFAC" w:rsidR="00A12B42" w:rsidRDefault="003C0585" w:rsidP="00036B4B">
      <w:pPr>
        <w:pStyle w:val="Default"/>
        <w:rPr>
          <w:rFonts w:asciiTheme="minorHAnsi" w:hAnsiTheme="minorHAnsi" w:cstheme="minorHAnsi"/>
          <w:b/>
          <w:bCs/>
          <w:color w:val="4472C4" w:themeColor="accent1"/>
        </w:rPr>
      </w:pPr>
      <w:r w:rsidRPr="003C0585">
        <w:rPr>
          <w:rFonts w:asciiTheme="minorHAnsi" w:hAnsiTheme="minorHAnsi" w:cstheme="minorHAnsi"/>
          <w:b/>
          <w:bCs/>
          <w:color w:val="4472C4" w:themeColor="accent1"/>
        </w:rPr>
        <w:t>*H&amp;R Ch. 12, Product Liability</w:t>
      </w:r>
    </w:p>
    <w:p w14:paraId="75126DEB" w14:textId="14D50047" w:rsidR="0052359D" w:rsidRDefault="0052359D" w:rsidP="00036B4B">
      <w:pPr>
        <w:pStyle w:val="Default"/>
        <w:rPr>
          <w:rFonts w:asciiTheme="minorHAnsi" w:hAnsiTheme="minorHAnsi" w:cstheme="minorHAnsi"/>
          <w:b/>
          <w:bCs/>
          <w:color w:val="4472C4" w:themeColor="accent1"/>
        </w:rPr>
      </w:pPr>
      <w:r w:rsidRPr="00A75FD6">
        <w:rPr>
          <w:rFonts w:asciiTheme="minorHAnsi" w:hAnsiTheme="minorHAnsi" w:cstheme="minorHAnsi"/>
          <w:b/>
          <w:bCs/>
          <w:color w:val="4472C4" w:themeColor="accent1"/>
        </w:rPr>
        <w:t>*</w:t>
      </w:r>
      <w:r>
        <w:rPr>
          <w:rFonts w:asciiTheme="minorHAnsi" w:hAnsiTheme="minorHAnsi" w:cstheme="minorHAnsi"/>
          <w:b/>
          <w:bCs/>
          <w:color w:val="4472C4" w:themeColor="accent1"/>
        </w:rPr>
        <w:t xml:space="preserve">Carty, H., An Analysis of Economic Torts (Oxford Academic Books 2010), </w:t>
      </w:r>
      <w:r w:rsidRPr="00A75FD6">
        <w:rPr>
          <w:rFonts w:asciiTheme="minorHAnsi" w:hAnsiTheme="minorHAnsi" w:cstheme="minorHAnsi"/>
          <w:b/>
          <w:bCs/>
          <w:color w:val="4472C4" w:themeColor="accent1"/>
        </w:rPr>
        <w:t>Ch</w:t>
      </w:r>
      <w:r>
        <w:rPr>
          <w:rFonts w:asciiTheme="minorHAnsi" w:hAnsiTheme="minorHAnsi" w:cstheme="minorHAnsi"/>
          <w:b/>
          <w:bCs/>
          <w:color w:val="4472C4" w:themeColor="accent1"/>
        </w:rPr>
        <w:t>. 11(II) and (V) Passing Off (available on Law Trove through the Library site)</w:t>
      </w:r>
    </w:p>
    <w:p w14:paraId="21039EE3" w14:textId="07496D71" w:rsidR="00C30539" w:rsidRPr="00A741E1" w:rsidRDefault="0052359D" w:rsidP="00A741E1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52359D">
        <w:rPr>
          <w:rFonts w:asciiTheme="minorHAnsi" w:hAnsiTheme="minorHAnsi" w:cstheme="minorHAnsi"/>
          <w:b/>
          <w:bCs/>
          <w:color w:val="4472C4" w:themeColor="accent1"/>
          <w:sz w:val="22"/>
          <w:szCs w:val="22"/>
        </w:rPr>
        <w:tab/>
      </w:r>
      <w:r w:rsidRPr="0052359D">
        <w:rPr>
          <w:rFonts w:asciiTheme="minorHAnsi" w:hAnsiTheme="minorHAnsi" w:cstheme="minorHAnsi"/>
          <w:color w:val="auto"/>
          <w:sz w:val="22"/>
          <w:szCs w:val="22"/>
        </w:rPr>
        <w:t>- if you have a particular interest in this topic, you may wish to read the whole chapter.</w:t>
      </w:r>
    </w:p>
    <w:p w14:paraId="72C3EF66" w14:textId="77777777" w:rsidR="00EB7BDF" w:rsidRPr="00A75FD6" w:rsidRDefault="00EB7BDF" w:rsidP="00C30539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0FF8DC99" w14:textId="27B6FEB6" w:rsidR="00C30539" w:rsidRPr="00A75FD6" w:rsidRDefault="00C30539" w:rsidP="00C30539">
      <w:pPr>
        <w:jc w:val="both"/>
        <w:rPr>
          <w:rFonts w:asciiTheme="minorHAnsi" w:hAnsiTheme="minorHAnsi" w:cstheme="minorHAnsi"/>
          <w:b/>
          <w:color w:val="000000" w:themeColor="text1"/>
        </w:rPr>
      </w:pPr>
      <w:r w:rsidRPr="00A75FD6">
        <w:rPr>
          <w:rFonts w:asciiTheme="minorHAnsi" w:hAnsiTheme="minorHAnsi" w:cstheme="minorHAnsi"/>
          <w:b/>
          <w:color w:val="000000" w:themeColor="text1"/>
        </w:rPr>
        <w:t>Core cases</w:t>
      </w:r>
      <w:r w:rsidR="006B3C8A" w:rsidRPr="00A75FD6">
        <w:rPr>
          <w:rFonts w:asciiTheme="minorHAnsi" w:hAnsiTheme="minorHAnsi" w:cstheme="minorHAnsi"/>
          <w:b/>
          <w:color w:val="000000" w:themeColor="text1"/>
        </w:rPr>
        <w:t>:</w:t>
      </w:r>
    </w:p>
    <w:p w14:paraId="619FB1CC" w14:textId="7B6F15D6" w:rsidR="00C30539" w:rsidRDefault="00E94B6F" w:rsidP="00C30539">
      <w:pPr>
        <w:jc w:val="both"/>
        <w:rPr>
          <w:rFonts w:asciiTheme="minorHAnsi" w:hAnsiTheme="minorHAnsi" w:cstheme="minorHAnsi"/>
        </w:rPr>
      </w:pPr>
      <w:r w:rsidRPr="00E94B6F">
        <w:rPr>
          <w:rFonts w:asciiTheme="minorHAnsi" w:hAnsiTheme="minorHAnsi" w:cstheme="minorHAnsi"/>
          <w:i/>
          <w:iCs/>
        </w:rPr>
        <w:t xml:space="preserve">Erven </w:t>
      </w:r>
      <w:proofErr w:type="spellStart"/>
      <w:r w:rsidRPr="00E94B6F">
        <w:rPr>
          <w:rFonts w:asciiTheme="minorHAnsi" w:hAnsiTheme="minorHAnsi" w:cstheme="minorHAnsi"/>
          <w:i/>
          <w:iCs/>
        </w:rPr>
        <w:t>Warnink</w:t>
      </w:r>
      <w:proofErr w:type="spellEnd"/>
      <w:r w:rsidRPr="00E94B6F">
        <w:rPr>
          <w:rFonts w:asciiTheme="minorHAnsi" w:hAnsiTheme="minorHAnsi" w:cstheme="minorHAnsi"/>
          <w:i/>
          <w:iCs/>
        </w:rPr>
        <w:t xml:space="preserve"> B.V. v J. Townend &amp; Sons (Hull) Ltd</w:t>
      </w:r>
      <w:r w:rsidRPr="00E94B6F">
        <w:rPr>
          <w:rFonts w:eastAsiaTheme="minorEastAsia"/>
        </w:rPr>
        <w:t> </w:t>
      </w:r>
      <w:hyperlink r:id="rId10" w:history="1">
        <w:r w:rsidRPr="00E94B6F">
          <w:rPr>
            <w:rStyle w:val="Hyperlink"/>
            <w:rFonts w:eastAsiaTheme="minorEastAsia"/>
            <w:color w:val="auto"/>
            <w:sz w:val="18"/>
            <w:szCs w:val="18"/>
            <w:u w:val="none"/>
          </w:rPr>
          <w:t>[1979] AC 731</w:t>
        </w:r>
      </w:hyperlink>
      <w:r w:rsidRPr="00E94B6F">
        <w:rPr>
          <w:rFonts w:asciiTheme="minorHAnsi" w:hAnsiTheme="minorHAnsi" w:cstheme="minorHAnsi"/>
          <w:b/>
          <w:bCs/>
        </w:rPr>
        <w:t xml:space="preserve"> </w:t>
      </w:r>
      <w:r w:rsidRPr="00E94B6F">
        <w:rPr>
          <w:rFonts w:asciiTheme="minorHAnsi" w:hAnsiTheme="minorHAnsi" w:cstheme="minorHAnsi"/>
        </w:rPr>
        <w:t>(Advocaat case)</w:t>
      </w:r>
    </w:p>
    <w:p w14:paraId="791B0632" w14:textId="2F827D0B" w:rsidR="00E94B6F" w:rsidRPr="00545553" w:rsidRDefault="00E94B6F" w:rsidP="00C30539">
      <w:pPr>
        <w:jc w:val="both"/>
        <w:rPr>
          <w:rFonts w:asciiTheme="minorHAnsi" w:hAnsiTheme="minorHAnsi" w:cstheme="minorHAnsi"/>
          <w:lang w:val="it-IT"/>
        </w:rPr>
      </w:pPr>
      <w:proofErr w:type="spellStart"/>
      <w:r w:rsidRPr="00545553">
        <w:rPr>
          <w:rFonts w:asciiTheme="minorHAnsi" w:hAnsiTheme="minorHAnsi" w:cstheme="minorHAnsi"/>
          <w:i/>
          <w:iCs/>
          <w:lang w:val="it-IT"/>
        </w:rPr>
        <w:t>Moroccanoil</w:t>
      </w:r>
      <w:proofErr w:type="spellEnd"/>
      <w:r w:rsidRPr="00545553">
        <w:rPr>
          <w:rFonts w:asciiTheme="minorHAnsi" w:hAnsiTheme="minorHAnsi" w:cstheme="minorHAnsi"/>
          <w:i/>
          <w:iCs/>
          <w:lang w:val="it-IT"/>
        </w:rPr>
        <w:t xml:space="preserve"> Israel Ltd v Aldi Stores Ltd</w:t>
      </w:r>
      <w:r w:rsidRPr="00545553">
        <w:rPr>
          <w:rFonts w:asciiTheme="minorHAnsi" w:hAnsiTheme="minorHAnsi" w:cstheme="minorHAnsi"/>
          <w:lang w:val="it-IT"/>
        </w:rPr>
        <w:t xml:space="preserve"> [2014] EWHC 1686</w:t>
      </w:r>
    </w:p>
    <w:p w14:paraId="66DD4B88" w14:textId="69FA03D9" w:rsidR="001B57FF" w:rsidRDefault="001B57FF" w:rsidP="00C30539">
      <w:pPr>
        <w:jc w:val="both"/>
        <w:rPr>
          <w:rFonts w:asciiTheme="minorHAnsi" w:hAnsiTheme="minorHAnsi" w:cstheme="minorHAnsi"/>
        </w:rPr>
      </w:pPr>
      <w:r w:rsidRPr="001B57FF">
        <w:rPr>
          <w:rFonts w:asciiTheme="minorHAnsi" w:hAnsiTheme="minorHAnsi" w:cstheme="minorHAnsi"/>
          <w:i/>
          <w:iCs/>
        </w:rPr>
        <w:t>Diageo v Intercontinental Brands</w:t>
      </w:r>
      <w:r w:rsidRPr="001B57FF">
        <w:rPr>
          <w:rFonts w:asciiTheme="minorHAnsi" w:hAnsiTheme="minorHAnsi" w:cstheme="minorHAnsi"/>
        </w:rPr>
        <w:t xml:space="preserve"> [2010] EWHC 17 (</w:t>
      </w:r>
      <w:proofErr w:type="spellStart"/>
      <w:r>
        <w:rPr>
          <w:rFonts w:asciiTheme="minorHAnsi" w:hAnsiTheme="minorHAnsi" w:cstheme="minorHAnsi"/>
        </w:rPr>
        <w:t>V</w:t>
      </w:r>
      <w:r w:rsidRPr="001B57FF">
        <w:rPr>
          <w:rFonts w:asciiTheme="minorHAnsi" w:hAnsiTheme="minorHAnsi" w:cstheme="minorHAnsi"/>
        </w:rPr>
        <w:t>odkat</w:t>
      </w:r>
      <w:proofErr w:type="spellEnd"/>
      <w:r w:rsidRPr="001B57FF">
        <w:rPr>
          <w:rFonts w:asciiTheme="minorHAnsi" w:hAnsiTheme="minorHAnsi" w:cstheme="minorHAnsi"/>
        </w:rPr>
        <w:t xml:space="preserve"> case)</w:t>
      </w:r>
    </w:p>
    <w:p w14:paraId="1CE7D682" w14:textId="77777777" w:rsidR="003C0585" w:rsidRPr="003C0585" w:rsidRDefault="003C0585" w:rsidP="003C0585">
      <w:pPr>
        <w:jc w:val="both"/>
        <w:rPr>
          <w:rFonts w:asciiTheme="minorHAnsi" w:hAnsiTheme="minorHAnsi" w:cstheme="minorHAnsi"/>
          <w:i/>
          <w:iCs/>
        </w:rPr>
      </w:pPr>
      <w:r w:rsidRPr="003C0585">
        <w:rPr>
          <w:rFonts w:asciiTheme="minorHAnsi" w:hAnsiTheme="minorHAnsi" w:cstheme="minorHAnsi"/>
          <w:i/>
          <w:iCs/>
        </w:rPr>
        <w:t xml:space="preserve">A v National Blood Authority </w:t>
      </w:r>
      <w:r w:rsidRPr="003C0585">
        <w:rPr>
          <w:rFonts w:asciiTheme="minorHAnsi" w:hAnsiTheme="minorHAnsi" w:cstheme="minorHAnsi"/>
        </w:rPr>
        <w:t>[2001] 3 All ER 289</w:t>
      </w:r>
    </w:p>
    <w:p w14:paraId="051CEA62" w14:textId="77777777" w:rsidR="003C0585" w:rsidRPr="003C0585" w:rsidRDefault="003C0585" w:rsidP="003C0585">
      <w:pPr>
        <w:jc w:val="both"/>
        <w:rPr>
          <w:rFonts w:asciiTheme="minorHAnsi" w:hAnsiTheme="minorHAnsi" w:cstheme="minorHAnsi"/>
          <w:i/>
          <w:iCs/>
        </w:rPr>
      </w:pPr>
      <w:r w:rsidRPr="003C0585">
        <w:rPr>
          <w:rFonts w:asciiTheme="minorHAnsi" w:hAnsiTheme="minorHAnsi" w:cstheme="minorHAnsi"/>
          <w:i/>
          <w:iCs/>
        </w:rPr>
        <w:t xml:space="preserve">Wilkes v Depuy International Ltd </w:t>
      </w:r>
      <w:r w:rsidRPr="003C0585">
        <w:rPr>
          <w:rFonts w:asciiTheme="minorHAnsi" w:hAnsiTheme="minorHAnsi" w:cstheme="minorHAnsi"/>
        </w:rPr>
        <w:t>[2016] EWHC 3096 (QB)</w:t>
      </w:r>
    </w:p>
    <w:p w14:paraId="41586B12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  <w:proofErr w:type="spellStart"/>
      <w:r w:rsidRPr="003C0585">
        <w:rPr>
          <w:rFonts w:asciiTheme="minorHAnsi" w:hAnsiTheme="minorHAnsi" w:cstheme="minorHAnsi"/>
          <w:i/>
          <w:iCs/>
        </w:rPr>
        <w:t>Abouzaid</w:t>
      </w:r>
      <w:proofErr w:type="spellEnd"/>
      <w:r w:rsidRPr="003C0585">
        <w:rPr>
          <w:rFonts w:asciiTheme="minorHAnsi" w:hAnsiTheme="minorHAnsi" w:cstheme="minorHAnsi"/>
          <w:i/>
          <w:iCs/>
        </w:rPr>
        <w:t xml:space="preserve"> v Mothercare (UK) Ltd </w:t>
      </w:r>
      <w:r w:rsidRPr="003C0585">
        <w:rPr>
          <w:rFonts w:asciiTheme="minorHAnsi" w:hAnsiTheme="minorHAnsi" w:cstheme="minorHAnsi"/>
        </w:rPr>
        <w:t>[2000] All ER (D) 2436</w:t>
      </w:r>
    </w:p>
    <w:p w14:paraId="78107797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  <w:i/>
          <w:iCs/>
        </w:rPr>
        <w:t xml:space="preserve">B (a child) v McDonald’s Restaurants Ltd </w:t>
      </w:r>
      <w:r w:rsidRPr="003C0585">
        <w:rPr>
          <w:rFonts w:asciiTheme="minorHAnsi" w:hAnsiTheme="minorHAnsi" w:cstheme="minorHAnsi"/>
        </w:rPr>
        <w:t>[2002] EWHC 490 (QB)</w:t>
      </w:r>
    </w:p>
    <w:p w14:paraId="02D71D89" w14:textId="77777777" w:rsidR="00A741E1" w:rsidRDefault="003C0585" w:rsidP="00C30539">
      <w:pPr>
        <w:jc w:val="both"/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  <w:i/>
          <w:iCs/>
        </w:rPr>
        <w:t xml:space="preserve">Tesco Stores v Pollard </w:t>
      </w:r>
      <w:r w:rsidRPr="003C0585">
        <w:rPr>
          <w:rFonts w:asciiTheme="minorHAnsi" w:hAnsiTheme="minorHAnsi" w:cstheme="minorHAnsi"/>
        </w:rPr>
        <w:t xml:space="preserve">[2006] EWCA </w:t>
      </w:r>
      <w:proofErr w:type="spellStart"/>
      <w:r w:rsidRPr="003C0585">
        <w:rPr>
          <w:rFonts w:asciiTheme="minorHAnsi" w:hAnsiTheme="minorHAnsi" w:cstheme="minorHAnsi"/>
        </w:rPr>
        <w:t>Civ</w:t>
      </w:r>
      <w:proofErr w:type="spellEnd"/>
      <w:r w:rsidRPr="003C0585">
        <w:rPr>
          <w:rFonts w:asciiTheme="minorHAnsi" w:hAnsiTheme="minorHAnsi" w:cstheme="minorHAnsi"/>
        </w:rPr>
        <w:t xml:space="preserve"> 393</w:t>
      </w:r>
    </w:p>
    <w:p w14:paraId="6700107E" w14:textId="30D08A61" w:rsidR="00E94B6F" w:rsidRDefault="00A741E1" w:rsidP="00C30539">
      <w:pPr>
        <w:jc w:val="both"/>
        <w:rPr>
          <w:rFonts w:asciiTheme="minorHAnsi" w:hAnsiTheme="minorHAnsi" w:cstheme="minorHAnsi"/>
        </w:rPr>
      </w:pPr>
      <w:proofErr w:type="spellStart"/>
      <w:r w:rsidRPr="00A741E1">
        <w:rPr>
          <w:rFonts w:asciiTheme="minorHAnsi" w:hAnsiTheme="minorHAnsi" w:cstheme="minorHAnsi"/>
          <w:i/>
          <w:iCs/>
        </w:rPr>
        <w:t>Thatchers</w:t>
      </w:r>
      <w:proofErr w:type="spellEnd"/>
      <w:r w:rsidRPr="00A741E1">
        <w:rPr>
          <w:rFonts w:asciiTheme="minorHAnsi" w:hAnsiTheme="minorHAnsi" w:cstheme="minorHAnsi"/>
          <w:i/>
          <w:iCs/>
        </w:rPr>
        <w:t xml:space="preserve"> Cider Company Ltd v Aldi Stores Ltd</w:t>
      </w:r>
      <w:r w:rsidRPr="00A741E1">
        <w:rPr>
          <w:rFonts w:asciiTheme="minorHAnsi" w:hAnsiTheme="minorHAnsi" w:cstheme="minorHAnsi"/>
        </w:rPr>
        <w:t xml:space="preserve"> [2025] EWCA </w:t>
      </w:r>
      <w:proofErr w:type="spellStart"/>
      <w:r w:rsidRPr="00A741E1">
        <w:rPr>
          <w:rFonts w:asciiTheme="minorHAnsi" w:hAnsiTheme="minorHAnsi" w:cstheme="minorHAnsi"/>
        </w:rPr>
        <w:t>Civ</w:t>
      </w:r>
      <w:proofErr w:type="spellEnd"/>
      <w:r w:rsidRPr="00A741E1">
        <w:rPr>
          <w:rFonts w:asciiTheme="minorHAnsi" w:hAnsiTheme="minorHAnsi" w:cstheme="minorHAnsi"/>
        </w:rPr>
        <w:t xml:space="preserve"> 5</w:t>
      </w:r>
    </w:p>
    <w:p w14:paraId="7B13101F" w14:textId="77777777" w:rsidR="00A741E1" w:rsidRPr="00A75FD6" w:rsidRDefault="00A741E1" w:rsidP="00C30539">
      <w:pPr>
        <w:jc w:val="both"/>
        <w:rPr>
          <w:rFonts w:asciiTheme="minorHAnsi" w:hAnsiTheme="minorHAnsi" w:cstheme="minorHAnsi"/>
        </w:rPr>
      </w:pPr>
    </w:p>
    <w:p w14:paraId="4674D5A5" w14:textId="29B76E20" w:rsidR="00C30539" w:rsidRPr="00A75FD6" w:rsidRDefault="00C30539" w:rsidP="00C30539">
      <w:pPr>
        <w:jc w:val="both"/>
        <w:rPr>
          <w:rFonts w:asciiTheme="minorHAnsi" w:hAnsiTheme="minorHAnsi" w:cstheme="minorHAnsi"/>
          <w:b/>
          <w:bCs/>
        </w:rPr>
      </w:pPr>
      <w:r w:rsidRPr="00A75FD6">
        <w:rPr>
          <w:rFonts w:asciiTheme="minorHAnsi" w:hAnsiTheme="minorHAnsi" w:cstheme="minorHAnsi"/>
          <w:b/>
          <w:bCs/>
        </w:rPr>
        <w:t>Article</w:t>
      </w:r>
      <w:r w:rsidR="00A12B42">
        <w:rPr>
          <w:rFonts w:asciiTheme="minorHAnsi" w:hAnsiTheme="minorHAnsi" w:cstheme="minorHAnsi"/>
          <w:b/>
          <w:bCs/>
        </w:rPr>
        <w:t>s</w:t>
      </w:r>
      <w:r w:rsidR="006B3C8A" w:rsidRPr="00A75FD6">
        <w:rPr>
          <w:rFonts w:asciiTheme="minorHAnsi" w:hAnsiTheme="minorHAnsi" w:cstheme="minorHAnsi"/>
          <w:b/>
          <w:bCs/>
        </w:rPr>
        <w:t>:</w:t>
      </w:r>
    </w:p>
    <w:p w14:paraId="118E564B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</w:rPr>
        <w:t xml:space="preserve">Cain, K., </w:t>
      </w:r>
      <w:r w:rsidRPr="003C0585">
        <w:rPr>
          <w:rFonts w:asciiTheme="minorHAnsi" w:hAnsiTheme="minorHAnsi" w:cstheme="minorHAnsi"/>
          <w:i/>
          <w:iCs/>
        </w:rPr>
        <w:t xml:space="preserve">The McDonald’s Coffee Lawsuit </w:t>
      </w:r>
      <w:r w:rsidRPr="003C0585">
        <w:rPr>
          <w:rFonts w:asciiTheme="minorHAnsi" w:hAnsiTheme="minorHAnsi" w:cstheme="minorHAnsi"/>
        </w:rPr>
        <w:t xml:space="preserve">J. of Consumer &amp; Commercial L., </w:t>
      </w:r>
      <w:r w:rsidRPr="003C0585">
        <w:rPr>
          <w:rFonts w:asciiTheme="minorHAnsi" w:hAnsiTheme="minorHAnsi" w:cstheme="minorHAnsi"/>
          <w:i/>
          <w:iCs/>
        </w:rPr>
        <w:t xml:space="preserve">available at /http://www.jtexconsumerlaw.com/V11N1/Coffee.pdf. </w:t>
      </w:r>
      <w:r w:rsidRPr="003C0585">
        <w:rPr>
          <w:rFonts w:asciiTheme="minorHAnsi" w:hAnsiTheme="minorHAnsi" w:cstheme="minorHAnsi"/>
        </w:rPr>
        <w:t xml:space="preserve">(Short article on the </w:t>
      </w:r>
      <w:r w:rsidRPr="003C0585">
        <w:rPr>
          <w:rFonts w:asciiTheme="minorHAnsi" w:hAnsiTheme="minorHAnsi" w:cstheme="minorHAnsi"/>
          <w:i/>
          <w:iCs/>
        </w:rPr>
        <w:t xml:space="preserve">Liebeck </w:t>
      </w:r>
      <w:r w:rsidRPr="003C0585">
        <w:rPr>
          <w:rFonts w:asciiTheme="minorHAnsi" w:hAnsiTheme="minorHAnsi" w:cstheme="minorHAnsi"/>
        </w:rPr>
        <w:t>US suit).</w:t>
      </w:r>
    </w:p>
    <w:p w14:paraId="1C913A7D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</w:p>
    <w:p w14:paraId="0A7D8C94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</w:rPr>
        <w:lastRenderedPageBreak/>
        <w:t>Eisler, J., ‘One Step Forward and Two Steps Back in Product Liability: The Search for Clarity in the Identification of Defects’ [2017] Cambridge L. J. 233</w:t>
      </w:r>
    </w:p>
    <w:p w14:paraId="0D86C1F7" w14:textId="77777777" w:rsidR="003C0585" w:rsidRPr="003C0585" w:rsidRDefault="003C0585" w:rsidP="003C0585">
      <w:pPr>
        <w:jc w:val="both"/>
        <w:rPr>
          <w:rFonts w:asciiTheme="minorHAnsi" w:hAnsiTheme="minorHAnsi" w:cstheme="minorHAnsi"/>
          <w:u w:val="single"/>
        </w:rPr>
      </w:pPr>
    </w:p>
    <w:p w14:paraId="05CBDD0D" w14:textId="77777777" w:rsidR="003C0585" w:rsidRPr="003C0585" w:rsidRDefault="003C0585" w:rsidP="003C0585">
      <w:pPr>
        <w:jc w:val="both"/>
        <w:rPr>
          <w:rFonts w:asciiTheme="minorHAnsi" w:hAnsiTheme="minorHAnsi" w:cstheme="minorHAnsi"/>
        </w:rPr>
      </w:pPr>
      <w:r w:rsidRPr="003C0585">
        <w:rPr>
          <w:rFonts w:asciiTheme="minorHAnsi" w:hAnsiTheme="minorHAnsi" w:cstheme="minorHAnsi"/>
        </w:rPr>
        <w:t>Giliker, P., ‘Strict Liability for Defective Goods: The Ongoing Debate’ (2003) 24 Business L. Rev. 87</w:t>
      </w:r>
    </w:p>
    <w:p w14:paraId="2C44A57C" w14:textId="77777777" w:rsidR="0052359D" w:rsidRPr="00425FD2" w:rsidRDefault="0052359D" w:rsidP="00C30539">
      <w:pPr>
        <w:jc w:val="both"/>
        <w:rPr>
          <w:rFonts w:asciiTheme="minorHAnsi" w:hAnsiTheme="minorHAnsi" w:cstheme="minorHAnsi"/>
        </w:rPr>
      </w:pPr>
    </w:p>
    <w:p w14:paraId="2F211048" w14:textId="77777777" w:rsidR="005464F7" w:rsidRPr="00A75FD6" w:rsidRDefault="005464F7" w:rsidP="005B6558">
      <w:pPr>
        <w:rPr>
          <w:rFonts w:asciiTheme="minorHAnsi" w:hAnsiTheme="minorHAnsi" w:cstheme="minorHAnsi"/>
          <w:b/>
          <w:bCs/>
          <w:u w:val="single"/>
        </w:rPr>
      </w:pPr>
    </w:p>
    <w:p w14:paraId="73712D9B" w14:textId="06878056" w:rsidR="00502212" w:rsidRPr="00A75FD6" w:rsidRDefault="00502212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  <w:b/>
          <w:bCs/>
          <w:u w:val="single"/>
        </w:rPr>
      </w:pPr>
      <w:r w:rsidRPr="00A75FD6">
        <w:rPr>
          <w:rFonts w:asciiTheme="minorHAnsi" w:hAnsiTheme="minorHAnsi" w:cstheme="minorHAnsi"/>
          <w:b/>
          <w:bCs/>
          <w:u w:val="single"/>
        </w:rPr>
        <w:t>Beyond tort</w:t>
      </w:r>
    </w:p>
    <w:p w14:paraId="08824148" w14:textId="2C1A550F" w:rsidR="00AA2EA1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</w:rPr>
      </w:pPr>
      <w:r w:rsidRPr="00A75FD6">
        <w:rPr>
          <w:rFonts w:asciiTheme="minorHAnsi" w:hAnsiTheme="minorHAnsi" w:cstheme="minorHAnsi"/>
          <w:b/>
          <w:bCs/>
        </w:rPr>
        <w:t>Read:</w:t>
      </w:r>
      <w:r w:rsidR="00E869B9">
        <w:rPr>
          <w:rFonts w:asciiTheme="minorHAnsi" w:hAnsiTheme="minorHAnsi" w:cstheme="minorHAnsi"/>
        </w:rPr>
        <w:t xml:space="preserve"> Malin, J., ‘The 100 Year Old Loophole That Makes California Champagne Legal’, </w:t>
      </w:r>
      <w:proofErr w:type="spellStart"/>
      <w:r w:rsidR="00E869B9">
        <w:rPr>
          <w:rFonts w:asciiTheme="minorHAnsi" w:hAnsiTheme="minorHAnsi" w:cstheme="minorHAnsi"/>
        </w:rPr>
        <w:t>Vinepair</w:t>
      </w:r>
      <w:proofErr w:type="spellEnd"/>
      <w:r w:rsidR="00E869B9">
        <w:rPr>
          <w:rFonts w:asciiTheme="minorHAnsi" w:hAnsiTheme="minorHAnsi" w:cstheme="minorHAnsi"/>
        </w:rPr>
        <w:t xml:space="preserve"> (29 Jun. 2015)  </w:t>
      </w:r>
      <w:hyperlink r:id="rId11" w:history="1">
        <w:r w:rsidR="00E869B9" w:rsidRPr="00453D3B">
          <w:rPr>
            <w:rStyle w:val="Hyperlink"/>
            <w:rFonts w:asciiTheme="minorHAnsi" w:hAnsiTheme="minorHAnsi" w:cstheme="minorHAnsi"/>
          </w:rPr>
          <w:t>https://vinepair.com/wine-blog/loophole-california-champagne-legal/</w:t>
        </w:r>
      </w:hyperlink>
      <w:r w:rsidR="00E869B9">
        <w:rPr>
          <w:rFonts w:asciiTheme="minorHAnsi" w:hAnsiTheme="minorHAnsi" w:cstheme="minorHAnsi"/>
        </w:rPr>
        <w:t xml:space="preserve">.  A clear explainer on how Champagne ‘escaped’ France and </w:t>
      </w:r>
      <w:proofErr w:type="gramStart"/>
      <w:r w:rsidR="00E869B9">
        <w:rPr>
          <w:rFonts w:asciiTheme="minorHAnsi" w:hAnsiTheme="minorHAnsi" w:cstheme="minorHAnsi"/>
        </w:rPr>
        <w:t>whether or not</w:t>
      </w:r>
      <w:proofErr w:type="gramEnd"/>
      <w:r w:rsidR="00E869B9">
        <w:rPr>
          <w:rFonts w:asciiTheme="minorHAnsi" w:hAnsiTheme="minorHAnsi" w:cstheme="minorHAnsi"/>
        </w:rPr>
        <w:t xml:space="preserve"> consumers are confused when purchasing Champagne.</w:t>
      </w:r>
    </w:p>
    <w:p w14:paraId="67F4011C" w14:textId="77777777" w:rsidR="003C0585" w:rsidRDefault="003C0585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</w:rPr>
      </w:pPr>
    </w:p>
    <w:p w14:paraId="7DC52250" w14:textId="136730E3" w:rsidR="003C0585" w:rsidRPr="00A75FD6" w:rsidRDefault="003C0585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Also: </w:t>
      </w:r>
      <w:r w:rsidRPr="003C0585">
        <w:rPr>
          <w:rFonts w:asciiTheme="minorHAnsi" w:hAnsiTheme="minorHAnsi" w:cstheme="minorHAnsi"/>
        </w:rPr>
        <w:t xml:space="preserve">King, S.  </w:t>
      </w:r>
      <w:r w:rsidRPr="003C0585">
        <w:rPr>
          <w:rFonts w:asciiTheme="minorHAnsi" w:hAnsiTheme="minorHAnsi" w:cstheme="minorHAnsi"/>
          <w:i/>
          <w:iCs/>
        </w:rPr>
        <w:t>Needful Things</w:t>
      </w:r>
      <w:r w:rsidRPr="003C0585">
        <w:rPr>
          <w:rFonts w:asciiTheme="minorHAnsi" w:hAnsiTheme="minorHAnsi" w:cstheme="minorHAnsi"/>
        </w:rPr>
        <w:t xml:space="preserve"> (Viking 1991).  A fantastic read (horror genre warning) – I’ll leave to you to determine whether goods sold at the Needful Things collectible and antiques shop are defective under the CPA.</w:t>
      </w:r>
    </w:p>
    <w:p w14:paraId="53489F03" w14:textId="77777777" w:rsidR="004836EA" w:rsidRPr="00A75FD6" w:rsidRDefault="004836EA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  <w:b/>
          <w:bCs/>
          <w:u w:val="single"/>
        </w:rPr>
      </w:pPr>
    </w:p>
    <w:p w14:paraId="4CFB0519" w14:textId="54FF70D0" w:rsidR="003C0585" w:rsidRPr="00182C8D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</w:rPr>
      </w:pPr>
      <w:r w:rsidRPr="00A75FD6">
        <w:rPr>
          <w:rFonts w:asciiTheme="minorHAnsi" w:hAnsiTheme="minorHAnsi" w:cstheme="minorHAnsi"/>
          <w:b/>
          <w:bCs/>
        </w:rPr>
        <w:t>Watch:</w:t>
      </w:r>
      <w:r w:rsidR="00E869B9">
        <w:rPr>
          <w:rFonts w:asciiTheme="minorHAnsi" w:hAnsiTheme="minorHAnsi" w:cstheme="minorHAnsi"/>
          <w:i/>
          <w:iCs/>
        </w:rPr>
        <w:t xml:space="preserve"> </w:t>
      </w:r>
      <w:r w:rsidR="00182C8D">
        <w:rPr>
          <w:rFonts w:asciiTheme="minorHAnsi" w:hAnsiTheme="minorHAnsi" w:cstheme="minorHAnsi"/>
        </w:rPr>
        <w:t>‘The Founder’ (Netflix</w:t>
      </w:r>
      <w:r w:rsidR="001D1C6A">
        <w:rPr>
          <w:rFonts w:asciiTheme="minorHAnsi" w:hAnsiTheme="minorHAnsi" w:cstheme="minorHAnsi"/>
        </w:rPr>
        <w:t xml:space="preserve"> 2016</w:t>
      </w:r>
      <w:r w:rsidR="00182C8D">
        <w:rPr>
          <w:rFonts w:asciiTheme="minorHAnsi" w:hAnsiTheme="minorHAnsi" w:cstheme="minorHAnsi"/>
        </w:rPr>
        <w:t>).  Called ‘a Soulless Corporate Parable for Our Times’ by GQ, this film traces the development and franchising of McDonalds</w:t>
      </w:r>
      <w:r w:rsidR="001D1C6A">
        <w:rPr>
          <w:rFonts w:asciiTheme="minorHAnsi" w:hAnsiTheme="minorHAnsi" w:cstheme="minorHAnsi"/>
        </w:rPr>
        <w:t xml:space="preserve">: </w:t>
      </w:r>
      <w:proofErr w:type="gramStart"/>
      <w:r w:rsidR="001D1C6A">
        <w:rPr>
          <w:rFonts w:asciiTheme="minorHAnsi" w:hAnsiTheme="minorHAnsi" w:cstheme="minorHAnsi"/>
        </w:rPr>
        <w:t>also</w:t>
      </w:r>
      <w:proofErr w:type="gramEnd"/>
      <w:r w:rsidR="001D1C6A">
        <w:rPr>
          <w:rFonts w:asciiTheme="minorHAnsi" w:hAnsiTheme="minorHAnsi" w:cstheme="minorHAnsi"/>
        </w:rPr>
        <w:t xml:space="preserve"> a parable for the importance of trade marking and protecting your intellectual property.</w:t>
      </w:r>
      <w:r w:rsidR="00182C8D">
        <w:rPr>
          <w:rFonts w:asciiTheme="minorHAnsi" w:hAnsiTheme="minorHAnsi" w:cstheme="minorHAnsi"/>
        </w:rPr>
        <w:t xml:space="preserve">  Honourable mention: ‘The Social Network’</w:t>
      </w:r>
      <w:r w:rsidR="001D1C6A">
        <w:rPr>
          <w:rFonts w:asciiTheme="minorHAnsi" w:hAnsiTheme="minorHAnsi" w:cstheme="minorHAnsi"/>
        </w:rPr>
        <w:t xml:space="preserve"> (Sony Pictures 2010).</w:t>
      </w:r>
    </w:p>
    <w:p w14:paraId="00FD24A8" w14:textId="77777777" w:rsidR="00A75FD6" w:rsidRPr="00A75FD6" w:rsidRDefault="00A75FD6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Theme="minorHAnsi" w:hAnsiTheme="minorHAnsi" w:cstheme="minorHAnsi"/>
        </w:rPr>
      </w:pPr>
    </w:p>
    <w:p w14:paraId="19C79F46" w14:textId="1AF2B738" w:rsidR="00502212" w:rsidRPr="001B57FF" w:rsidRDefault="00AA2EA1" w:rsidP="0050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b/>
          <w:bCs/>
        </w:rPr>
      </w:pPr>
      <w:r w:rsidRPr="00A75FD6">
        <w:rPr>
          <w:rFonts w:asciiTheme="minorHAnsi" w:hAnsiTheme="minorHAnsi" w:cstheme="minorHAnsi"/>
          <w:b/>
          <w:bCs/>
        </w:rPr>
        <w:t>Listen:</w:t>
      </w:r>
      <w:r w:rsidR="00AD37CF" w:rsidRPr="00A75FD6">
        <w:rPr>
          <w:rFonts w:asciiTheme="minorHAnsi" w:hAnsiTheme="minorHAnsi" w:cstheme="minorHAnsi"/>
        </w:rPr>
        <w:t xml:space="preserve"> </w:t>
      </w:r>
      <w:r w:rsidR="003C0585" w:rsidRPr="003C0585">
        <w:rPr>
          <w:rFonts w:asciiTheme="minorHAnsi" w:hAnsiTheme="minorHAnsi" w:cstheme="minorHAnsi"/>
        </w:rPr>
        <w:t xml:space="preserve">‘The Martin Lewis Podcast,’ BBC,  </w:t>
      </w:r>
      <w:hyperlink r:id="rId12" w:history="1">
        <w:r w:rsidR="003C0585" w:rsidRPr="003C0585">
          <w:rPr>
            <w:rStyle w:val="Hyperlink"/>
            <w:rFonts w:asciiTheme="minorHAnsi" w:hAnsiTheme="minorHAnsi" w:cstheme="minorHAnsi"/>
          </w:rPr>
          <w:t>https://www.moneysavingexpert.com/site/listen-to--the-martin-</w:t>
        </w:r>
        <w:proofErr w:type="spellStart"/>
        <w:r w:rsidR="003C0585" w:rsidRPr="003C0585">
          <w:rPr>
            <w:rStyle w:val="Hyperlink"/>
            <w:rFonts w:asciiTheme="minorHAnsi" w:hAnsiTheme="minorHAnsi" w:cstheme="minorHAnsi"/>
          </w:rPr>
          <w:t>lewis</w:t>
        </w:r>
        <w:proofErr w:type="spellEnd"/>
        <w:r w:rsidR="003C0585" w:rsidRPr="003C0585">
          <w:rPr>
            <w:rStyle w:val="Hyperlink"/>
            <w:rFonts w:asciiTheme="minorHAnsi" w:hAnsiTheme="minorHAnsi" w:cstheme="minorHAnsi"/>
          </w:rPr>
          <w:t>-podcast-/</w:t>
        </w:r>
      </w:hyperlink>
      <w:r w:rsidR="003C0585" w:rsidRPr="003C0585">
        <w:rPr>
          <w:rFonts w:asciiTheme="minorHAnsi" w:hAnsiTheme="minorHAnsi" w:cstheme="minorHAnsi"/>
        </w:rPr>
        <w:t xml:space="preserve"> .  Overall good advice on products, services, and money with a dedicated student section.</w:t>
      </w:r>
    </w:p>
    <w:sectPr w:rsidR="00502212" w:rsidRPr="001B57FF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8532" w14:textId="77777777" w:rsidR="00647D44" w:rsidRDefault="00647D44" w:rsidP="00E466D6">
      <w:r>
        <w:separator/>
      </w:r>
    </w:p>
  </w:endnote>
  <w:endnote w:type="continuationSeparator" w:id="0">
    <w:p w14:paraId="2AC00A28" w14:textId="77777777" w:rsidR="00647D44" w:rsidRDefault="00647D44" w:rsidP="00E466D6">
      <w:r>
        <w:continuationSeparator/>
      </w:r>
    </w:p>
  </w:endnote>
  <w:endnote w:type="continuationNotice" w:id="1">
    <w:p w14:paraId="072E0E3A" w14:textId="77777777" w:rsidR="00647D44" w:rsidRDefault="00647D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ings Caslon Text">
    <w:altName w:val="Calibri"/>
    <w:charset w:val="00"/>
    <w:family w:val="auto"/>
    <w:pitch w:val="variable"/>
    <w:sig w:usb0="A00000AF" w:usb1="5000205B" w:usb2="00000000" w:usb3="00000000" w:csb0="0000009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3164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BD83DD" w14:textId="28B06BF9" w:rsidR="00E466D6" w:rsidRDefault="00E466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27875F" w14:textId="77777777" w:rsidR="00E466D6" w:rsidRDefault="00E46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4958" w14:textId="77777777" w:rsidR="00647D44" w:rsidRDefault="00647D44" w:rsidP="00E466D6">
      <w:r>
        <w:separator/>
      </w:r>
    </w:p>
  </w:footnote>
  <w:footnote w:type="continuationSeparator" w:id="0">
    <w:p w14:paraId="110FC51E" w14:textId="77777777" w:rsidR="00647D44" w:rsidRDefault="00647D44" w:rsidP="00E466D6">
      <w:r>
        <w:continuationSeparator/>
      </w:r>
    </w:p>
  </w:footnote>
  <w:footnote w:type="continuationNotice" w:id="1">
    <w:p w14:paraId="0314A5FD" w14:textId="77777777" w:rsidR="00647D44" w:rsidRDefault="00647D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1B8"/>
    <w:multiLevelType w:val="hybridMultilevel"/>
    <w:tmpl w:val="DDCA3368"/>
    <w:lvl w:ilvl="0" w:tplc="39C2460E"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  <w:color w:val="4472C4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43E75"/>
    <w:multiLevelType w:val="hybridMultilevel"/>
    <w:tmpl w:val="BFFEF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2" w:tplc="9DE8502A">
      <w:numFmt w:val="bullet"/>
      <w:lvlText w:val="-"/>
      <w:lvlJc w:val="left"/>
      <w:pPr>
        <w:ind w:left="1069" w:hanging="360"/>
      </w:pPr>
      <w:rPr>
        <w:rFonts w:ascii="Kings Caslon Text" w:eastAsia="Times New Roman" w:hAnsi="Kings Caslon Text" w:cs="Palatino Linotype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34C5C"/>
    <w:multiLevelType w:val="hybridMultilevel"/>
    <w:tmpl w:val="FD2894AE"/>
    <w:lvl w:ilvl="0" w:tplc="5288A1E6">
      <w:start w:val="1"/>
      <w:numFmt w:val="lowerRoman"/>
      <w:lvlText w:val="(%1)"/>
      <w:lvlJc w:val="left"/>
      <w:pPr>
        <w:ind w:left="1080" w:hanging="720"/>
      </w:pPr>
      <w:rPr>
        <w:rFonts w:hint="default"/>
        <w:i/>
        <w:i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F73FA"/>
    <w:multiLevelType w:val="hybridMultilevel"/>
    <w:tmpl w:val="1158D01A"/>
    <w:lvl w:ilvl="0" w:tplc="1D82532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ECE6D9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908A842A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954D8D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51EE717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0580806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1778D0B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A5A8C8C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B6C3CFA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4" w15:restartNumberingAfterBreak="0">
    <w:nsid w:val="52A83A9C"/>
    <w:multiLevelType w:val="hybridMultilevel"/>
    <w:tmpl w:val="4D8459A2"/>
    <w:lvl w:ilvl="0" w:tplc="27961B1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545E5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3C62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06ACE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84E72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68B92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D08DA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ACFED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9691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04102"/>
    <w:multiLevelType w:val="hybridMultilevel"/>
    <w:tmpl w:val="3A0E844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4D2831"/>
    <w:multiLevelType w:val="hybridMultilevel"/>
    <w:tmpl w:val="26DC3322"/>
    <w:lvl w:ilvl="0" w:tplc="11B822E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BFAA7A2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77044C1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D38C42A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45F4213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9A2C38D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C466039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E7BCAF5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8A2893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7" w15:restartNumberingAfterBreak="0">
    <w:nsid w:val="676426BA"/>
    <w:multiLevelType w:val="hybridMultilevel"/>
    <w:tmpl w:val="475892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D007087"/>
    <w:multiLevelType w:val="hybridMultilevel"/>
    <w:tmpl w:val="4FE45596"/>
    <w:lvl w:ilvl="0" w:tplc="EAA2E62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44654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84555A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D0C80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46B21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E4E4B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40CB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7E18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0DC74D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790A41C2"/>
    <w:multiLevelType w:val="hybridMultilevel"/>
    <w:tmpl w:val="F5E03E6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3901427">
    <w:abstractNumId w:val="5"/>
  </w:num>
  <w:num w:numId="2" w16cid:durableId="386034351">
    <w:abstractNumId w:val="7"/>
  </w:num>
  <w:num w:numId="3" w16cid:durableId="1498956819">
    <w:abstractNumId w:val="2"/>
  </w:num>
  <w:num w:numId="4" w16cid:durableId="122962659">
    <w:abstractNumId w:val="9"/>
  </w:num>
  <w:num w:numId="5" w16cid:durableId="1455295456">
    <w:abstractNumId w:val="1"/>
  </w:num>
  <w:num w:numId="6" w16cid:durableId="552277300">
    <w:abstractNumId w:val="6"/>
  </w:num>
  <w:num w:numId="7" w16cid:durableId="1698315739">
    <w:abstractNumId w:val="3"/>
  </w:num>
  <w:num w:numId="8" w16cid:durableId="1260529949">
    <w:abstractNumId w:val="8"/>
  </w:num>
  <w:num w:numId="9" w16cid:durableId="949707496">
    <w:abstractNumId w:val="0"/>
  </w:num>
  <w:num w:numId="10" w16cid:durableId="645623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D6"/>
    <w:rsid w:val="0002129D"/>
    <w:rsid w:val="00022F95"/>
    <w:rsid w:val="000260F4"/>
    <w:rsid w:val="00036B4B"/>
    <w:rsid w:val="00043939"/>
    <w:rsid w:val="00056315"/>
    <w:rsid w:val="00077389"/>
    <w:rsid w:val="000801BD"/>
    <w:rsid w:val="00082EFF"/>
    <w:rsid w:val="0008373E"/>
    <w:rsid w:val="00084489"/>
    <w:rsid w:val="00091D90"/>
    <w:rsid w:val="00097444"/>
    <w:rsid w:val="0009748A"/>
    <w:rsid w:val="00097873"/>
    <w:rsid w:val="000A597D"/>
    <w:rsid w:val="000B1DCA"/>
    <w:rsid w:val="000B3547"/>
    <w:rsid w:val="000B4EA1"/>
    <w:rsid w:val="000D393F"/>
    <w:rsid w:val="000D4C08"/>
    <w:rsid w:val="000E49AD"/>
    <w:rsid w:val="000E6E03"/>
    <w:rsid w:val="000F0236"/>
    <w:rsid w:val="000F0937"/>
    <w:rsid w:val="001002DB"/>
    <w:rsid w:val="001052E1"/>
    <w:rsid w:val="00111F1F"/>
    <w:rsid w:val="001154A1"/>
    <w:rsid w:val="00115C5E"/>
    <w:rsid w:val="00122CFA"/>
    <w:rsid w:val="001239A8"/>
    <w:rsid w:val="00134436"/>
    <w:rsid w:val="00141E86"/>
    <w:rsid w:val="001439A0"/>
    <w:rsid w:val="001445BD"/>
    <w:rsid w:val="0014511D"/>
    <w:rsid w:val="00145995"/>
    <w:rsid w:val="00163D7B"/>
    <w:rsid w:val="00172B97"/>
    <w:rsid w:val="001730F8"/>
    <w:rsid w:val="00175EDB"/>
    <w:rsid w:val="0017713E"/>
    <w:rsid w:val="00182C8D"/>
    <w:rsid w:val="001965D5"/>
    <w:rsid w:val="001B57FF"/>
    <w:rsid w:val="001C7487"/>
    <w:rsid w:val="001D1C6A"/>
    <w:rsid w:val="001F3570"/>
    <w:rsid w:val="0021291C"/>
    <w:rsid w:val="0021563C"/>
    <w:rsid w:val="00221572"/>
    <w:rsid w:val="0023379D"/>
    <w:rsid w:val="002428D8"/>
    <w:rsid w:val="0025521F"/>
    <w:rsid w:val="002668FE"/>
    <w:rsid w:val="002674D0"/>
    <w:rsid w:val="0027159C"/>
    <w:rsid w:val="0029086E"/>
    <w:rsid w:val="002C267B"/>
    <w:rsid w:val="002D4D23"/>
    <w:rsid w:val="002D7884"/>
    <w:rsid w:val="002F0682"/>
    <w:rsid w:val="002F36A1"/>
    <w:rsid w:val="003025BF"/>
    <w:rsid w:val="00312AF7"/>
    <w:rsid w:val="0032354B"/>
    <w:rsid w:val="003549A2"/>
    <w:rsid w:val="00365F91"/>
    <w:rsid w:val="0039358F"/>
    <w:rsid w:val="00397924"/>
    <w:rsid w:val="003A0081"/>
    <w:rsid w:val="003A325B"/>
    <w:rsid w:val="003A698B"/>
    <w:rsid w:val="003B72EC"/>
    <w:rsid w:val="003C0585"/>
    <w:rsid w:val="003C3A67"/>
    <w:rsid w:val="003C68C5"/>
    <w:rsid w:val="003D17E9"/>
    <w:rsid w:val="003D711A"/>
    <w:rsid w:val="003E291B"/>
    <w:rsid w:val="003E62EA"/>
    <w:rsid w:val="003E73C9"/>
    <w:rsid w:val="004114DD"/>
    <w:rsid w:val="00413EC9"/>
    <w:rsid w:val="00417400"/>
    <w:rsid w:val="004209DD"/>
    <w:rsid w:val="00425FD2"/>
    <w:rsid w:val="00430FC9"/>
    <w:rsid w:val="004430CF"/>
    <w:rsid w:val="00450A99"/>
    <w:rsid w:val="00452485"/>
    <w:rsid w:val="00454DB5"/>
    <w:rsid w:val="00456685"/>
    <w:rsid w:val="004836EA"/>
    <w:rsid w:val="00487400"/>
    <w:rsid w:val="004A1B09"/>
    <w:rsid w:val="004B0786"/>
    <w:rsid w:val="004B377E"/>
    <w:rsid w:val="004B73E4"/>
    <w:rsid w:val="004C79BB"/>
    <w:rsid w:val="004D2885"/>
    <w:rsid w:val="004E2317"/>
    <w:rsid w:val="004E51B0"/>
    <w:rsid w:val="004F2666"/>
    <w:rsid w:val="00502212"/>
    <w:rsid w:val="00516B06"/>
    <w:rsid w:val="00521747"/>
    <w:rsid w:val="0052359D"/>
    <w:rsid w:val="00545553"/>
    <w:rsid w:val="005464F7"/>
    <w:rsid w:val="00552D5E"/>
    <w:rsid w:val="00557A5E"/>
    <w:rsid w:val="005657E7"/>
    <w:rsid w:val="00571008"/>
    <w:rsid w:val="00575B7F"/>
    <w:rsid w:val="00584C0C"/>
    <w:rsid w:val="005A1C65"/>
    <w:rsid w:val="005A3511"/>
    <w:rsid w:val="005A5617"/>
    <w:rsid w:val="005B3277"/>
    <w:rsid w:val="005B6558"/>
    <w:rsid w:val="005D075D"/>
    <w:rsid w:val="005E048C"/>
    <w:rsid w:val="005E0927"/>
    <w:rsid w:val="005E36BD"/>
    <w:rsid w:val="006409CC"/>
    <w:rsid w:val="006416A5"/>
    <w:rsid w:val="00647D44"/>
    <w:rsid w:val="00654DEB"/>
    <w:rsid w:val="00670298"/>
    <w:rsid w:val="00673C4F"/>
    <w:rsid w:val="00677F92"/>
    <w:rsid w:val="00681449"/>
    <w:rsid w:val="00693851"/>
    <w:rsid w:val="006A3E30"/>
    <w:rsid w:val="006B3C8A"/>
    <w:rsid w:val="006B48D3"/>
    <w:rsid w:val="006B5A90"/>
    <w:rsid w:val="006C2653"/>
    <w:rsid w:val="006C6934"/>
    <w:rsid w:val="006D2AEE"/>
    <w:rsid w:val="006F63E0"/>
    <w:rsid w:val="006F7D83"/>
    <w:rsid w:val="0071054D"/>
    <w:rsid w:val="0071196F"/>
    <w:rsid w:val="007129F0"/>
    <w:rsid w:val="007251D2"/>
    <w:rsid w:val="00742051"/>
    <w:rsid w:val="0074253C"/>
    <w:rsid w:val="00742D86"/>
    <w:rsid w:val="00756FAA"/>
    <w:rsid w:val="00761B24"/>
    <w:rsid w:val="00782C67"/>
    <w:rsid w:val="00786530"/>
    <w:rsid w:val="00791988"/>
    <w:rsid w:val="0079568F"/>
    <w:rsid w:val="007A28FE"/>
    <w:rsid w:val="007A4E9C"/>
    <w:rsid w:val="007D5B49"/>
    <w:rsid w:val="007E065C"/>
    <w:rsid w:val="007E441C"/>
    <w:rsid w:val="007E64C6"/>
    <w:rsid w:val="007F23F1"/>
    <w:rsid w:val="00802056"/>
    <w:rsid w:val="0081173E"/>
    <w:rsid w:val="00816932"/>
    <w:rsid w:val="00826B4E"/>
    <w:rsid w:val="008272C2"/>
    <w:rsid w:val="00831E30"/>
    <w:rsid w:val="00840690"/>
    <w:rsid w:val="00850DD7"/>
    <w:rsid w:val="00853504"/>
    <w:rsid w:val="00860C03"/>
    <w:rsid w:val="00861D4C"/>
    <w:rsid w:val="008637A3"/>
    <w:rsid w:val="00880A12"/>
    <w:rsid w:val="00895A37"/>
    <w:rsid w:val="008A78DC"/>
    <w:rsid w:val="008B3787"/>
    <w:rsid w:val="008D5C32"/>
    <w:rsid w:val="008E3BB9"/>
    <w:rsid w:val="008F05A4"/>
    <w:rsid w:val="008F585F"/>
    <w:rsid w:val="009000F7"/>
    <w:rsid w:val="00901BFB"/>
    <w:rsid w:val="009039B5"/>
    <w:rsid w:val="00903FA1"/>
    <w:rsid w:val="00907B57"/>
    <w:rsid w:val="0091219F"/>
    <w:rsid w:val="00934E8D"/>
    <w:rsid w:val="00944143"/>
    <w:rsid w:val="009A02B5"/>
    <w:rsid w:val="009A3F0C"/>
    <w:rsid w:val="009A6EFF"/>
    <w:rsid w:val="009C44DC"/>
    <w:rsid w:val="009E5A7A"/>
    <w:rsid w:val="009F220E"/>
    <w:rsid w:val="009F436F"/>
    <w:rsid w:val="00A03DEA"/>
    <w:rsid w:val="00A05CD1"/>
    <w:rsid w:val="00A10FE3"/>
    <w:rsid w:val="00A12B42"/>
    <w:rsid w:val="00A30E93"/>
    <w:rsid w:val="00A318FD"/>
    <w:rsid w:val="00A41EC5"/>
    <w:rsid w:val="00A428D7"/>
    <w:rsid w:val="00A43F32"/>
    <w:rsid w:val="00A46678"/>
    <w:rsid w:val="00A74006"/>
    <w:rsid w:val="00A741E1"/>
    <w:rsid w:val="00A75FD6"/>
    <w:rsid w:val="00AA2EA1"/>
    <w:rsid w:val="00AB3E4C"/>
    <w:rsid w:val="00AC6630"/>
    <w:rsid w:val="00AD37CF"/>
    <w:rsid w:val="00B05CDF"/>
    <w:rsid w:val="00B35FA2"/>
    <w:rsid w:val="00B44155"/>
    <w:rsid w:val="00B45C55"/>
    <w:rsid w:val="00B57033"/>
    <w:rsid w:val="00B570A0"/>
    <w:rsid w:val="00B60070"/>
    <w:rsid w:val="00B6102D"/>
    <w:rsid w:val="00B63962"/>
    <w:rsid w:val="00B80564"/>
    <w:rsid w:val="00B84A86"/>
    <w:rsid w:val="00B97932"/>
    <w:rsid w:val="00BB4F32"/>
    <w:rsid w:val="00BB563D"/>
    <w:rsid w:val="00BC37CC"/>
    <w:rsid w:val="00BD7466"/>
    <w:rsid w:val="00BE1BBC"/>
    <w:rsid w:val="00BE3A9B"/>
    <w:rsid w:val="00BF3D86"/>
    <w:rsid w:val="00BF3E6E"/>
    <w:rsid w:val="00C01762"/>
    <w:rsid w:val="00C026F3"/>
    <w:rsid w:val="00C02C59"/>
    <w:rsid w:val="00C02FED"/>
    <w:rsid w:val="00C21C5A"/>
    <w:rsid w:val="00C30539"/>
    <w:rsid w:val="00C32F16"/>
    <w:rsid w:val="00C33A18"/>
    <w:rsid w:val="00C36885"/>
    <w:rsid w:val="00C37916"/>
    <w:rsid w:val="00C37A4E"/>
    <w:rsid w:val="00C4192C"/>
    <w:rsid w:val="00C553E2"/>
    <w:rsid w:val="00C57CC4"/>
    <w:rsid w:val="00C64AA8"/>
    <w:rsid w:val="00C64C65"/>
    <w:rsid w:val="00C72D03"/>
    <w:rsid w:val="00C74070"/>
    <w:rsid w:val="00C8143F"/>
    <w:rsid w:val="00C90833"/>
    <w:rsid w:val="00C971E4"/>
    <w:rsid w:val="00CB4D49"/>
    <w:rsid w:val="00CD19DB"/>
    <w:rsid w:val="00CF3A3E"/>
    <w:rsid w:val="00CF7482"/>
    <w:rsid w:val="00D003BF"/>
    <w:rsid w:val="00D07C3E"/>
    <w:rsid w:val="00D225F1"/>
    <w:rsid w:val="00D313AB"/>
    <w:rsid w:val="00D32CF0"/>
    <w:rsid w:val="00D43691"/>
    <w:rsid w:val="00D617FA"/>
    <w:rsid w:val="00D72CA9"/>
    <w:rsid w:val="00D85710"/>
    <w:rsid w:val="00D95ABD"/>
    <w:rsid w:val="00DA5B1A"/>
    <w:rsid w:val="00DA6458"/>
    <w:rsid w:val="00DB7917"/>
    <w:rsid w:val="00DC58AA"/>
    <w:rsid w:val="00DD5EB9"/>
    <w:rsid w:val="00DD7541"/>
    <w:rsid w:val="00DE1574"/>
    <w:rsid w:val="00DE5DC1"/>
    <w:rsid w:val="00DF089A"/>
    <w:rsid w:val="00E1503D"/>
    <w:rsid w:val="00E24C35"/>
    <w:rsid w:val="00E36308"/>
    <w:rsid w:val="00E37417"/>
    <w:rsid w:val="00E40E73"/>
    <w:rsid w:val="00E447ED"/>
    <w:rsid w:val="00E466D6"/>
    <w:rsid w:val="00E51920"/>
    <w:rsid w:val="00E63727"/>
    <w:rsid w:val="00E65D3C"/>
    <w:rsid w:val="00E75EB5"/>
    <w:rsid w:val="00E763FF"/>
    <w:rsid w:val="00E800F3"/>
    <w:rsid w:val="00E80EE4"/>
    <w:rsid w:val="00E82D03"/>
    <w:rsid w:val="00E869B9"/>
    <w:rsid w:val="00E878E1"/>
    <w:rsid w:val="00E9356E"/>
    <w:rsid w:val="00E94B6F"/>
    <w:rsid w:val="00EA0974"/>
    <w:rsid w:val="00EA6FD7"/>
    <w:rsid w:val="00EB7BDF"/>
    <w:rsid w:val="00EC2D2F"/>
    <w:rsid w:val="00EE26C9"/>
    <w:rsid w:val="00EF6795"/>
    <w:rsid w:val="00F04AA2"/>
    <w:rsid w:val="00F07F30"/>
    <w:rsid w:val="00F10B7F"/>
    <w:rsid w:val="00F118C8"/>
    <w:rsid w:val="00F20B9C"/>
    <w:rsid w:val="00F22F89"/>
    <w:rsid w:val="00F27668"/>
    <w:rsid w:val="00F46AF4"/>
    <w:rsid w:val="00F61C6D"/>
    <w:rsid w:val="00F651A4"/>
    <w:rsid w:val="00F65A5D"/>
    <w:rsid w:val="00F66822"/>
    <w:rsid w:val="00F6734D"/>
    <w:rsid w:val="00F717E8"/>
    <w:rsid w:val="00F75B3E"/>
    <w:rsid w:val="00F76E45"/>
    <w:rsid w:val="00F82CF6"/>
    <w:rsid w:val="00F83759"/>
    <w:rsid w:val="00F906AD"/>
    <w:rsid w:val="00FA4099"/>
    <w:rsid w:val="00FA6413"/>
    <w:rsid w:val="00FB1726"/>
    <w:rsid w:val="00FB4C23"/>
    <w:rsid w:val="00FB7086"/>
    <w:rsid w:val="00FC0BB2"/>
    <w:rsid w:val="00FC6C22"/>
    <w:rsid w:val="00FD2609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2342"/>
  <w15:chartTrackingRefBased/>
  <w15:docId w15:val="{61D1CF06-A6F0-4CF2-95D8-26F94C50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6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3BF"/>
    <w:pPr>
      <w:jc w:val="center"/>
      <w:outlineLvl w:val="0"/>
    </w:pPr>
    <w:rPr>
      <w:rFonts w:ascii="Kings Caslon Text" w:hAnsi="Kings Caslon Text" w:cs="Palatino Linotype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003BF"/>
    <w:pPr>
      <w:outlineLvl w:val="1"/>
    </w:pPr>
    <w:rPr>
      <w:rFonts w:ascii="Kings Caslon Text" w:hAnsi="Kings Caslon Text" w:cs="Palatino Linotype"/>
      <w:b/>
      <w:smallCaps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FAA"/>
    <w:pPr>
      <w:outlineLvl w:val="2"/>
    </w:pPr>
    <w:rPr>
      <w:rFonts w:ascii="Kings Caslon Text" w:hAnsi="Kings Caslon Text" w:cs="Palatino Linotype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003BF"/>
    <w:rPr>
      <w:rFonts w:ascii="Kings Caslon Text" w:eastAsia="Times New Roman" w:hAnsi="Kings Caslon Text" w:cs="Palatino Linotype"/>
      <w:b/>
      <w:smallCaps/>
      <w:sz w:val="28"/>
      <w:szCs w:val="24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E466D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466D6"/>
    <w:rPr>
      <w:rFonts w:ascii="Verdana" w:hAnsi="Verdana" w:cs="Verdana"/>
      <w:color w:val="3300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A008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EB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EB5"/>
    <w:rPr>
      <w:rFonts w:ascii="Times New Roman" w:eastAsia="Times New Roman" w:hAnsi="Times New Roman" w:cs="Times New Roman"/>
      <w:sz w:val="18"/>
      <w:szCs w:val="1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56FAA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003BF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2D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B6558"/>
  </w:style>
  <w:style w:type="character" w:customStyle="1" w:styleId="eop">
    <w:name w:val="eop"/>
    <w:basedOn w:val="DefaultParagraphFont"/>
    <w:rsid w:val="005B6558"/>
  </w:style>
  <w:style w:type="character" w:styleId="IntenseEmphasis">
    <w:name w:val="Intense Emphasis"/>
    <w:uiPriority w:val="21"/>
    <w:qFormat/>
    <w:rsid w:val="00C30539"/>
    <w:rPr>
      <w:rFonts w:ascii="Kings Caslon Text" w:hAnsi="Kings Caslon Text"/>
      <w:b/>
      <w:i/>
      <w:iCs/>
      <w:color w:val="0070C0"/>
    </w:rPr>
  </w:style>
  <w:style w:type="paragraph" w:customStyle="1" w:styleId="paragraph">
    <w:name w:val="paragraph"/>
    <w:basedOn w:val="Normal"/>
    <w:rsid w:val="003D711A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3D711A"/>
    <w:rPr>
      <w:color w:val="605E5C"/>
      <w:shd w:val="clear" w:color="auto" w:fill="E1DFDD"/>
    </w:rPr>
  </w:style>
  <w:style w:type="paragraph" w:customStyle="1" w:styleId="Default">
    <w:name w:val="Default"/>
    <w:rsid w:val="00036B4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1820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786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6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43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oneysavingexpert.com/site/listen-to--the-martin-lewis-podcast-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inepair.com/wine-blog/loophole-california-champagne-legal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Erven_Warnink_v._Townend_%26_Sons_Ltd.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7B98A70BACF44B058C698481DFE16" ma:contentTypeVersion="17" ma:contentTypeDescription="Create a new document." ma:contentTypeScope="" ma:versionID="5654f57e78d9a18b2224b68f5a2213ea">
  <xsd:schema xmlns:xsd="http://www.w3.org/2001/XMLSchema" xmlns:xs="http://www.w3.org/2001/XMLSchema" xmlns:p="http://schemas.microsoft.com/office/2006/metadata/properties" xmlns:ns3="6d028dfa-d236-4c3f-b33a-e6f6b60c8f9d" xmlns:ns4="c6837ba0-ae82-40c8-b926-53fb89b5a81d" targetNamespace="http://schemas.microsoft.com/office/2006/metadata/properties" ma:root="true" ma:fieldsID="8f7abc347b9f3d7501487a1f24f02dd0" ns3:_="" ns4:_="">
    <xsd:import namespace="6d028dfa-d236-4c3f-b33a-e6f6b60c8f9d"/>
    <xsd:import namespace="c6837ba0-ae82-40c8-b926-53fb89b5a8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28dfa-d236-4c3f-b33a-e6f6b60c8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7ba0-ae82-40c8-b926-53fb89b5a8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028dfa-d236-4c3f-b33a-e6f6b60c8f9d" xsi:nil="true"/>
  </documentManagement>
</p:properties>
</file>

<file path=customXml/itemProps1.xml><?xml version="1.0" encoding="utf-8"?>
<ds:datastoreItem xmlns:ds="http://schemas.openxmlformats.org/officeDocument/2006/customXml" ds:itemID="{E8332CE4-0274-499E-B3A6-79D3E0C5C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028dfa-d236-4c3f-b33a-e6f6b60c8f9d"/>
    <ds:schemaRef ds:uri="c6837ba0-ae82-40c8-b926-53fb89b5a8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28EBFC-B8C9-422C-BD82-05024860C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6F331-8979-479E-969E-9483D7F7984B}">
  <ds:schemaRefs>
    <ds:schemaRef ds:uri="http://schemas.microsoft.com/office/2006/metadata/properties"/>
    <ds:schemaRef ds:uri="http://schemas.microsoft.com/office/infopath/2007/PartnerControls"/>
    <ds:schemaRef ds:uri="6d028dfa-d236-4c3f-b33a-e6f6b60c8f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Colm</dc:creator>
  <cp:keywords/>
  <dc:description/>
  <cp:lastModifiedBy>Blakely, Megan</cp:lastModifiedBy>
  <cp:revision>3</cp:revision>
  <cp:lastPrinted>2021-10-27T08:50:00Z</cp:lastPrinted>
  <dcterms:created xsi:type="dcterms:W3CDTF">2026-01-27T11:22:00Z</dcterms:created>
  <dcterms:modified xsi:type="dcterms:W3CDTF">2026-01-29T08:51:00Z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0x0101004B77B98A70BACF44B058C698481DFE16</vt:lpwstr>
  </property>
</Properties>
</file>