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5D55" w14:textId="4981331C" w:rsidR="00613CE4" w:rsidRDefault="00613CE4" w:rsidP="00613CE4">
      <w:pPr>
        <w:jc w:val="center"/>
        <w:rPr>
          <w:b/>
          <w:bCs/>
          <w:sz w:val="24"/>
          <w:szCs w:val="24"/>
          <w:u w:val="single"/>
        </w:rPr>
      </w:pPr>
      <w:r>
        <w:rPr>
          <w:b/>
          <w:bCs/>
          <w:sz w:val="24"/>
          <w:szCs w:val="24"/>
          <w:u w:val="single"/>
        </w:rPr>
        <w:t>Weeks 17 &amp; 18</w:t>
      </w:r>
    </w:p>
    <w:p w14:paraId="03C78A06" w14:textId="298940D2" w:rsidR="00104259" w:rsidRPr="00613CE4" w:rsidRDefault="00104259" w:rsidP="00613CE4">
      <w:pPr>
        <w:jc w:val="center"/>
        <w:rPr>
          <w:b/>
          <w:bCs/>
          <w:sz w:val="24"/>
          <w:szCs w:val="24"/>
          <w:u w:val="single"/>
        </w:rPr>
      </w:pPr>
      <w:r w:rsidRPr="00613CE4">
        <w:rPr>
          <w:b/>
          <w:bCs/>
          <w:sz w:val="24"/>
          <w:szCs w:val="24"/>
          <w:u w:val="single"/>
        </w:rPr>
        <w:t>Employers</w:t>
      </w:r>
      <w:r w:rsidR="008B023A">
        <w:rPr>
          <w:b/>
          <w:bCs/>
          <w:sz w:val="24"/>
          <w:szCs w:val="24"/>
          <w:u w:val="single"/>
        </w:rPr>
        <w:t>’</w:t>
      </w:r>
      <w:r w:rsidRPr="00613CE4">
        <w:rPr>
          <w:b/>
          <w:bCs/>
          <w:sz w:val="24"/>
          <w:szCs w:val="24"/>
          <w:u w:val="single"/>
        </w:rPr>
        <w:t xml:space="preserve"> Liability</w:t>
      </w:r>
    </w:p>
    <w:p w14:paraId="4C049EAD" w14:textId="66009F38" w:rsidR="00104259" w:rsidRPr="00613CE4" w:rsidRDefault="00104259" w:rsidP="00613CE4">
      <w:pPr>
        <w:jc w:val="center"/>
        <w:rPr>
          <w:b/>
          <w:bCs/>
          <w:sz w:val="24"/>
          <w:szCs w:val="24"/>
          <w:u w:val="single"/>
        </w:rPr>
      </w:pPr>
      <w:r w:rsidRPr="00613CE4">
        <w:rPr>
          <w:b/>
          <w:bCs/>
          <w:sz w:val="24"/>
          <w:szCs w:val="24"/>
          <w:u w:val="single"/>
        </w:rPr>
        <w:t>Non-delegable duties and Vicarious liability</w:t>
      </w:r>
    </w:p>
    <w:p w14:paraId="2534C0CC" w14:textId="56206FA0" w:rsidR="00ED494B" w:rsidRDefault="00364F23" w:rsidP="00456E56">
      <w:pPr>
        <w:jc w:val="both"/>
        <w:rPr>
          <w:b/>
          <w:bCs/>
          <w:sz w:val="24"/>
          <w:szCs w:val="24"/>
        </w:rPr>
      </w:pPr>
      <w:r w:rsidRPr="00364F23">
        <w:rPr>
          <w:b/>
          <w:bCs/>
          <w:noProof/>
          <w:sz w:val="24"/>
          <w:szCs w:val="24"/>
        </w:rPr>
        <mc:AlternateContent>
          <mc:Choice Requires="wps">
            <w:drawing>
              <wp:anchor distT="45720" distB="45720" distL="114300" distR="114300" simplePos="0" relativeHeight="251659264" behindDoc="0" locked="0" layoutInCell="1" allowOverlap="1" wp14:anchorId="1DA62012" wp14:editId="3F9DD007">
                <wp:simplePos x="0" y="0"/>
                <wp:positionH relativeFrom="margin">
                  <wp:align>right</wp:align>
                </wp:positionH>
                <wp:positionV relativeFrom="paragraph">
                  <wp:posOffset>301294</wp:posOffset>
                </wp:positionV>
                <wp:extent cx="5708650" cy="1542415"/>
                <wp:effectExtent l="0" t="0" r="2540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037" cy="1542553"/>
                        </a:xfrm>
                        <a:prstGeom prst="rect">
                          <a:avLst/>
                        </a:prstGeom>
                        <a:solidFill>
                          <a:srgbClr val="FFFFFF"/>
                        </a:solidFill>
                        <a:ln w="9525">
                          <a:solidFill>
                            <a:srgbClr val="000000"/>
                          </a:solidFill>
                          <a:miter lim="800000"/>
                          <a:headEnd/>
                          <a:tailEnd/>
                        </a:ln>
                      </wps:spPr>
                      <wps:txbx>
                        <w:txbxContent>
                          <w:p w14:paraId="2453A1C7" w14:textId="24683031" w:rsidR="00364F23" w:rsidRPr="00CE088E" w:rsidRDefault="00CE088E" w:rsidP="00CE088E">
                            <w:pPr>
                              <w:spacing w:line="360" w:lineRule="auto"/>
                              <w:jc w:val="both"/>
                              <w:rPr>
                                <w:b/>
                                <w:bCs/>
                                <w:sz w:val="24"/>
                                <w:szCs w:val="24"/>
                              </w:rPr>
                            </w:pPr>
                            <w:r w:rsidRPr="00ED494B">
                              <w:rPr>
                                <w:b/>
                                <w:bCs/>
                                <w:sz w:val="24"/>
                                <w:szCs w:val="24"/>
                              </w:rPr>
                              <w:t xml:space="preserve">Content Notice: </w:t>
                            </w:r>
                            <w:proofErr w:type="gramStart"/>
                            <w:r>
                              <w:rPr>
                                <w:i/>
                                <w:iCs/>
                                <w:sz w:val="24"/>
                                <w:szCs w:val="24"/>
                              </w:rPr>
                              <w:t>A</w:t>
                            </w:r>
                            <w:r w:rsidRPr="00825055">
                              <w:rPr>
                                <w:i/>
                                <w:iCs/>
                                <w:sz w:val="24"/>
                                <w:szCs w:val="24"/>
                              </w:rPr>
                              <w:t xml:space="preserve"> number of</w:t>
                            </w:r>
                            <w:proofErr w:type="gramEnd"/>
                            <w:r w:rsidRPr="00825055">
                              <w:rPr>
                                <w:i/>
                                <w:iCs/>
                                <w:sz w:val="24"/>
                                <w:szCs w:val="24"/>
                              </w:rPr>
                              <w:t xml:space="preserve"> the cases considered in these lectures relate to cases arising from sexual assault or abuse, including child sexual abuse</w:t>
                            </w:r>
                            <w:r w:rsidR="00222921">
                              <w:rPr>
                                <w:i/>
                                <w:iCs/>
                                <w:sz w:val="24"/>
                                <w:szCs w:val="24"/>
                              </w:rPr>
                              <w:t>,</w:t>
                            </w:r>
                            <w:r w:rsidR="000E6275">
                              <w:rPr>
                                <w:i/>
                                <w:iCs/>
                                <w:sz w:val="24"/>
                                <w:szCs w:val="24"/>
                              </w:rPr>
                              <w:t xml:space="preserve"> and rape</w:t>
                            </w:r>
                            <w:r w:rsidRPr="00825055">
                              <w:rPr>
                                <w:i/>
                                <w:iCs/>
                                <w:sz w:val="24"/>
                                <w:szCs w:val="24"/>
                              </w:rPr>
                              <w:t>. Your lectures</w:t>
                            </w:r>
                            <w:r>
                              <w:rPr>
                                <w:i/>
                                <w:iCs/>
                                <w:sz w:val="24"/>
                                <w:szCs w:val="24"/>
                              </w:rPr>
                              <w:t>, and indeed t</w:t>
                            </w:r>
                            <w:r w:rsidRPr="00825055">
                              <w:rPr>
                                <w:i/>
                                <w:iCs/>
                                <w:sz w:val="24"/>
                                <w:szCs w:val="24"/>
                              </w:rPr>
                              <w:t>he cases themselves</w:t>
                            </w:r>
                            <w:r>
                              <w:rPr>
                                <w:i/>
                                <w:iCs/>
                                <w:sz w:val="24"/>
                                <w:szCs w:val="24"/>
                              </w:rPr>
                              <w:t>,</w:t>
                            </w:r>
                            <w:r w:rsidRPr="00825055">
                              <w:rPr>
                                <w:i/>
                                <w:iCs/>
                                <w:sz w:val="24"/>
                                <w:szCs w:val="24"/>
                              </w:rPr>
                              <w:t xml:space="preserve"> largely address </w:t>
                            </w:r>
                            <w:r w:rsidR="00FA178A">
                              <w:rPr>
                                <w:i/>
                                <w:iCs/>
                                <w:sz w:val="24"/>
                                <w:szCs w:val="24"/>
                              </w:rPr>
                              <w:t>th</w:t>
                            </w:r>
                            <w:r w:rsidR="000E6275">
                              <w:rPr>
                                <w:i/>
                                <w:iCs/>
                                <w:sz w:val="24"/>
                                <w:szCs w:val="24"/>
                              </w:rPr>
                              <w:t>ese issues</w:t>
                            </w:r>
                            <w:r w:rsidRPr="00825055">
                              <w:rPr>
                                <w:i/>
                                <w:iCs/>
                                <w:sz w:val="24"/>
                                <w:szCs w:val="24"/>
                              </w:rPr>
                              <w:t xml:space="preserve"> as an overview </w:t>
                            </w:r>
                            <w:r w:rsidR="00DA2584">
                              <w:rPr>
                                <w:i/>
                                <w:iCs/>
                                <w:sz w:val="24"/>
                                <w:szCs w:val="24"/>
                              </w:rPr>
                              <w:t xml:space="preserve">only </w:t>
                            </w:r>
                            <w:r w:rsidRPr="00825055">
                              <w:rPr>
                                <w:i/>
                                <w:iCs/>
                                <w:sz w:val="24"/>
                                <w:szCs w:val="24"/>
                              </w:rPr>
                              <w:t>of the background to determining liability</w:t>
                            </w:r>
                            <w:r w:rsidR="00DA2584">
                              <w:rPr>
                                <w:i/>
                                <w:iCs/>
                                <w:sz w:val="24"/>
                                <w:szCs w:val="24"/>
                              </w:rPr>
                              <w:t xml:space="preserve">. Please note, however, </w:t>
                            </w:r>
                            <w:r w:rsidRPr="00825055">
                              <w:rPr>
                                <w:i/>
                                <w:iCs/>
                                <w:sz w:val="24"/>
                                <w:szCs w:val="24"/>
                              </w:rPr>
                              <w:t>that some judgments may contain more detailed information, as too may some of the reading</w:t>
                            </w:r>
                            <w:r w:rsidR="009845BE">
                              <w:rPr>
                                <w:i/>
                                <w:iCs/>
                                <w:sz w:val="24"/>
                                <w:szCs w:val="24"/>
                              </w:rPr>
                              <w:t>s</w:t>
                            </w:r>
                            <w:r w:rsidR="00D65A22">
                              <w:rPr>
                                <w:i/>
                                <w:iCs/>
                                <w:sz w:val="24"/>
                                <w:szCs w:val="24"/>
                              </w:rPr>
                              <w:t xml:space="preserve"> provided</w:t>
                            </w:r>
                            <w:r>
                              <w:rPr>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A62012" id="_x0000_t202" coordsize="21600,21600" o:spt="202" path="m,l,21600r21600,l21600,xe">
                <v:stroke joinstyle="miter"/>
                <v:path gradientshapeok="t" o:connecttype="rect"/>
              </v:shapetype>
              <v:shape id="Text Box 2" o:spid="_x0000_s1026" type="#_x0000_t202" style="position:absolute;left:0;text-align:left;margin-left:398.3pt;margin-top:23.7pt;width:449.5pt;height:121.4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">
                <v:textbox>
                  <w:txbxContent>
                    <w:p w14:paraId="2453A1C7" w14:textId="24683031" w:rsidR="00364F23" w:rsidRPr="00CE088E" w:rsidRDefault="00CE088E" w:rsidP="00CE088E">
                      <w:pPr>
                        <w:spacing w:line="360" w:lineRule="auto"/>
                        <w:jc w:val="both"/>
                        <w:rPr>
                          <w:b/>
                          <w:bCs/>
                          <w:sz w:val="24"/>
                          <w:szCs w:val="24"/>
                        </w:rPr>
                      </w:pPr>
                      <w:r w:rsidRPr="00ED494B">
                        <w:rPr>
                          <w:b/>
                          <w:bCs/>
                          <w:sz w:val="24"/>
                          <w:szCs w:val="24"/>
                        </w:rPr>
                        <w:t xml:space="preserve">Content Notice: </w:t>
                      </w:r>
                      <w:proofErr w:type="gramStart"/>
                      <w:r>
                        <w:rPr>
                          <w:i/>
                          <w:iCs/>
                          <w:sz w:val="24"/>
                          <w:szCs w:val="24"/>
                        </w:rPr>
                        <w:t>A</w:t>
                      </w:r>
                      <w:r w:rsidRPr="00825055">
                        <w:rPr>
                          <w:i/>
                          <w:iCs/>
                          <w:sz w:val="24"/>
                          <w:szCs w:val="24"/>
                        </w:rPr>
                        <w:t xml:space="preserve"> number of</w:t>
                      </w:r>
                      <w:proofErr w:type="gramEnd"/>
                      <w:r w:rsidRPr="00825055">
                        <w:rPr>
                          <w:i/>
                          <w:iCs/>
                          <w:sz w:val="24"/>
                          <w:szCs w:val="24"/>
                        </w:rPr>
                        <w:t xml:space="preserve"> the cases considered in these lectures relate to cases arising from sexual assault or abuse, including child sexual abuse</w:t>
                      </w:r>
                      <w:r w:rsidR="00222921">
                        <w:rPr>
                          <w:i/>
                          <w:iCs/>
                          <w:sz w:val="24"/>
                          <w:szCs w:val="24"/>
                        </w:rPr>
                        <w:t>,</w:t>
                      </w:r>
                      <w:r w:rsidR="000E6275">
                        <w:rPr>
                          <w:i/>
                          <w:iCs/>
                          <w:sz w:val="24"/>
                          <w:szCs w:val="24"/>
                        </w:rPr>
                        <w:t xml:space="preserve"> and rape</w:t>
                      </w:r>
                      <w:r w:rsidRPr="00825055">
                        <w:rPr>
                          <w:i/>
                          <w:iCs/>
                          <w:sz w:val="24"/>
                          <w:szCs w:val="24"/>
                        </w:rPr>
                        <w:t>. Your lectures</w:t>
                      </w:r>
                      <w:r>
                        <w:rPr>
                          <w:i/>
                          <w:iCs/>
                          <w:sz w:val="24"/>
                          <w:szCs w:val="24"/>
                        </w:rPr>
                        <w:t>, and indeed t</w:t>
                      </w:r>
                      <w:r w:rsidRPr="00825055">
                        <w:rPr>
                          <w:i/>
                          <w:iCs/>
                          <w:sz w:val="24"/>
                          <w:szCs w:val="24"/>
                        </w:rPr>
                        <w:t>he cases themselves</w:t>
                      </w:r>
                      <w:r>
                        <w:rPr>
                          <w:i/>
                          <w:iCs/>
                          <w:sz w:val="24"/>
                          <w:szCs w:val="24"/>
                        </w:rPr>
                        <w:t>,</w:t>
                      </w:r>
                      <w:r w:rsidRPr="00825055">
                        <w:rPr>
                          <w:i/>
                          <w:iCs/>
                          <w:sz w:val="24"/>
                          <w:szCs w:val="24"/>
                        </w:rPr>
                        <w:t xml:space="preserve"> largely address </w:t>
                      </w:r>
                      <w:r w:rsidR="00FA178A">
                        <w:rPr>
                          <w:i/>
                          <w:iCs/>
                          <w:sz w:val="24"/>
                          <w:szCs w:val="24"/>
                        </w:rPr>
                        <w:t>th</w:t>
                      </w:r>
                      <w:r w:rsidR="000E6275">
                        <w:rPr>
                          <w:i/>
                          <w:iCs/>
                          <w:sz w:val="24"/>
                          <w:szCs w:val="24"/>
                        </w:rPr>
                        <w:t>ese issues</w:t>
                      </w:r>
                      <w:r w:rsidRPr="00825055">
                        <w:rPr>
                          <w:i/>
                          <w:iCs/>
                          <w:sz w:val="24"/>
                          <w:szCs w:val="24"/>
                        </w:rPr>
                        <w:t xml:space="preserve"> as an overview </w:t>
                      </w:r>
                      <w:r w:rsidR="00DA2584">
                        <w:rPr>
                          <w:i/>
                          <w:iCs/>
                          <w:sz w:val="24"/>
                          <w:szCs w:val="24"/>
                        </w:rPr>
                        <w:t xml:space="preserve">only </w:t>
                      </w:r>
                      <w:r w:rsidRPr="00825055">
                        <w:rPr>
                          <w:i/>
                          <w:iCs/>
                          <w:sz w:val="24"/>
                          <w:szCs w:val="24"/>
                        </w:rPr>
                        <w:t>of the background to determining liability</w:t>
                      </w:r>
                      <w:r w:rsidR="00DA2584">
                        <w:rPr>
                          <w:i/>
                          <w:iCs/>
                          <w:sz w:val="24"/>
                          <w:szCs w:val="24"/>
                        </w:rPr>
                        <w:t xml:space="preserve">. Please note, however, </w:t>
                      </w:r>
                      <w:r w:rsidRPr="00825055">
                        <w:rPr>
                          <w:i/>
                          <w:iCs/>
                          <w:sz w:val="24"/>
                          <w:szCs w:val="24"/>
                        </w:rPr>
                        <w:t>that some judgments may contain more detailed information, as too may some of the reading</w:t>
                      </w:r>
                      <w:r w:rsidR="009845BE">
                        <w:rPr>
                          <w:i/>
                          <w:iCs/>
                          <w:sz w:val="24"/>
                          <w:szCs w:val="24"/>
                        </w:rPr>
                        <w:t>s</w:t>
                      </w:r>
                      <w:r w:rsidR="00D65A22">
                        <w:rPr>
                          <w:i/>
                          <w:iCs/>
                          <w:sz w:val="24"/>
                          <w:szCs w:val="24"/>
                        </w:rPr>
                        <w:t xml:space="preserve"> provided</w:t>
                      </w:r>
                      <w:r>
                        <w:rPr>
                          <w:sz w:val="24"/>
                          <w:szCs w:val="24"/>
                        </w:rPr>
                        <w:t xml:space="preserve">. </w:t>
                      </w:r>
                    </w:p>
                  </w:txbxContent>
                </v:textbox>
                <w10:wrap type="square" anchorx="margin"/>
              </v:shape>
            </w:pict>
          </mc:Fallback>
        </mc:AlternateContent>
      </w:r>
    </w:p>
    <w:p w14:paraId="4D5D3FE8" w14:textId="77777777" w:rsidR="00ED494B" w:rsidRPr="00ED494B" w:rsidRDefault="00ED494B" w:rsidP="00456E56">
      <w:pPr>
        <w:jc w:val="both"/>
        <w:rPr>
          <w:b/>
          <w:bCs/>
          <w:sz w:val="24"/>
          <w:szCs w:val="24"/>
        </w:rPr>
      </w:pPr>
    </w:p>
    <w:p w14:paraId="2F1E87BF" w14:textId="1D3E3A03" w:rsidR="009D69A1" w:rsidRDefault="00104259" w:rsidP="00413681">
      <w:pPr>
        <w:spacing w:line="360" w:lineRule="auto"/>
        <w:jc w:val="both"/>
        <w:rPr>
          <w:sz w:val="24"/>
          <w:szCs w:val="24"/>
        </w:rPr>
      </w:pPr>
      <w:r w:rsidRPr="7D276C56">
        <w:rPr>
          <w:sz w:val="24"/>
          <w:szCs w:val="24"/>
        </w:rPr>
        <w:t xml:space="preserve">This week and next </w:t>
      </w:r>
      <w:r w:rsidR="007E72BD" w:rsidRPr="7D276C56">
        <w:rPr>
          <w:sz w:val="24"/>
          <w:szCs w:val="24"/>
        </w:rPr>
        <w:t>we will look</w:t>
      </w:r>
      <w:r w:rsidRPr="7D276C56">
        <w:rPr>
          <w:sz w:val="24"/>
          <w:szCs w:val="24"/>
        </w:rPr>
        <w:t xml:space="preserve"> at employers</w:t>
      </w:r>
      <w:r w:rsidR="00D65A22" w:rsidRPr="7D276C56">
        <w:rPr>
          <w:sz w:val="24"/>
          <w:szCs w:val="24"/>
        </w:rPr>
        <w:t>’</w:t>
      </w:r>
      <w:r w:rsidRPr="7D276C56">
        <w:rPr>
          <w:sz w:val="24"/>
          <w:szCs w:val="24"/>
        </w:rPr>
        <w:t xml:space="preserve"> liability in tort. There are two ways in which employers may be liable to persons working in their employ or to third parties</w:t>
      </w:r>
      <w:r w:rsidR="00A9219F" w:rsidRPr="7D276C56">
        <w:rPr>
          <w:sz w:val="24"/>
          <w:szCs w:val="24"/>
        </w:rPr>
        <w:t xml:space="preserve">. </w:t>
      </w:r>
      <w:r w:rsidR="00B6611F" w:rsidRPr="7D276C56">
        <w:rPr>
          <w:sz w:val="24"/>
          <w:szCs w:val="24"/>
        </w:rPr>
        <w:t>Note that non-delegable duty and vicarious liability</w:t>
      </w:r>
      <w:r w:rsidR="00347CBC" w:rsidRPr="7D276C56">
        <w:rPr>
          <w:sz w:val="24"/>
          <w:szCs w:val="24"/>
        </w:rPr>
        <w:t xml:space="preserve"> </w:t>
      </w:r>
      <w:r w:rsidR="00B6611F" w:rsidRPr="7D276C56">
        <w:rPr>
          <w:sz w:val="24"/>
          <w:szCs w:val="24"/>
        </w:rPr>
        <w:t xml:space="preserve">are not themselves </w:t>
      </w:r>
      <w:proofErr w:type="gramStart"/>
      <w:r w:rsidR="00B6611F" w:rsidRPr="7D276C56">
        <w:rPr>
          <w:sz w:val="24"/>
          <w:szCs w:val="24"/>
        </w:rPr>
        <w:t>torts</w:t>
      </w:r>
      <w:r w:rsidR="00A04599" w:rsidRPr="7D276C56">
        <w:rPr>
          <w:sz w:val="24"/>
          <w:szCs w:val="24"/>
        </w:rPr>
        <w:t>, but</w:t>
      </w:r>
      <w:proofErr w:type="gramEnd"/>
      <w:r w:rsidR="00A04599" w:rsidRPr="7D276C56">
        <w:rPr>
          <w:sz w:val="24"/>
          <w:szCs w:val="24"/>
        </w:rPr>
        <w:t xml:space="preserve"> </w:t>
      </w:r>
      <w:r w:rsidR="00A9219F" w:rsidRPr="7D276C56">
        <w:rPr>
          <w:sz w:val="24"/>
          <w:szCs w:val="24"/>
        </w:rPr>
        <w:t xml:space="preserve">are </w:t>
      </w:r>
      <w:r w:rsidR="00A04599" w:rsidRPr="7D276C56">
        <w:rPr>
          <w:sz w:val="24"/>
          <w:szCs w:val="24"/>
        </w:rPr>
        <w:t>circumstances</w:t>
      </w:r>
      <w:r w:rsidR="00A9219F" w:rsidRPr="7D276C56">
        <w:rPr>
          <w:sz w:val="24"/>
          <w:szCs w:val="24"/>
        </w:rPr>
        <w:t xml:space="preserve"> that</w:t>
      </w:r>
      <w:r w:rsidR="00A04599" w:rsidRPr="7D276C56">
        <w:rPr>
          <w:sz w:val="24"/>
          <w:szCs w:val="24"/>
        </w:rPr>
        <w:t xml:space="preserve"> may give rise to liability of </w:t>
      </w:r>
      <w:r w:rsidR="00347CBC" w:rsidRPr="7D276C56">
        <w:rPr>
          <w:sz w:val="24"/>
          <w:szCs w:val="24"/>
        </w:rPr>
        <w:t>an</w:t>
      </w:r>
      <w:r w:rsidR="00A04599" w:rsidRPr="7D276C56">
        <w:rPr>
          <w:sz w:val="24"/>
          <w:szCs w:val="24"/>
        </w:rPr>
        <w:t xml:space="preserve"> employer</w:t>
      </w:r>
      <w:r w:rsidR="35E5B016" w:rsidRPr="7D276C56">
        <w:rPr>
          <w:sz w:val="24"/>
          <w:szCs w:val="24"/>
        </w:rPr>
        <w:t xml:space="preserve"> or a person/organisation </w:t>
      </w:r>
      <w:r w:rsidR="00222921">
        <w:rPr>
          <w:sz w:val="24"/>
          <w:szCs w:val="24"/>
        </w:rPr>
        <w:t>“</w:t>
      </w:r>
      <w:r w:rsidR="35E5B016" w:rsidRPr="7D276C56">
        <w:rPr>
          <w:sz w:val="24"/>
          <w:szCs w:val="24"/>
        </w:rPr>
        <w:t>akin</w:t>
      </w:r>
      <w:r w:rsidR="00222921">
        <w:rPr>
          <w:sz w:val="24"/>
          <w:szCs w:val="24"/>
        </w:rPr>
        <w:t>”</w:t>
      </w:r>
      <w:r w:rsidR="35E5B016" w:rsidRPr="7D276C56">
        <w:rPr>
          <w:sz w:val="24"/>
          <w:szCs w:val="24"/>
        </w:rPr>
        <w:t xml:space="preserve"> to the same</w:t>
      </w:r>
      <w:r w:rsidR="00A9219F" w:rsidRPr="7D276C56">
        <w:rPr>
          <w:sz w:val="24"/>
          <w:szCs w:val="24"/>
        </w:rPr>
        <w:t>.</w:t>
      </w:r>
    </w:p>
    <w:p w14:paraId="69BC0BC3" w14:textId="6501BBF5" w:rsidR="009D69A1" w:rsidRDefault="00104259" w:rsidP="00413681">
      <w:pPr>
        <w:spacing w:line="360" w:lineRule="auto"/>
        <w:jc w:val="both"/>
        <w:rPr>
          <w:sz w:val="24"/>
          <w:szCs w:val="24"/>
        </w:rPr>
      </w:pPr>
      <w:r w:rsidRPr="00613CE4">
        <w:rPr>
          <w:sz w:val="24"/>
          <w:szCs w:val="24"/>
        </w:rPr>
        <w:t xml:space="preserve">Non-delegable duties </w:t>
      </w:r>
      <w:r w:rsidR="00B77AA9">
        <w:rPr>
          <w:sz w:val="24"/>
          <w:szCs w:val="24"/>
        </w:rPr>
        <w:t>relate to the personal liability of the employer</w:t>
      </w:r>
      <w:r w:rsidR="005E4FF9">
        <w:rPr>
          <w:sz w:val="24"/>
          <w:szCs w:val="24"/>
        </w:rPr>
        <w:t xml:space="preserve"> and are not fault-based</w:t>
      </w:r>
      <w:r w:rsidRPr="00613CE4">
        <w:rPr>
          <w:sz w:val="24"/>
          <w:szCs w:val="24"/>
        </w:rPr>
        <w:t xml:space="preserve">. </w:t>
      </w:r>
      <w:r w:rsidR="00B77AA9">
        <w:rPr>
          <w:sz w:val="24"/>
          <w:szCs w:val="24"/>
        </w:rPr>
        <w:t xml:space="preserve">Whilst </w:t>
      </w:r>
      <w:r w:rsidR="00280F73">
        <w:rPr>
          <w:sz w:val="24"/>
          <w:szCs w:val="24"/>
        </w:rPr>
        <w:t xml:space="preserve">employers </w:t>
      </w:r>
      <w:r w:rsidR="00B77AA9">
        <w:rPr>
          <w:sz w:val="24"/>
          <w:szCs w:val="24"/>
        </w:rPr>
        <w:t>can delegate duties to others, they</w:t>
      </w:r>
      <w:r w:rsidRPr="00613CE4">
        <w:rPr>
          <w:sz w:val="24"/>
          <w:szCs w:val="24"/>
        </w:rPr>
        <w:t xml:space="preserve"> cannot negate liability simply by saying</w:t>
      </w:r>
      <w:r w:rsidR="003E0D82">
        <w:rPr>
          <w:sz w:val="24"/>
          <w:szCs w:val="24"/>
        </w:rPr>
        <w:t>:</w:t>
      </w:r>
      <w:r w:rsidRPr="00613CE4">
        <w:rPr>
          <w:sz w:val="24"/>
          <w:szCs w:val="24"/>
        </w:rPr>
        <w:t xml:space="preserve"> </w:t>
      </w:r>
      <w:r w:rsidR="00222921">
        <w:rPr>
          <w:sz w:val="24"/>
          <w:szCs w:val="24"/>
        </w:rPr>
        <w:t>“</w:t>
      </w:r>
      <w:r w:rsidRPr="00613CE4">
        <w:rPr>
          <w:sz w:val="24"/>
          <w:szCs w:val="24"/>
        </w:rPr>
        <w:t>I told another person what to do</w:t>
      </w:r>
      <w:r w:rsidR="00222921">
        <w:rPr>
          <w:sz w:val="24"/>
          <w:szCs w:val="24"/>
        </w:rPr>
        <w:t>”</w:t>
      </w:r>
      <w:r w:rsidR="003E0D82">
        <w:rPr>
          <w:sz w:val="24"/>
          <w:szCs w:val="24"/>
        </w:rPr>
        <w:t>,</w:t>
      </w:r>
      <w:r w:rsidRPr="00613CE4">
        <w:rPr>
          <w:sz w:val="24"/>
          <w:szCs w:val="24"/>
        </w:rPr>
        <w:t xml:space="preserve"> or </w:t>
      </w:r>
      <w:r w:rsidR="00222921">
        <w:rPr>
          <w:sz w:val="24"/>
          <w:szCs w:val="24"/>
        </w:rPr>
        <w:t>“</w:t>
      </w:r>
      <w:r w:rsidRPr="00613CE4">
        <w:rPr>
          <w:sz w:val="24"/>
          <w:szCs w:val="24"/>
        </w:rPr>
        <w:t>I delegated that responsibility to another</w:t>
      </w:r>
      <w:r w:rsidR="00222921">
        <w:rPr>
          <w:sz w:val="24"/>
          <w:szCs w:val="24"/>
        </w:rPr>
        <w:t>”</w:t>
      </w:r>
      <w:r w:rsidRPr="00613CE4">
        <w:rPr>
          <w:sz w:val="24"/>
          <w:szCs w:val="24"/>
        </w:rPr>
        <w:t>.</w:t>
      </w:r>
      <w:r w:rsidR="009D69A1">
        <w:rPr>
          <w:sz w:val="24"/>
          <w:szCs w:val="24"/>
        </w:rPr>
        <w:t xml:space="preserve"> Non-delegable duties usually involve just two parties</w:t>
      </w:r>
      <w:r w:rsidR="008E1C26">
        <w:rPr>
          <w:sz w:val="24"/>
          <w:szCs w:val="24"/>
        </w:rPr>
        <w:t xml:space="preserve"> – the Claimant </w:t>
      </w:r>
      <w:r w:rsidR="00BF0B86">
        <w:rPr>
          <w:sz w:val="24"/>
          <w:szCs w:val="24"/>
        </w:rPr>
        <w:t>(</w:t>
      </w:r>
      <w:r w:rsidR="0084388F">
        <w:rPr>
          <w:sz w:val="24"/>
          <w:szCs w:val="24"/>
        </w:rPr>
        <w:t>an e</w:t>
      </w:r>
      <w:r w:rsidR="00BF0B86">
        <w:rPr>
          <w:sz w:val="24"/>
          <w:szCs w:val="24"/>
        </w:rPr>
        <w:t xml:space="preserve">mployee or </w:t>
      </w:r>
      <w:r w:rsidR="0084388F">
        <w:rPr>
          <w:sz w:val="24"/>
          <w:szCs w:val="24"/>
        </w:rPr>
        <w:t>t</w:t>
      </w:r>
      <w:r w:rsidR="00BF0B86">
        <w:rPr>
          <w:sz w:val="24"/>
          <w:szCs w:val="24"/>
        </w:rPr>
        <w:t xml:space="preserve">hird </w:t>
      </w:r>
      <w:r w:rsidR="0084388F">
        <w:rPr>
          <w:sz w:val="24"/>
          <w:szCs w:val="24"/>
        </w:rPr>
        <w:t>p</w:t>
      </w:r>
      <w:r w:rsidR="00BF0B86">
        <w:rPr>
          <w:sz w:val="24"/>
          <w:szCs w:val="24"/>
        </w:rPr>
        <w:t xml:space="preserve">arty) </w:t>
      </w:r>
      <w:r w:rsidR="008E1C26">
        <w:rPr>
          <w:sz w:val="24"/>
          <w:szCs w:val="24"/>
        </w:rPr>
        <w:t xml:space="preserve">and </w:t>
      </w:r>
      <w:r w:rsidR="00191E66">
        <w:rPr>
          <w:sz w:val="24"/>
          <w:szCs w:val="24"/>
        </w:rPr>
        <w:t xml:space="preserve">the </w:t>
      </w:r>
      <w:r w:rsidR="008E1C26">
        <w:rPr>
          <w:sz w:val="24"/>
          <w:szCs w:val="24"/>
        </w:rPr>
        <w:t xml:space="preserve">Defendant </w:t>
      </w:r>
      <w:r w:rsidR="00314122">
        <w:rPr>
          <w:sz w:val="24"/>
          <w:szCs w:val="24"/>
        </w:rPr>
        <w:t>(</w:t>
      </w:r>
      <w:r w:rsidR="0084388F">
        <w:rPr>
          <w:sz w:val="24"/>
          <w:szCs w:val="24"/>
        </w:rPr>
        <w:t>an e</w:t>
      </w:r>
      <w:r w:rsidR="008E1C26">
        <w:rPr>
          <w:sz w:val="24"/>
          <w:szCs w:val="24"/>
        </w:rPr>
        <w:t>mployer</w:t>
      </w:r>
      <w:r w:rsidR="00314122">
        <w:rPr>
          <w:sz w:val="24"/>
          <w:szCs w:val="24"/>
        </w:rPr>
        <w:t>)</w:t>
      </w:r>
      <w:r w:rsidR="00BF0B86">
        <w:rPr>
          <w:sz w:val="24"/>
          <w:szCs w:val="24"/>
        </w:rPr>
        <w:t>.</w:t>
      </w:r>
      <w:r w:rsidR="009D16BA">
        <w:rPr>
          <w:sz w:val="24"/>
          <w:szCs w:val="24"/>
        </w:rPr>
        <w:t xml:space="preserve"> </w:t>
      </w:r>
    </w:p>
    <w:p w14:paraId="41D066FE" w14:textId="16DFB97F" w:rsidR="00104259" w:rsidRDefault="008F3BB7" w:rsidP="00413681">
      <w:pPr>
        <w:spacing w:line="360" w:lineRule="auto"/>
        <w:jc w:val="both"/>
        <w:rPr>
          <w:sz w:val="24"/>
          <w:szCs w:val="24"/>
        </w:rPr>
      </w:pPr>
      <w:proofErr w:type="gramStart"/>
      <w:r w:rsidRPr="4D47C6A0">
        <w:rPr>
          <w:sz w:val="24"/>
          <w:szCs w:val="24"/>
        </w:rPr>
        <w:t>In regard to</w:t>
      </w:r>
      <w:proofErr w:type="gramEnd"/>
      <w:r w:rsidRPr="4D47C6A0">
        <w:rPr>
          <w:sz w:val="24"/>
          <w:szCs w:val="24"/>
        </w:rPr>
        <w:t xml:space="preserve"> vicarious liability </w:t>
      </w:r>
      <w:r w:rsidR="00833BFC" w:rsidRPr="4D47C6A0">
        <w:rPr>
          <w:sz w:val="24"/>
          <w:szCs w:val="24"/>
        </w:rPr>
        <w:t>an</w:t>
      </w:r>
      <w:r w:rsidR="009D69A1" w:rsidRPr="4D47C6A0">
        <w:rPr>
          <w:sz w:val="24"/>
          <w:szCs w:val="24"/>
        </w:rPr>
        <w:t xml:space="preserve"> employ</w:t>
      </w:r>
      <w:r w:rsidR="009D69A1" w:rsidRPr="4D47C6A0">
        <w:rPr>
          <w:b/>
          <w:bCs/>
          <w:i/>
          <w:iCs/>
          <w:sz w:val="24"/>
          <w:szCs w:val="24"/>
        </w:rPr>
        <w:t>ee</w:t>
      </w:r>
      <w:r w:rsidR="009D69A1" w:rsidRPr="4D47C6A0">
        <w:rPr>
          <w:sz w:val="24"/>
          <w:szCs w:val="24"/>
        </w:rPr>
        <w:t xml:space="preserve"> is liable for a tort, but </w:t>
      </w:r>
      <w:r w:rsidR="008E1C26" w:rsidRPr="4D47C6A0">
        <w:rPr>
          <w:sz w:val="24"/>
          <w:szCs w:val="24"/>
        </w:rPr>
        <w:t>it is the employ</w:t>
      </w:r>
      <w:r w:rsidR="008E1C26" w:rsidRPr="4D47C6A0">
        <w:rPr>
          <w:b/>
          <w:bCs/>
          <w:i/>
          <w:iCs/>
          <w:sz w:val="24"/>
          <w:szCs w:val="24"/>
        </w:rPr>
        <w:t>er</w:t>
      </w:r>
      <w:r w:rsidR="008E1C26" w:rsidRPr="4D47C6A0">
        <w:rPr>
          <w:sz w:val="24"/>
          <w:szCs w:val="24"/>
        </w:rPr>
        <w:t xml:space="preserve"> </w:t>
      </w:r>
      <w:r w:rsidR="00833BFC" w:rsidRPr="4D47C6A0">
        <w:rPr>
          <w:sz w:val="24"/>
          <w:szCs w:val="24"/>
        </w:rPr>
        <w:t xml:space="preserve">(person/organisation/company) </w:t>
      </w:r>
      <w:r w:rsidR="008E1C26" w:rsidRPr="4D47C6A0">
        <w:rPr>
          <w:sz w:val="24"/>
          <w:szCs w:val="24"/>
        </w:rPr>
        <w:t>who is liable based on the circumstances in which the tort arose</w:t>
      </w:r>
      <w:r w:rsidR="00FB755C" w:rsidRPr="4D47C6A0">
        <w:rPr>
          <w:sz w:val="24"/>
          <w:szCs w:val="24"/>
        </w:rPr>
        <w:t xml:space="preserve">, rather than the </w:t>
      </w:r>
      <w:r w:rsidR="003E7B35" w:rsidRPr="4D47C6A0">
        <w:rPr>
          <w:sz w:val="24"/>
          <w:szCs w:val="24"/>
        </w:rPr>
        <w:t>tortfeasor</w:t>
      </w:r>
      <w:r w:rsidR="00FB755C" w:rsidRPr="4D47C6A0">
        <w:rPr>
          <w:sz w:val="24"/>
          <w:szCs w:val="24"/>
        </w:rPr>
        <w:t xml:space="preserve"> </w:t>
      </w:r>
      <w:r w:rsidR="00191E66" w:rsidRPr="00191E66">
        <w:rPr>
          <w:sz w:val="24"/>
          <w:szCs w:val="24"/>
        </w:rPr>
        <w:t>employ</w:t>
      </w:r>
      <w:r w:rsidR="00191E66">
        <w:rPr>
          <w:b/>
          <w:bCs/>
          <w:i/>
          <w:iCs/>
          <w:sz w:val="24"/>
          <w:szCs w:val="24"/>
        </w:rPr>
        <w:t xml:space="preserve">ee </w:t>
      </w:r>
      <w:r w:rsidR="00FB755C" w:rsidRPr="00191E66">
        <w:rPr>
          <w:sz w:val="24"/>
          <w:szCs w:val="24"/>
        </w:rPr>
        <w:t>themselves</w:t>
      </w:r>
      <w:r w:rsidR="008E1C26" w:rsidRPr="00191E66">
        <w:rPr>
          <w:sz w:val="24"/>
          <w:szCs w:val="24"/>
        </w:rPr>
        <w:t>.</w:t>
      </w:r>
      <w:r w:rsidR="008E1C26" w:rsidRPr="4D47C6A0">
        <w:rPr>
          <w:sz w:val="24"/>
          <w:szCs w:val="24"/>
        </w:rPr>
        <w:t xml:space="preserve"> Vicarious liability therefore involves 3 parties</w:t>
      </w:r>
      <w:r w:rsidR="00BF0B86" w:rsidRPr="4D47C6A0">
        <w:rPr>
          <w:sz w:val="24"/>
          <w:szCs w:val="24"/>
        </w:rPr>
        <w:t xml:space="preserve"> – the Claimant</w:t>
      </w:r>
      <w:r w:rsidR="00D31BAF" w:rsidRPr="4D47C6A0">
        <w:rPr>
          <w:sz w:val="24"/>
          <w:szCs w:val="24"/>
        </w:rPr>
        <w:t xml:space="preserve"> (</w:t>
      </w:r>
      <w:r w:rsidR="009C5914" w:rsidRPr="4D47C6A0">
        <w:rPr>
          <w:sz w:val="24"/>
          <w:szCs w:val="24"/>
        </w:rPr>
        <w:t>an e</w:t>
      </w:r>
      <w:r w:rsidR="00D31BAF" w:rsidRPr="4D47C6A0">
        <w:rPr>
          <w:sz w:val="24"/>
          <w:szCs w:val="24"/>
        </w:rPr>
        <w:t xml:space="preserve">mployee or </w:t>
      </w:r>
      <w:r w:rsidR="009C5914" w:rsidRPr="4D47C6A0">
        <w:rPr>
          <w:sz w:val="24"/>
          <w:szCs w:val="24"/>
        </w:rPr>
        <w:t>t</w:t>
      </w:r>
      <w:r w:rsidR="00D31BAF" w:rsidRPr="4D47C6A0">
        <w:rPr>
          <w:sz w:val="24"/>
          <w:szCs w:val="24"/>
        </w:rPr>
        <w:t xml:space="preserve">hird </w:t>
      </w:r>
      <w:r w:rsidR="009C5914" w:rsidRPr="4D47C6A0">
        <w:rPr>
          <w:sz w:val="24"/>
          <w:szCs w:val="24"/>
        </w:rPr>
        <w:t>p</w:t>
      </w:r>
      <w:r w:rsidR="00D31BAF" w:rsidRPr="4D47C6A0">
        <w:rPr>
          <w:sz w:val="24"/>
          <w:szCs w:val="24"/>
        </w:rPr>
        <w:t>arty), the T</w:t>
      </w:r>
      <w:r w:rsidR="00BF0B86" w:rsidRPr="4D47C6A0">
        <w:rPr>
          <w:sz w:val="24"/>
          <w:szCs w:val="24"/>
        </w:rPr>
        <w:t xml:space="preserve">ortfeasor </w:t>
      </w:r>
      <w:r w:rsidR="00D31BAF" w:rsidRPr="4D47C6A0">
        <w:rPr>
          <w:sz w:val="24"/>
          <w:szCs w:val="24"/>
        </w:rPr>
        <w:t>(</w:t>
      </w:r>
      <w:r w:rsidR="009C5914" w:rsidRPr="4D47C6A0">
        <w:rPr>
          <w:sz w:val="24"/>
          <w:szCs w:val="24"/>
        </w:rPr>
        <w:t>an e</w:t>
      </w:r>
      <w:r w:rsidR="00BF0B86" w:rsidRPr="4D47C6A0">
        <w:rPr>
          <w:sz w:val="24"/>
          <w:szCs w:val="24"/>
        </w:rPr>
        <w:t>mployee</w:t>
      </w:r>
      <w:r w:rsidR="40BDE1C7" w:rsidRPr="4D47C6A0">
        <w:rPr>
          <w:sz w:val="24"/>
          <w:szCs w:val="24"/>
        </w:rPr>
        <w:t xml:space="preserve"> or someone akin to the same</w:t>
      </w:r>
      <w:r w:rsidR="00BF0B86" w:rsidRPr="4D47C6A0">
        <w:rPr>
          <w:sz w:val="24"/>
          <w:szCs w:val="24"/>
        </w:rPr>
        <w:t xml:space="preserve">), </w:t>
      </w:r>
      <w:r w:rsidR="00D31BAF" w:rsidRPr="4D47C6A0">
        <w:rPr>
          <w:sz w:val="24"/>
          <w:szCs w:val="24"/>
        </w:rPr>
        <w:t xml:space="preserve">and </w:t>
      </w:r>
      <w:r w:rsidR="00BF0B86" w:rsidRPr="4D47C6A0">
        <w:rPr>
          <w:sz w:val="24"/>
          <w:szCs w:val="24"/>
        </w:rPr>
        <w:t xml:space="preserve">the </w:t>
      </w:r>
      <w:r w:rsidR="00D31BAF" w:rsidRPr="4D47C6A0">
        <w:rPr>
          <w:sz w:val="24"/>
          <w:szCs w:val="24"/>
        </w:rPr>
        <w:t>Defendant (</w:t>
      </w:r>
      <w:r w:rsidR="009C5914" w:rsidRPr="4D47C6A0">
        <w:rPr>
          <w:sz w:val="24"/>
          <w:szCs w:val="24"/>
        </w:rPr>
        <w:t>an e</w:t>
      </w:r>
      <w:r w:rsidR="00D31BAF" w:rsidRPr="4D47C6A0">
        <w:rPr>
          <w:sz w:val="24"/>
          <w:szCs w:val="24"/>
        </w:rPr>
        <w:t xml:space="preserve">mployer </w:t>
      </w:r>
      <w:r w:rsidR="00C30D99" w:rsidRPr="4D47C6A0">
        <w:rPr>
          <w:sz w:val="24"/>
          <w:szCs w:val="24"/>
        </w:rPr>
        <w:t xml:space="preserve">of </w:t>
      </w:r>
      <w:r w:rsidR="009C5914" w:rsidRPr="4D47C6A0">
        <w:rPr>
          <w:sz w:val="24"/>
          <w:szCs w:val="24"/>
        </w:rPr>
        <w:t>the t</w:t>
      </w:r>
      <w:r w:rsidR="00C30D99" w:rsidRPr="4D47C6A0">
        <w:rPr>
          <w:sz w:val="24"/>
          <w:szCs w:val="24"/>
        </w:rPr>
        <w:t>ortfeasor</w:t>
      </w:r>
      <w:r w:rsidR="617971ED" w:rsidRPr="4D47C6A0">
        <w:rPr>
          <w:sz w:val="24"/>
          <w:szCs w:val="24"/>
        </w:rPr>
        <w:t xml:space="preserve"> or someone akin to the same</w:t>
      </w:r>
      <w:r w:rsidR="00C30D99" w:rsidRPr="4D47C6A0">
        <w:rPr>
          <w:sz w:val="24"/>
          <w:szCs w:val="24"/>
        </w:rPr>
        <w:t xml:space="preserve">). </w:t>
      </w:r>
      <w:r w:rsidR="00ED3A30" w:rsidRPr="4D47C6A0">
        <w:rPr>
          <w:sz w:val="24"/>
          <w:szCs w:val="24"/>
        </w:rPr>
        <w:t>The Defendant can be liable for the actions or omissions of another even where they themselves have done nothing wrong. This may seem anomalous in view of what you have learned so far about tort</w:t>
      </w:r>
      <w:r w:rsidR="00033080" w:rsidRPr="4D47C6A0">
        <w:rPr>
          <w:sz w:val="24"/>
          <w:szCs w:val="24"/>
        </w:rPr>
        <w:t xml:space="preserve"> law</w:t>
      </w:r>
      <w:r w:rsidR="00ED3A30" w:rsidRPr="4D47C6A0">
        <w:rPr>
          <w:sz w:val="24"/>
          <w:szCs w:val="24"/>
        </w:rPr>
        <w:t xml:space="preserve">.  </w:t>
      </w:r>
    </w:p>
    <w:p w14:paraId="71EEBD2C" w14:textId="3035E594" w:rsidR="00826FE6" w:rsidRDefault="00413681" w:rsidP="00826FE6">
      <w:pPr>
        <w:spacing w:line="360" w:lineRule="auto"/>
        <w:jc w:val="both"/>
        <w:rPr>
          <w:sz w:val="24"/>
          <w:szCs w:val="24"/>
        </w:rPr>
      </w:pPr>
      <w:r w:rsidRPr="7D276C56">
        <w:rPr>
          <w:sz w:val="24"/>
          <w:szCs w:val="24"/>
        </w:rPr>
        <w:t>Both non-delegable duty and vicarious liability have taken a journey from their starting positions in the common law</w:t>
      </w:r>
      <w:r w:rsidR="00DA6E06" w:rsidRPr="7D276C56">
        <w:rPr>
          <w:sz w:val="24"/>
          <w:szCs w:val="24"/>
        </w:rPr>
        <w:t xml:space="preserve">. There have been numerous House of Lords/Supreme Court </w:t>
      </w:r>
      <w:r w:rsidR="00DA6E06" w:rsidRPr="7D276C56">
        <w:rPr>
          <w:sz w:val="24"/>
          <w:szCs w:val="24"/>
        </w:rPr>
        <w:lastRenderedPageBreak/>
        <w:t xml:space="preserve">judgments in the last </w:t>
      </w:r>
      <w:r w:rsidR="00385626" w:rsidRPr="7D276C56">
        <w:rPr>
          <w:sz w:val="24"/>
          <w:szCs w:val="24"/>
        </w:rPr>
        <w:t>20</w:t>
      </w:r>
      <w:r w:rsidR="002F3906" w:rsidRPr="7D276C56">
        <w:rPr>
          <w:sz w:val="24"/>
          <w:szCs w:val="24"/>
        </w:rPr>
        <w:t xml:space="preserve"> years</w:t>
      </w:r>
      <w:r w:rsidR="00366780">
        <w:rPr>
          <w:sz w:val="24"/>
          <w:szCs w:val="24"/>
        </w:rPr>
        <w:t>, which finally seems to have slowed down in the last couple of years to reach a more settled state</w:t>
      </w:r>
      <w:r w:rsidR="002F3906" w:rsidRPr="7D276C56">
        <w:rPr>
          <w:sz w:val="24"/>
          <w:szCs w:val="24"/>
        </w:rPr>
        <w:t>.</w:t>
      </w:r>
      <w:r w:rsidRPr="7D276C56">
        <w:rPr>
          <w:sz w:val="24"/>
          <w:szCs w:val="24"/>
        </w:rPr>
        <w:t xml:space="preserve"> </w:t>
      </w:r>
      <w:r w:rsidR="002F3906" w:rsidRPr="7D276C56">
        <w:rPr>
          <w:sz w:val="24"/>
          <w:szCs w:val="24"/>
        </w:rPr>
        <w:t>The courts have</w:t>
      </w:r>
      <w:r w:rsidR="00366780">
        <w:rPr>
          <w:sz w:val="24"/>
          <w:szCs w:val="24"/>
        </w:rPr>
        <w:t>, however,</w:t>
      </w:r>
      <w:r w:rsidR="002F3906" w:rsidRPr="7D276C56">
        <w:rPr>
          <w:sz w:val="24"/>
          <w:szCs w:val="24"/>
        </w:rPr>
        <w:t xml:space="preserve"> </w:t>
      </w:r>
      <w:r w:rsidRPr="7D276C56">
        <w:rPr>
          <w:sz w:val="24"/>
          <w:szCs w:val="24"/>
        </w:rPr>
        <w:t>develop</w:t>
      </w:r>
      <w:r w:rsidR="002F3906" w:rsidRPr="7D276C56">
        <w:rPr>
          <w:sz w:val="24"/>
          <w:szCs w:val="24"/>
        </w:rPr>
        <w:t>ed a range of</w:t>
      </w:r>
      <w:r w:rsidRPr="7D276C56">
        <w:rPr>
          <w:sz w:val="24"/>
          <w:szCs w:val="24"/>
        </w:rPr>
        <w:t xml:space="preserve"> tests to </w:t>
      </w:r>
      <w:r w:rsidR="002F3906" w:rsidRPr="7D276C56">
        <w:rPr>
          <w:sz w:val="24"/>
          <w:szCs w:val="24"/>
        </w:rPr>
        <w:t xml:space="preserve">address more </w:t>
      </w:r>
      <w:r w:rsidRPr="7D276C56">
        <w:rPr>
          <w:sz w:val="24"/>
          <w:szCs w:val="24"/>
        </w:rPr>
        <w:t>modern employment situations</w:t>
      </w:r>
      <w:r w:rsidR="002F3906" w:rsidRPr="7D276C56">
        <w:rPr>
          <w:sz w:val="24"/>
          <w:szCs w:val="24"/>
        </w:rPr>
        <w:t xml:space="preserve">, where there may be more than one employer or </w:t>
      </w:r>
      <w:r w:rsidR="00A71716" w:rsidRPr="7D276C56">
        <w:rPr>
          <w:sz w:val="24"/>
          <w:szCs w:val="24"/>
        </w:rPr>
        <w:t xml:space="preserve">where </w:t>
      </w:r>
      <w:r w:rsidR="00826FE6" w:rsidRPr="7D276C56">
        <w:rPr>
          <w:sz w:val="24"/>
          <w:szCs w:val="24"/>
        </w:rPr>
        <w:t xml:space="preserve">services </w:t>
      </w:r>
      <w:r w:rsidR="00D7624F" w:rsidRPr="7D276C56">
        <w:rPr>
          <w:sz w:val="24"/>
          <w:szCs w:val="24"/>
        </w:rPr>
        <w:t>have been</w:t>
      </w:r>
      <w:r w:rsidR="00826FE6" w:rsidRPr="7D276C56">
        <w:rPr>
          <w:sz w:val="24"/>
          <w:szCs w:val="24"/>
        </w:rPr>
        <w:t xml:space="preserve"> delegated </w:t>
      </w:r>
      <w:r w:rsidR="00D7624F" w:rsidRPr="7D276C56">
        <w:rPr>
          <w:sz w:val="24"/>
          <w:szCs w:val="24"/>
        </w:rPr>
        <w:t xml:space="preserve">or contracted out </w:t>
      </w:r>
      <w:r w:rsidR="00826FE6" w:rsidRPr="7D276C56">
        <w:rPr>
          <w:sz w:val="24"/>
          <w:szCs w:val="24"/>
        </w:rPr>
        <w:t>to others</w:t>
      </w:r>
      <w:r w:rsidR="00385626" w:rsidRPr="7D276C56">
        <w:rPr>
          <w:sz w:val="24"/>
          <w:szCs w:val="24"/>
        </w:rPr>
        <w:t>, a</w:t>
      </w:r>
      <w:r w:rsidR="15D63C8D" w:rsidRPr="7D276C56">
        <w:rPr>
          <w:sz w:val="24"/>
          <w:szCs w:val="24"/>
        </w:rPr>
        <w:t xml:space="preserve">s well as to encompass </w:t>
      </w:r>
      <w:r w:rsidR="00385626" w:rsidRPr="7D276C56">
        <w:rPr>
          <w:sz w:val="24"/>
          <w:szCs w:val="24"/>
        </w:rPr>
        <w:t>situations ‘akin to employment’</w:t>
      </w:r>
      <w:r w:rsidR="00826FE6" w:rsidRPr="7D276C56">
        <w:rPr>
          <w:sz w:val="24"/>
          <w:szCs w:val="24"/>
        </w:rPr>
        <w:t xml:space="preserve">. Further, </w:t>
      </w:r>
      <w:proofErr w:type="gramStart"/>
      <w:r w:rsidR="00826FE6" w:rsidRPr="7D276C56">
        <w:rPr>
          <w:sz w:val="24"/>
          <w:szCs w:val="24"/>
        </w:rPr>
        <w:t>a number of</w:t>
      </w:r>
      <w:proofErr w:type="gramEnd"/>
      <w:r w:rsidR="00826FE6" w:rsidRPr="7D276C56">
        <w:rPr>
          <w:sz w:val="24"/>
          <w:szCs w:val="24"/>
        </w:rPr>
        <w:t xml:space="preserve"> non-delegable duties are now </w:t>
      </w:r>
      <w:r w:rsidR="00385626" w:rsidRPr="7D276C56">
        <w:rPr>
          <w:sz w:val="24"/>
          <w:szCs w:val="24"/>
        </w:rPr>
        <w:t xml:space="preserve">also </w:t>
      </w:r>
      <w:r w:rsidR="00826FE6" w:rsidRPr="7D276C56">
        <w:rPr>
          <w:sz w:val="24"/>
          <w:szCs w:val="24"/>
        </w:rPr>
        <w:t xml:space="preserve">captured by </w:t>
      </w:r>
      <w:r w:rsidR="00385626" w:rsidRPr="7D276C56">
        <w:rPr>
          <w:sz w:val="24"/>
          <w:szCs w:val="24"/>
        </w:rPr>
        <w:t>statutes.</w:t>
      </w:r>
      <w:r w:rsidR="0B35923C" w:rsidRPr="7D276C56">
        <w:rPr>
          <w:sz w:val="24"/>
          <w:szCs w:val="24"/>
        </w:rPr>
        <w:t xml:space="preserve"> Whilst we consider </w:t>
      </w:r>
      <w:r w:rsidR="1BB8A0CF" w:rsidRPr="7D276C56">
        <w:rPr>
          <w:sz w:val="24"/>
          <w:szCs w:val="24"/>
        </w:rPr>
        <w:t>some of these statutes and regulations</w:t>
      </w:r>
      <w:r w:rsidR="0B35923C" w:rsidRPr="7D276C56">
        <w:rPr>
          <w:sz w:val="24"/>
          <w:szCs w:val="24"/>
        </w:rPr>
        <w:t xml:space="preserve"> in your lectures, they do not form a substantive part of this module.</w:t>
      </w:r>
    </w:p>
    <w:p w14:paraId="2F9F1A88" w14:textId="6EDC386B" w:rsidR="00413681" w:rsidRDefault="00413681" w:rsidP="00413681">
      <w:pPr>
        <w:spacing w:line="360" w:lineRule="auto"/>
        <w:jc w:val="both"/>
        <w:rPr>
          <w:sz w:val="24"/>
          <w:szCs w:val="24"/>
        </w:rPr>
      </w:pPr>
    </w:p>
    <w:p w14:paraId="0AB129BD" w14:textId="36E562F1" w:rsidR="00F72484" w:rsidRDefault="00413681" w:rsidP="00413681">
      <w:pPr>
        <w:spacing w:line="360" w:lineRule="auto"/>
        <w:jc w:val="both"/>
        <w:rPr>
          <w:sz w:val="24"/>
          <w:szCs w:val="24"/>
        </w:rPr>
      </w:pPr>
      <w:r>
        <w:rPr>
          <w:sz w:val="24"/>
          <w:szCs w:val="24"/>
        </w:rPr>
        <w:t>You may find the following reading list usef</w:t>
      </w:r>
      <w:r w:rsidR="00E60897">
        <w:rPr>
          <w:sz w:val="24"/>
          <w:szCs w:val="24"/>
        </w:rPr>
        <w:t>ul</w:t>
      </w:r>
      <w:r w:rsidR="00CC5BC8">
        <w:rPr>
          <w:sz w:val="24"/>
          <w:szCs w:val="24"/>
        </w:rPr>
        <w:t xml:space="preserve"> (</w:t>
      </w:r>
      <w:r w:rsidR="009173E1">
        <w:rPr>
          <w:sz w:val="24"/>
          <w:szCs w:val="24"/>
        </w:rPr>
        <w:t xml:space="preserve">you will </w:t>
      </w:r>
      <w:r w:rsidR="006167BF">
        <w:rPr>
          <w:sz w:val="24"/>
          <w:szCs w:val="24"/>
        </w:rPr>
        <w:t xml:space="preserve">also </w:t>
      </w:r>
      <w:r w:rsidR="009173E1">
        <w:rPr>
          <w:sz w:val="24"/>
          <w:szCs w:val="24"/>
        </w:rPr>
        <w:t>find similar in your</w:t>
      </w:r>
      <w:r w:rsidR="00CC5BC8">
        <w:rPr>
          <w:sz w:val="24"/>
          <w:szCs w:val="24"/>
        </w:rPr>
        <w:t xml:space="preserve"> workshop reading)</w:t>
      </w:r>
      <w:r w:rsidR="00251849">
        <w:rPr>
          <w:sz w:val="24"/>
          <w:szCs w:val="24"/>
        </w:rPr>
        <w:t>:</w:t>
      </w:r>
    </w:p>
    <w:p w14:paraId="50F82707" w14:textId="77777777" w:rsidR="006167BF" w:rsidRDefault="006167BF" w:rsidP="00413681">
      <w:pPr>
        <w:spacing w:line="360" w:lineRule="auto"/>
        <w:jc w:val="both"/>
        <w:rPr>
          <w:sz w:val="24"/>
          <w:szCs w:val="24"/>
        </w:rPr>
      </w:pPr>
    </w:p>
    <w:p w14:paraId="303856A7" w14:textId="77777777" w:rsidR="00010DCB" w:rsidRDefault="00010DCB" w:rsidP="001270EB">
      <w:pPr>
        <w:spacing w:line="360" w:lineRule="auto"/>
        <w:jc w:val="both"/>
        <w:rPr>
          <w:b/>
          <w:bCs/>
          <w:sz w:val="24"/>
          <w:szCs w:val="24"/>
        </w:rPr>
      </w:pPr>
      <w:r>
        <w:rPr>
          <w:b/>
          <w:bCs/>
          <w:sz w:val="24"/>
          <w:szCs w:val="24"/>
        </w:rPr>
        <w:t>Textbooks</w:t>
      </w:r>
    </w:p>
    <w:p w14:paraId="76FEFD80" w14:textId="77777777" w:rsidR="00010DCB" w:rsidRPr="00010DCB" w:rsidRDefault="00010DCB" w:rsidP="001270EB">
      <w:pPr>
        <w:pStyle w:val="ListParagraph"/>
        <w:numPr>
          <w:ilvl w:val="0"/>
          <w:numId w:val="2"/>
        </w:numPr>
        <w:spacing w:line="240" w:lineRule="auto"/>
        <w:jc w:val="both"/>
        <w:rPr>
          <w:color w:val="4472C4" w:themeColor="accent1"/>
          <w:sz w:val="24"/>
          <w:szCs w:val="24"/>
        </w:rPr>
      </w:pPr>
      <w:r w:rsidRPr="00010DCB">
        <w:rPr>
          <w:color w:val="4472C4" w:themeColor="accent1"/>
          <w:sz w:val="24"/>
          <w:szCs w:val="24"/>
        </w:rPr>
        <w:t>Horsey &amp; Rackley:</w:t>
      </w:r>
    </w:p>
    <w:p w14:paraId="2F5012D5" w14:textId="5A1E8589" w:rsidR="00010DCB" w:rsidRPr="00010DCB" w:rsidRDefault="00010DCB" w:rsidP="001270EB">
      <w:pPr>
        <w:pStyle w:val="ListParagraph"/>
        <w:numPr>
          <w:ilvl w:val="1"/>
          <w:numId w:val="2"/>
        </w:numPr>
        <w:spacing w:line="240" w:lineRule="auto"/>
        <w:jc w:val="both"/>
        <w:rPr>
          <w:color w:val="4472C4" w:themeColor="accent1"/>
          <w:sz w:val="24"/>
          <w:szCs w:val="24"/>
        </w:rPr>
      </w:pPr>
      <w:r w:rsidRPr="00010DCB">
        <w:rPr>
          <w:color w:val="4472C4" w:themeColor="accent1"/>
          <w:sz w:val="24"/>
          <w:szCs w:val="24"/>
        </w:rPr>
        <w:t>Chapter 13: Employer</w:t>
      </w:r>
      <w:r w:rsidR="00385626">
        <w:rPr>
          <w:color w:val="4472C4" w:themeColor="accent1"/>
          <w:sz w:val="24"/>
          <w:szCs w:val="24"/>
        </w:rPr>
        <w:t>s’</w:t>
      </w:r>
      <w:r w:rsidRPr="00010DCB">
        <w:rPr>
          <w:color w:val="4472C4" w:themeColor="accent1"/>
          <w:sz w:val="24"/>
          <w:szCs w:val="24"/>
        </w:rPr>
        <w:t xml:space="preserve"> Liability</w:t>
      </w:r>
    </w:p>
    <w:p w14:paraId="09254CC6" w14:textId="767ABC68" w:rsidR="00010DCB" w:rsidRDefault="00010DCB" w:rsidP="00F72484">
      <w:pPr>
        <w:pStyle w:val="ListParagraph"/>
        <w:numPr>
          <w:ilvl w:val="1"/>
          <w:numId w:val="2"/>
        </w:numPr>
        <w:spacing w:line="240" w:lineRule="auto"/>
        <w:jc w:val="both"/>
        <w:rPr>
          <w:color w:val="4472C4" w:themeColor="accent1"/>
          <w:sz w:val="24"/>
          <w:szCs w:val="24"/>
        </w:rPr>
      </w:pPr>
      <w:r w:rsidRPr="00010DCB">
        <w:rPr>
          <w:color w:val="4472C4" w:themeColor="accent1"/>
          <w:sz w:val="24"/>
          <w:szCs w:val="24"/>
        </w:rPr>
        <w:t>Chapter 20: Vicarious Liability</w:t>
      </w:r>
    </w:p>
    <w:p w14:paraId="1ACDC76F" w14:textId="77777777" w:rsidR="00F72484" w:rsidRPr="00F72484" w:rsidRDefault="00F72484" w:rsidP="00385626">
      <w:pPr>
        <w:pStyle w:val="ListParagraph"/>
        <w:spacing w:line="240" w:lineRule="auto"/>
        <w:ind w:left="1440"/>
        <w:jc w:val="both"/>
        <w:rPr>
          <w:color w:val="4472C4" w:themeColor="accent1"/>
          <w:sz w:val="24"/>
          <w:szCs w:val="24"/>
        </w:rPr>
      </w:pPr>
    </w:p>
    <w:p w14:paraId="3624C6C2" w14:textId="4F672CF3" w:rsidR="00743CC3" w:rsidRPr="00010DCB" w:rsidRDefault="00010DCB" w:rsidP="001270EB">
      <w:pPr>
        <w:spacing w:line="360" w:lineRule="auto"/>
        <w:jc w:val="both"/>
        <w:rPr>
          <w:b/>
          <w:bCs/>
          <w:sz w:val="24"/>
          <w:szCs w:val="24"/>
        </w:rPr>
      </w:pPr>
      <w:r>
        <w:rPr>
          <w:b/>
          <w:bCs/>
          <w:sz w:val="24"/>
          <w:szCs w:val="24"/>
        </w:rPr>
        <w:t>Core Cases</w:t>
      </w:r>
    </w:p>
    <w:p w14:paraId="55EF23D0" w14:textId="77777777" w:rsidR="00743CC3" w:rsidRPr="00010DCB" w:rsidRDefault="00743CC3" w:rsidP="001270EB">
      <w:pPr>
        <w:pStyle w:val="ListParagraph"/>
        <w:numPr>
          <w:ilvl w:val="0"/>
          <w:numId w:val="1"/>
        </w:numPr>
        <w:spacing w:line="240" w:lineRule="auto"/>
        <w:jc w:val="both"/>
        <w:rPr>
          <w:color w:val="4472C4" w:themeColor="accent1"/>
          <w:sz w:val="24"/>
          <w:szCs w:val="24"/>
        </w:rPr>
      </w:pPr>
      <w:r w:rsidRPr="00010DCB">
        <w:rPr>
          <w:i/>
          <w:iCs/>
          <w:color w:val="4472C4" w:themeColor="accent1"/>
          <w:sz w:val="24"/>
          <w:szCs w:val="24"/>
        </w:rPr>
        <w:t xml:space="preserve">Woodland v Swimming Teachers Association </w:t>
      </w:r>
      <w:r w:rsidRPr="00010DCB">
        <w:rPr>
          <w:color w:val="4472C4" w:themeColor="accent1"/>
          <w:sz w:val="24"/>
          <w:szCs w:val="24"/>
        </w:rPr>
        <w:t xml:space="preserve">[2013] 3 WLR 1227  </w:t>
      </w:r>
    </w:p>
    <w:p w14:paraId="78A0E573" w14:textId="77777777" w:rsidR="00743CC3" w:rsidRPr="00010DCB" w:rsidRDefault="00743CC3" w:rsidP="001270EB">
      <w:pPr>
        <w:pStyle w:val="ListParagraph"/>
        <w:jc w:val="both"/>
        <w:rPr>
          <w:color w:val="4472C4" w:themeColor="accent1"/>
          <w:sz w:val="24"/>
          <w:szCs w:val="24"/>
        </w:rPr>
      </w:pPr>
    </w:p>
    <w:p w14:paraId="5B2369DB" w14:textId="765546E3" w:rsidR="00743CC3" w:rsidRPr="00010DCB" w:rsidRDefault="00743CC3" w:rsidP="001270EB">
      <w:pPr>
        <w:pStyle w:val="ListParagraph"/>
        <w:numPr>
          <w:ilvl w:val="0"/>
          <w:numId w:val="1"/>
        </w:numPr>
        <w:spacing w:line="240" w:lineRule="auto"/>
        <w:jc w:val="both"/>
        <w:rPr>
          <w:color w:val="4472C4" w:themeColor="accent1"/>
          <w:sz w:val="24"/>
          <w:szCs w:val="24"/>
        </w:rPr>
      </w:pPr>
      <w:proofErr w:type="spellStart"/>
      <w:r w:rsidRPr="00010DCB">
        <w:rPr>
          <w:i/>
          <w:iCs/>
          <w:color w:val="4472C4" w:themeColor="accent1"/>
          <w:sz w:val="24"/>
          <w:szCs w:val="24"/>
        </w:rPr>
        <w:t>Viasystems</w:t>
      </w:r>
      <w:proofErr w:type="spellEnd"/>
      <w:r w:rsidRPr="00010DCB">
        <w:rPr>
          <w:i/>
          <w:iCs/>
          <w:color w:val="4472C4" w:themeColor="accent1"/>
          <w:sz w:val="24"/>
          <w:szCs w:val="24"/>
        </w:rPr>
        <w:t xml:space="preserve"> (Tyneside) Ltd v Thermal Transfer (Northern) Ltd </w:t>
      </w:r>
      <w:r w:rsidRPr="00010DCB">
        <w:rPr>
          <w:color w:val="4472C4" w:themeColor="accent1"/>
          <w:sz w:val="24"/>
          <w:szCs w:val="24"/>
        </w:rPr>
        <w:t xml:space="preserve">[2005] 4 All ER 1181  </w:t>
      </w:r>
    </w:p>
    <w:p w14:paraId="6FABE473" w14:textId="77777777" w:rsidR="00743CC3" w:rsidRPr="00010DCB" w:rsidRDefault="00743CC3" w:rsidP="001270EB">
      <w:pPr>
        <w:pStyle w:val="ListParagraph"/>
        <w:spacing w:line="240" w:lineRule="auto"/>
        <w:jc w:val="both"/>
        <w:rPr>
          <w:color w:val="4472C4" w:themeColor="accent1"/>
          <w:sz w:val="24"/>
          <w:szCs w:val="24"/>
        </w:rPr>
      </w:pPr>
    </w:p>
    <w:p w14:paraId="519AE7ED" w14:textId="77777777" w:rsidR="00743CC3" w:rsidRPr="00010DCB" w:rsidRDefault="00743CC3" w:rsidP="001270EB">
      <w:pPr>
        <w:pStyle w:val="ListParagraph"/>
        <w:numPr>
          <w:ilvl w:val="0"/>
          <w:numId w:val="1"/>
        </w:numPr>
        <w:spacing w:line="240" w:lineRule="auto"/>
        <w:jc w:val="both"/>
        <w:rPr>
          <w:color w:val="4472C4" w:themeColor="accent1"/>
          <w:sz w:val="24"/>
          <w:szCs w:val="24"/>
        </w:rPr>
      </w:pPr>
      <w:r w:rsidRPr="00010DCB">
        <w:rPr>
          <w:i/>
          <w:iCs/>
          <w:color w:val="4472C4" w:themeColor="accent1"/>
          <w:sz w:val="24"/>
          <w:szCs w:val="24"/>
        </w:rPr>
        <w:t>Various Claimants v Catholic Child Welfare Society</w:t>
      </w:r>
      <w:r w:rsidRPr="00010DCB">
        <w:rPr>
          <w:color w:val="4472C4" w:themeColor="accent1"/>
          <w:sz w:val="24"/>
          <w:szCs w:val="24"/>
        </w:rPr>
        <w:t xml:space="preserve"> [2012] 3 WLR 1319   </w:t>
      </w:r>
    </w:p>
    <w:p w14:paraId="083638B0" w14:textId="77777777" w:rsidR="00743CC3" w:rsidRPr="00010DCB" w:rsidRDefault="00743CC3" w:rsidP="001270EB">
      <w:pPr>
        <w:pStyle w:val="ListParagraph"/>
        <w:jc w:val="both"/>
        <w:rPr>
          <w:color w:val="4472C4" w:themeColor="accent1"/>
          <w:sz w:val="24"/>
          <w:szCs w:val="24"/>
        </w:rPr>
      </w:pPr>
    </w:p>
    <w:p w14:paraId="17789699" w14:textId="1FA45908" w:rsidR="00743CC3" w:rsidRPr="00010DCB" w:rsidRDefault="00743CC3" w:rsidP="001270EB">
      <w:pPr>
        <w:pStyle w:val="ListParagraph"/>
        <w:numPr>
          <w:ilvl w:val="0"/>
          <w:numId w:val="1"/>
        </w:numPr>
        <w:spacing w:line="240" w:lineRule="auto"/>
        <w:jc w:val="both"/>
        <w:rPr>
          <w:color w:val="4472C4" w:themeColor="accent1"/>
          <w:sz w:val="24"/>
          <w:szCs w:val="24"/>
        </w:rPr>
      </w:pPr>
      <w:r w:rsidRPr="00010DCB">
        <w:rPr>
          <w:i/>
          <w:iCs/>
          <w:color w:val="4472C4" w:themeColor="accent1"/>
          <w:sz w:val="24"/>
          <w:szCs w:val="24"/>
        </w:rPr>
        <w:t>Mohamud v WM Morrison Supermarkets plc</w:t>
      </w:r>
      <w:r w:rsidRPr="00010DCB">
        <w:rPr>
          <w:color w:val="4472C4" w:themeColor="accent1"/>
          <w:sz w:val="24"/>
          <w:szCs w:val="24"/>
        </w:rPr>
        <w:t xml:space="preserve"> [2016] UKSC 11  </w:t>
      </w:r>
    </w:p>
    <w:p w14:paraId="28CB0558" w14:textId="77777777" w:rsidR="00743CC3" w:rsidRPr="00010DCB" w:rsidRDefault="00743CC3" w:rsidP="001270EB">
      <w:pPr>
        <w:pStyle w:val="ListParagraph"/>
        <w:jc w:val="both"/>
        <w:rPr>
          <w:color w:val="4472C4" w:themeColor="accent1"/>
          <w:sz w:val="24"/>
          <w:szCs w:val="24"/>
        </w:rPr>
      </w:pPr>
    </w:p>
    <w:p w14:paraId="52913C81" w14:textId="12CE574A" w:rsidR="00743CC3" w:rsidRPr="00010DCB" w:rsidRDefault="00743CC3" w:rsidP="001270EB">
      <w:pPr>
        <w:pStyle w:val="ListParagraph"/>
        <w:numPr>
          <w:ilvl w:val="0"/>
          <w:numId w:val="1"/>
        </w:numPr>
        <w:spacing w:line="240" w:lineRule="auto"/>
        <w:jc w:val="both"/>
        <w:rPr>
          <w:color w:val="4472C4" w:themeColor="accent1"/>
          <w:sz w:val="24"/>
          <w:szCs w:val="24"/>
        </w:rPr>
      </w:pPr>
      <w:r w:rsidRPr="00010DCB">
        <w:rPr>
          <w:i/>
          <w:iCs/>
          <w:color w:val="4472C4" w:themeColor="accent1"/>
          <w:sz w:val="24"/>
          <w:szCs w:val="24"/>
        </w:rPr>
        <w:t>Cox v Ministry of Justice</w:t>
      </w:r>
      <w:r w:rsidRPr="00010DCB">
        <w:rPr>
          <w:color w:val="4472C4" w:themeColor="accent1"/>
          <w:sz w:val="24"/>
          <w:szCs w:val="24"/>
        </w:rPr>
        <w:t xml:space="preserve"> [2016] AC 660   </w:t>
      </w:r>
    </w:p>
    <w:p w14:paraId="40F97312" w14:textId="77777777" w:rsidR="00B649CD" w:rsidRPr="00010DCB" w:rsidRDefault="00B649CD" w:rsidP="001270EB">
      <w:pPr>
        <w:pStyle w:val="ListParagraph"/>
        <w:jc w:val="both"/>
        <w:rPr>
          <w:color w:val="4472C4" w:themeColor="accent1"/>
          <w:sz w:val="24"/>
          <w:szCs w:val="24"/>
        </w:rPr>
      </w:pPr>
    </w:p>
    <w:p w14:paraId="36219261" w14:textId="69F49EED" w:rsidR="00B649CD" w:rsidRPr="00010DCB" w:rsidRDefault="00B649CD" w:rsidP="001270EB">
      <w:pPr>
        <w:pStyle w:val="ListParagraph"/>
        <w:numPr>
          <w:ilvl w:val="0"/>
          <w:numId w:val="1"/>
        </w:numPr>
        <w:spacing w:line="240" w:lineRule="auto"/>
        <w:jc w:val="both"/>
        <w:rPr>
          <w:color w:val="4472C4" w:themeColor="accent1"/>
          <w:sz w:val="24"/>
          <w:szCs w:val="24"/>
        </w:rPr>
      </w:pPr>
      <w:r w:rsidRPr="00010DCB">
        <w:rPr>
          <w:i/>
          <w:iCs/>
          <w:color w:val="4472C4" w:themeColor="accent1"/>
          <w:sz w:val="24"/>
          <w:szCs w:val="24"/>
        </w:rPr>
        <w:t>Armes v Nottinghamshire CC</w:t>
      </w:r>
      <w:r w:rsidRPr="00010DCB">
        <w:rPr>
          <w:color w:val="4472C4" w:themeColor="accent1"/>
          <w:sz w:val="24"/>
          <w:szCs w:val="24"/>
        </w:rPr>
        <w:t xml:space="preserve"> [2017] UKSC 60</w:t>
      </w:r>
    </w:p>
    <w:p w14:paraId="3EC04CFC" w14:textId="77777777" w:rsidR="00743CC3" w:rsidRPr="00010DCB" w:rsidRDefault="00743CC3" w:rsidP="001270EB">
      <w:pPr>
        <w:pStyle w:val="ListParagraph"/>
        <w:jc w:val="both"/>
        <w:rPr>
          <w:color w:val="4472C4" w:themeColor="accent1"/>
          <w:sz w:val="24"/>
          <w:szCs w:val="24"/>
        </w:rPr>
      </w:pPr>
    </w:p>
    <w:p w14:paraId="31087F7B" w14:textId="77777777" w:rsidR="00743CC3" w:rsidRPr="00010DCB" w:rsidRDefault="00743CC3" w:rsidP="001270EB">
      <w:pPr>
        <w:pStyle w:val="ListParagraph"/>
        <w:numPr>
          <w:ilvl w:val="0"/>
          <w:numId w:val="1"/>
        </w:numPr>
        <w:spacing w:line="240" w:lineRule="auto"/>
        <w:jc w:val="both"/>
        <w:rPr>
          <w:color w:val="4472C4" w:themeColor="accent1"/>
          <w:sz w:val="24"/>
          <w:szCs w:val="24"/>
        </w:rPr>
      </w:pPr>
      <w:r w:rsidRPr="00010DCB">
        <w:rPr>
          <w:i/>
          <w:iCs/>
          <w:color w:val="4472C4" w:themeColor="accent1"/>
          <w:sz w:val="24"/>
          <w:szCs w:val="24"/>
        </w:rPr>
        <w:t>Barclays Bank v Various Claimants</w:t>
      </w:r>
      <w:r w:rsidRPr="00010DCB">
        <w:rPr>
          <w:color w:val="4472C4" w:themeColor="accent1"/>
          <w:sz w:val="24"/>
          <w:szCs w:val="24"/>
        </w:rPr>
        <w:t xml:space="preserve"> [2020] UKSC 2013  </w:t>
      </w:r>
    </w:p>
    <w:p w14:paraId="2D65AF72" w14:textId="77777777" w:rsidR="00743CC3" w:rsidRPr="00010DCB" w:rsidRDefault="00743CC3" w:rsidP="001270EB">
      <w:pPr>
        <w:pStyle w:val="ListParagraph"/>
        <w:jc w:val="both"/>
        <w:rPr>
          <w:color w:val="4472C4" w:themeColor="accent1"/>
          <w:sz w:val="24"/>
          <w:szCs w:val="24"/>
        </w:rPr>
      </w:pPr>
    </w:p>
    <w:p w14:paraId="725629DF" w14:textId="77777777" w:rsidR="00743CC3" w:rsidRPr="00010DCB" w:rsidRDefault="00743CC3" w:rsidP="001270EB">
      <w:pPr>
        <w:pStyle w:val="ListParagraph"/>
        <w:numPr>
          <w:ilvl w:val="0"/>
          <w:numId w:val="1"/>
        </w:numPr>
        <w:spacing w:line="240" w:lineRule="auto"/>
        <w:jc w:val="both"/>
        <w:rPr>
          <w:color w:val="4472C4" w:themeColor="accent1"/>
          <w:sz w:val="24"/>
          <w:szCs w:val="24"/>
        </w:rPr>
      </w:pPr>
      <w:r w:rsidRPr="00010DCB">
        <w:rPr>
          <w:i/>
          <w:iCs/>
          <w:color w:val="4472C4" w:themeColor="accent1"/>
          <w:sz w:val="24"/>
          <w:szCs w:val="24"/>
        </w:rPr>
        <w:t>Trustees of the Barry Congregation of Jehovah's Witnesses (Appellant) v BXB (Respondent)</w:t>
      </w:r>
      <w:r w:rsidRPr="00010DCB">
        <w:rPr>
          <w:color w:val="4472C4" w:themeColor="accent1"/>
          <w:sz w:val="24"/>
          <w:szCs w:val="24"/>
        </w:rPr>
        <w:t xml:space="preserve"> [2023] UKSC 15</w:t>
      </w:r>
    </w:p>
    <w:p w14:paraId="5DCC37BC" w14:textId="77777777" w:rsidR="00010DCB" w:rsidRDefault="00010DCB" w:rsidP="001270EB">
      <w:pPr>
        <w:pStyle w:val="ListParagraph"/>
        <w:jc w:val="both"/>
        <w:rPr>
          <w:sz w:val="24"/>
          <w:szCs w:val="24"/>
        </w:rPr>
      </w:pPr>
    </w:p>
    <w:p w14:paraId="5FCE0FB2" w14:textId="77777777" w:rsidR="006167BF" w:rsidRPr="00010DCB" w:rsidRDefault="006167BF" w:rsidP="001270EB">
      <w:pPr>
        <w:pStyle w:val="ListParagraph"/>
        <w:jc w:val="both"/>
        <w:rPr>
          <w:sz w:val="24"/>
          <w:szCs w:val="24"/>
        </w:rPr>
      </w:pPr>
    </w:p>
    <w:p w14:paraId="6C8C4F54" w14:textId="4417A234" w:rsidR="00010DCB" w:rsidRPr="00010DCB" w:rsidRDefault="00010DCB" w:rsidP="001270EB">
      <w:pPr>
        <w:spacing w:line="240" w:lineRule="auto"/>
        <w:jc w:val="both"/>
        <w:rPr>
          <w:b/>
          <w:bCs/>
          <w:sz w:val="24"/>
          <w:szCs w:val="24"/>
        </w:rPr>
      </w:pPr>
      <w:r w:rsidRPr="00010DCB">
        <w:rPr>
          <w:b/>
          <w:bCs/>
          <w:sz w:val="24"/>
          <w:szCs w:val="24"/>
        </w:rPr>
        <w:lastRenderedPageBreak/>
        <w:t>Additional Cases</w:t>
      </w:r>
    </w:p>
    <w:p w14:paraId="3BDA3FE5" w14:textId="3A5565CD" w:rsidR="00F72484" w:rsidRPr="00ED3B21" w:rsidRDefault="00CD709A" w:rsidP="00ED3B21">
      <w:pPr>
        <w:pStyle w:val="ListParagraph"/>
        <w:numPr>
          <w:ilvl w:val="0"/>
          <w:numId w:val="4"/>
        </w:numPr>
        <w:spacing w:line="240" w:lineRule="auto"/>
        <w:jc w:val="both"/>
        <w:rPr>
          <w:sz w:val="24"/>
          <w:szCs w:val="24"/>
        </w:rPr>
      </w:pPr>
      <w:r>
        <w:rPr>
          <w:sz w:val="24"/>
          <w:szCs w:val="24"/>
        </w:rPr>
        <w:t>See lecture slides Weeks 17 and 18</w:t>
      </w:r>
    </w:p>
    <w:p w14:paraId="1D066858" w14:textId="77777777" w:rsidR="00F72484" w:rsidRPr="006B6B24" w:rsidRDefault="00F72484" w:rsidP="001270EB">
      <w:pPr>
        <w:pStyle w:val="ListParagraph"/>
        <w:jc w:val="both"/>
        <w:rPr>
          <w:sz w:val="24"/>
          <w:szCs w:val="24"/>
        </w:rPr>
      </w:pPr>
    </w:p>
    <w:p w14:paraId="127AFFC8" w14:textId="60509DB0" w:rsidR="4D47C6A0" w:rsidRDefault="4D47C6A0" w:rsidP="4D47C6A0">
      <w:pPr>
        <w:pStyle w:val="ListParagraph"/>
        <w:jc w:val="both"/>
        <w:rPr>
          <w:sz w:val="24"/>
          <w:szCs w:val="24"/>
        </w:rPr>
      </w:pPr>
    </w:p>
    <w:p w14:paraId="798AE889" w14:textId="0A5526B8" w:rsidR="00B45571" w:rsidRPr="00644932" w:rsidRDefault="006B6B24" w:rsidP="001270EB">
      <w:pPr>
        <w:spacing w:line="240" w:lineRule="auto"/>
        <w:jc w:val="both"/>
        <w:rPr>
          <w:b/>
          <w:bCs/>
          <w:sz w:val="24"/>
          <w:szCs w:val="24"/>
        </w:rPr>
      </w:pPr>
      <w:r w:rsidRPr="006B6B24">
        <w:rPr>
          <w:b/>
          <w:bCs/>
          <w:sz w:val="24"/>
          <w:szCs w:val="24"/>
        </w:rPr>
        <w:t>Secondary Materials</w:t>
      </w:r>
      <w:r>
        <w:rPr>
          <w:b/>
          <w:bCs/>
          <w:sz w:val="24"/>
          <w:szCs w:val="24"/>
        </w:rPr>
        <w:t xml:space="preserve"> </w:t>
      </w:r>
    </w:p>
    <w:p w14:paraId="1AE556D3" w14:textId="77777777" w:rsidR="005833CE" w:rsidRDefault="005833CE" w:rsidP="001270EB">
      <w:pPr>
        <w:pStyle w:val="ListParagraph"/>
        <w:spacing w:line="240" w:lineRule="auto"/>
        <w:ind w:left="1440"/>
        <w:jc w:val="both"/>
        <w:rPr>
          <w:sz w:val="24"/>
          <w:szCs w:val="24"/>
        </w:rPr>
      </w:pPr>
    </w:p>
    <w:p w14:paraId="6CF48A01" w14:textId="1270358B" w:rsidR="00693C0D" w:rsidRPr="00ED3B21" w:rsidRDefault="001270EB" w:rsidP="00ED3B21">
      <w:pPr>
        <w:pStyle w:val="ListParagraph"/>
        <w:numPr>
          <w:ilvl w:val="0"/>
          <w:numId w:val="2"/>
        </w:numPr>
        <w:jc w:val="both"/>
        <w:rPr>
          <w:color w:val="4472C4" w:themeColor="accent1"/>
          <w:sz w:val="24"/>
          <w:szCs w:val="24"/>
        </w:rPr>
      </w:pPr>
      <w:r w:rsidRPr="4D47C6A0">
        <w:rPr>
          <w:color w:val="4472C4" w:themeColor="accent1"/>
          <w:sz w:val="24"/>
          <w:szCs w:val="24"/>
        </w:rPr>
        <w:t>Simon Deakin, ‘Organisational torts: vicarious liability versus non-delegable duty’ (2018) 77(1) Cambridge Law Journal 15</w:t>
      </w:r>
    </w:p>
    <w:p w14:paraId="0DAC1A31" w14:textId="33B7AED0" w:rsidR="4D47C6A0" w:rsidRDefault="4D47C6A0" w:rsidP="4D47C6A0">
      <w:pPr>
        <w:jc w:val="both"/>
        <w:rPr>
          <w:color w:val="4472C4" w:themeColor="accent1"/>
          <w:sz w:val="24"/>
          <w:szCs w:val="24"/>
        </w:rPr>
      </w:pPr>
    </w:p>
    <w:p w14:paraId="1557528C" w14:textId="0FC33683" w:rsidR="00521A14" w:rsidRPr="003A71A1" w:rsidRDefault="00521A14" w:rsidP="001270EB">
      <w:pPr>
        <w:pStyle w:val="ListParagraph"/>
        <w:numPr>
          <w:ilvl w:val="0"/>
          <w:numId w:val="2"/>
        </w:numPr>
        <w:spacing w:line="240" w:lineRule="auto"/>
        <w:jc w:val="both"/>
        <w:rPr>
          <w:color w:val="4472C4" w:themeColor="accent1"/>
          <w:sz w:val="24"/>
          <w:szCs w:val="24"/>
        </w:rPr>
      </w:pPr>
      <w:r w:rsidRPr="003A71A1">
        <w:rPr>
          <w:color w:val="4472C4" w:themeColor="accent1"/>
          <w:sz w:val="24"/>
          <w:szCs w:val="24"/>
        </w:rPr>
        <w:t>Jeremy Letwin and William Peck, ‘A Grand Unified Theory for the “Close Connection Test” in Vicarious Liability Cases’</w:t>
      </w:r>
      <w:r w:rsidR="00693C0D" w:rsidRPr="003A71A1">
        <w:rPr>
          <w:color w:val="4472C4" w:themeColor="accent1"/>
          <w:sz w:val="24"/>
          <w:szCs w:val="24"/>
        </w:rPr>
        <w:t xml:space="preserve"> (2023) 82(3) Cambridge Law Journal 388</w:t>
      </w:r>
    </w:p>
    <w:p w14:paraId="74AD9B49" w14:textId="77777777" w:rsidR="00315EC1" w:rsidRDefault="00315EC1" w:rsidP="001270EB">
      <w:pPr>
        <w:spacing w:line="240" w:lineRule="auto"/>
        <w:jc w:val="both"/>
        <w:rPr>
          <w:sz w:val="24"/>
          <w:szCs w:val="24"/>
        </w:rPr>
      </w:pPr>
    </w:p>
    <w:p w14:paraId="1256BDF4" w14:textId="48FAB704" w:rsidR="00315EC1" w:rsidRDefault="00693C0D" w:rsidP="001270EB">
      <w:pPr>
        <w:spacing w:line="240" w:lineRule="auto"/>
        <w:jc w:val="both"/>
        <w:rPr>
          <w:b/>
          <w:bCs/>
          <w:sz w:val="24"/>
          <w:szCs w:val="24"/>
        </w:rPr>
      </w:pPr>
      <w:r w:rsidRPr="00693C0D">
        <w:rPr>
          <w:b/>
          <w:bCs/>
          <w:sz w:val="24"/>
          <w:szCs w:val="24"/>
        </w:rPr>
        <w:t>Additional Reading</w:t>
      </w:r>
    </w:p>
    <w:p w14:paraId="54F34935" w14:textId="77777777" w:rsidR="001270EB" w:rsidRPr="001270EB" w:rsidRDefault="001270EB" w:rsidP="001270EB">
      <w:pPr>
        <w:pStyle w:val="ListParagraph"/>
        <w:numPr>
          <w:ilvl w:val="0"/>
          <w:numId w:val="5"/>
        </w:numPr>
        <w:jc w:val="both"/>
        <w:rPr>
          <w:sz w:val="24"/>
          <w:szCs w:val="24"/>
          <w:lang w:val="fr-FR"/>
        </w:rPr>
      </w:pPr>
      <w:r w:rsidRPr="001270EB">
        <w:rPr>
          <w:sz w:val="24"/>
          <w:szCs w:val="24"/>
        </w:rPr>
        <w:t xml:space="preserve">Paula Giliker, ‘Can the Supreme Court Halt the Ongoing Expansion of Vicarious Liability: Barclays and Morrison in the UK Supreme Court?’ </w:t>
      </w:r>
      <w:r w:rsidRPr="001270EB">
        <w:rPr>
          <w:sz w:val="24"/>
          <w:szCs w:val="24"/>
          <w:lang w:val="fr-FR"/>
        </w:rPr>
        <w:t xml:space="preserve">(2021) 37(2) </w:t>
      </w:r>
      <w:proofErr w:type="spellStart"/>
      <w:r w:rsidRPr="001270EB">
        <w:rPr>
          <w:sz w:val="24"/>
          <w:szCs w:val="24"/>
          <w:lang w:val="fr-FR"/>
        </w:rPr>
        <w:t>Tottel’s</w:t>
      </w:r>
      <w:proofErr w:type="spellEnd"/>
      <w:r w:rsidRPr="001270EB">
        <w:rPr>
          <w:sz w:val="24"/>
          <w:szCs w:val="24"/>
          <w:lang w:val="fr-FR"/>
        </w:rPr>
        <w:t xml:space="preserve"> Journal of Professional </w:t>
      </w:r>
      <w:proofErr w:type="spellStart"/>
      <w:r w:rsidRPr="001270EB">
        <w:rPr>
          <w:sz w:val="24"/>
          <w:szCs w:val="24"/>
          <w:lang w:val="fr-FR"/>
        </w:rPr>
        <w:t>Negligence</w:t>
      </w:r>
      <w:proofErr w:type="spellEnd"/>
      <w:r w:rsidRPr="001270EB">
        <w:rPr>
          <w:sz w:val="24"/>
          <w:szCs w:val="24"/>
          <w:lang w:val="fr-FR"/>
        </w:rPr>
        <w:t xml:space="preserve"> 55</w:t>
      </w:r>
    </w:p>
    <w:p w14:paraId="5CE032E5" w14:textId="77777777" w:rsidR="001F368E" w:rsidRDefault="001F368E" w:rsidP="001270EB">
      <w:pPr>
        <w:spacing w:line="240" w:lineRule="auto"/>
        <w:jc w:val="both"/>
        <w:rPr>
          <w:sz w:val="24"/>
          <w:szCs w:val="24"/>
          <w:lang w:val="fr-FR"/>
        </w:rPr>
      </w:pPr>
    </w:p>
    <w:p w14:paraId="3A10EAC0" w14:textId="0D39B950" w:rsidR="001F368E" w:rsidRPr="00992A74" w:rsidRDefault="001C3E8B" w:rsidP="001270EB">
      <w:pPr>
        <w:pStyle w:val="ListParagraph"/>
        <w:numPr>
          <w:ilvl w:val="0"/>
          <w:numId w:val="3"/>
        </w:numPr>
        <w:spacing w:line="240" w:lineRule="auto"/>
        <w:jc w:val="both"/>
        <w:rPr>
          <w:sz w:val="24"/>
          <w:szCs w:val="24"/>
        </w:rPr>
      </w:pPr>
      <w:r w:rsidRPr="00992A74">
        <w:rPr>
          <w:sz w:val="24"/>
          <w:szCs w:val="24"/>
        </w:rPr>
        <w:t xml:space="preserve">Paula Giliker, ‘Analysing institutional liability for child sexual abuse in England and Wales and Australia: vicarious liability and non-delegable duties and statutory intervention’ (2018) 77(3) Cambridge Law Journal </w:t>
      </w:r>
      <w:r w:rsidR="008A4B7A" w:rsidRPr="00992A74">
        <w:rPr>
          <w:sz w:val="24"/>
          <w:szCs w:val="24"/>
        </w:rPr>
        <w:t>506</w:t>
      </w:r>
    </w:p>
    <w:p w14:paraId="4A3B35CE" w14:textId="77777777" w:rsidR="00A44E08" w:rsidRDefault="00A44E08" w:rsidP="001270EB">
      <w:pPr>
        <w:spacing w:line="240" w:lineRule="auto"/>
        <w:jc w:val="both"/>
        <w:rPr>
          <w:sz w:val="24"/>
          <w:szCs w:val="24"/>
        </w:rPr>
      </w:pPr>
    </w:p>
    <w:p w14:paraId="01A2ABC4" w14:textId="3B516663" w:rsidR="00A44E08" w:rsidRPr="00992A74" w:rsidRDefault="00A44E08" w:rsidP="001270EB">
      <w:pPr>
        <w:pStyle w:val="ListParagraph"/>
        <w:numPr>
          <w:ilvl w:val="0"/>
          <w:numId w:val="3"/>
        </w:numPr>
        <w:spacing w:line="240" w:lineRule="auto"/>
        <w:jc w:val="both"/>
        <w:rPr>
          <w:sz w:val="24"/>
          <w:szCs w:val="24"/>
        </w:rPr>
      </w:pPr>
      <w:r w:rsidRPr="00992A74">
        <w:rPr>
          <w:sz w:val="24"/>
          <w:szCs w:val="24"/>
        </w:rPr>
        <w:t>Christian Witting, ‘Breach of the Non-dele</w:t>
      </w:r>
      <w:r w:rsidR="00FC1897" w:rsidRPr="00992A74">
        <w:rPr>
          <w:sz w:val="24"/>
          <w:szCs w:val="24"/>
        </w:rPr>
        <w:t xml:space="preserve">gable Duty: Defending Limited Strict Liability in Tort’ (2006) Vol 29(3) </w:t>
      </w:r>
      <w:r w:rsidR="00400E6A" w:rsidRPr="00992A74">
        <w:rPr>
          <w:sz w:val="24"/>
          <w:szCs w:val="24"/>
        </w:rPr>
        <w:t>University of New South Wales 33</w:t>
      </w:r>
    </w:p>
    <w:p w14:paraId="573A24AF" w14:textId="77777777" w:rsidR="00400E6A" w:rsidRDefault="00400E6A" w:rsidP="001270EB">
      <w:pPr>
        <w:spacing w:line="240" w:lineRule="auto"/>
        <w:jc w:val="both"/>
        <w:rPr>
          <w:sz w:val="24"/>
          <w:szCs w:val="24"/>
        </w:rPr>
      </w:pPr>
    </w:p>
    <w:p w14:paraId="590CF5AF" w14:textId="176B4BF5" w:rsidR="00275C20" w:rsidRDefault="00400E6A" w:rsidP="003321A0">
      <w:pPr>
        <w:pStyle w:val="ListParagraph"/>
        <w:numPr>
          <w:ilvl w:val="0"/>
          <w:numId w:val="3"/>
        </w:numPr>
        <w:spacing w:line="240" w:lineRule="auto"/>
        <w:jc w:val="both"/>
        <w:rPr>
          <w:sz w:val="24"/>
          <w:szCs w:val="24"/>
        </w:rPr>
      </w:pPr>
      <w:r w:rsidRPr="00992A74">
        <w:rPr>
          <w:sz w:val="24"/>
          <w:szCs w:val="24"/>
        </w:rPr>
        <w:t>John Murphy, ‘The Liability Bases of Common Law Non-</w:t>
      </w:r>
      <w:proofErr w:type="gramStart"/>
      <w:r w:rsidRPr="00992A74">
        <w:rPr>
          <w:sz w:val="24"/>
          <w:szCs w:val="24"/>
        </w:rPr>
        <w:t>delegable</w:t>
      </w:r>
      <w:proofErr w:type="gramEnd"/>
      <w:r w:rsidRPr="00992A74">
        <w:rPr>
          <w:sz w:val="24"/>
          <w:szCs w:val="24"/>
        </w:rPr>
        <w:t xml:space="preserve"> Duties – a Reply to Christian Witting’ </w:t>
      </w:r>
      <w:r w:rsidR="00E36640" w:rsidRPr="00992A74">
        <w:rPr>
          <w:sz w:val="24"/>
          <w:szCs w:val="24"/>
        </w:rPr>
        <w:t>(2007) 30(1) University of New South Wales Law Journal 86</w:t>
      </w:r>
    </w:p>
    <w:p w14:paraId="7A85A687" w14:textId="77777777" w:rsidR="00ED3B21" w:rsidRPr="00ED3B21" w:rsidRDefault="00ED3B21" w:rsidP="00ED3B21">
      <w:pPr>
        <w:pStyle w:val="ListParagraph"/>
        <w:rPr>
          <w:sz w:val="24"/>
          <w:szCs w:val="24"/>
        </w:rPr>
      </w:pPr>
    </w:p>
    <w:p w14:paraId="4D5CC1DA" w14:textId="77777777" w:rsidR="00ED3B21" w:rsidRPr="003321A0" w:rsidRDefault="00ED3B21" w:rsidP="00ED3B21">
      <w:pPr>
        <w:pStyle w:val="ListParagraph"/>
        <w:spacing w:line="240" w:lineRule="auto"/>
        <w:jc w:val="both"/>
        <w:rPr>
          <w:sz w:val="24"/>
          <w:szCs w:val="24"/>
        </w:rPr>
      </w:pPr>
    </w:p>
    <w:p w14:paraId="735DB869" w14:textId="1745A606" w:rsidR="00644932" w:rsidRPr="00E136A5" w:rsidRDefault="00302902" w:rsidP="00FA76B6">
      <w:pPr>
        <w:pBdr>
          <w:top w:val="single" w:sz="4" w:space="1" w:color="auto"/>
          <w:left w:val="single" w:sz="4" w:space="4" w:color="auto"/>
          <w:bottom w:val="single" w:sz="4" w:space="1" w:color="auto"/>
          <w:right w:val="single" w:sz="4" w:space="4" w:color="auto"/>
          <w:bar w:val="single" w:sz="4" w:color="auto"/>
        </w:pBdr>
        <w:jc w:val="both"/>
        <w:rPr>
          <w:rFonts w:cstheme="minorHAnsi"/>
          <w:b/>
          <w:bCs/>
          <w:u w:val="single"/>
        </w:rPr>
      </w:pPr>
      <w:r>
        <w:rPr>
          <w:rFonts w:cstheme="minorHAnsi"/>
          <w:b/>
          <w:bCs/>
          <w:u w:val="single"/>
        </w:rPr>
        <w:t>Beyond Tort (and in the media)</w:t>
      </w:r>
    </w:p>
    <w:p w14:paraId="775A203B" w14:textId="209C7BA3" w:rsidR="00644932" w:rsidRDefault="00644932" w:rsidP="70613C93">
      <w:pPr>
        <w:pBdr>
          <w:top w:val="single" w:sz="4" w:space="1" w:color="auto"/>
          <w:left w:val="single" w:sz="4" w:space="4" w:color="auto"/>
          <w:bottom w:val="single" w:sz="4" w:space="1" w:color="auto"/>
          <w:right w:val="single" w:sz="4" w:space="4" w:color="auto"/>
          <w:bar w:val="single" w:sz="4" w:color="auto"/>
        </w:pBdr>
        <w:jc w:val="both"/>
        <w:rPr>
          <w:b/>
          <w:bCs/>
        </w:rPr>
      </w:pPr>
      <w:r w:rsidRPr="70613C93">
        <w:rPr>
          <w:b/>
          <w:bCs/>
        </w:rPr>
        <w:t xml:space="preserve">Read: </w:t>
      </w:r>
    </w:p>
    <w:p w14:paraId="34F807A1" w14:textId="7E1F0008" w:rsidR="58504141" w:rsidRDefault="58504141" w:rsidP="70613C93">
      <w:pPr>
        <w:pBdr>
          <w:top w:val="single" w:sz="4" w:space="1" w:color="auto"/>
          <w:left w:val="single" w:sz="4" w:space="4" w:color="auto"/>
          <w:bottom w:val="single" w:sz="4" w:space="1" w:color="auto"/>
          <w:right w:val="single" w:sz="4" w:space="4" w:color="auto"/>
        </w:pBdr>
        <w:jc w:val="both"/>
        <w:rPr>
          <w:rFonts w:ascii="Calibri" w:eastAsia="Calibri" w:hAnsi="Calibri" w:cs="Calibri"/>
        </w:rPr>
      </w:pPr>
      <w:r w:rsidRPr="70613C93">
        <w:rPr>
          <w:rFonts w:ascii="Calibri" w:eastAsia="Calibri" w:hAnsi="Calibri" w:cs="Calibri"/>
        </w:rPr>
        <w:t>Simon Harold Walker, ‘My grandfather was ‘Mr Health and Safety’. His life’s quest to make work safer has been ridiculed – but the rise of the gig economy shows it’s no joke’</w:t>
      </w:r>
      <w:r w:rsidRPr="70613C93">
        <w:rPr>
          <w:rFonts w:ascii="Calibri" w:eastAsia="Calibri" w:hAnsi="Calibri" w:cs="Calibri"/>
          <w:i/>
          <w:iCs/>
        </w:rPr>
        <w:t xml:space="preserve"> The Conversation</w:t>
      </w:r>
      <w:r w:rsidRPr="70613C93">
        <w:rPr>
          <w:rFonts w:ascii="Calibri" w:eastAsia="Calibri" w:hAnsi="Calibri" w:cs="Calibri"/>
        </w:rPr>
        <w:t xml:space="preserve"> (23 December 2024) </w:t>
      </w:r>
      <w:hyperlink r:id="rId5">
        <w:r w:rsidRPr="70613C93">
          <w:rPr>
            <w:rStyle w:val="Hyperlink"/>
            <w:rFonts w:ascii="Calibri" w:eastAsia="Calibri" w:hAnsi="Calibri" w:cs="Calibri"/>
          </w:rPr>
          <w:t>My grandfather was ‘Mr Health and Safety’. His life’s quest to make work safer has been ridiculed – but the rise of the gig economy shows it’s no joke</w:t>
        </w:r>
      </w:hyperlink>
    </w:p>
    <w:p w14:paraId="5D465881" w14:textId="3395EA97" w:rsidR="1341C412" w:rsidRDefault="1341C412" w:rsidP="70613C93">
      <w:pPr>
        <w:pBdr>
          <w:top w:val="single" w:sz="4" w:space="1" w:color="auto"/>
          <w:left w:val="single" w:sz="4" w:space="4" w:color="auto"/>
          <w:bottom w:val="single" w:sz="4" w:space="1" w:color="auto"/>
          <w:right w:val="single" w:sz="4" w:space="4" w:color="auto"/>
          <w:bar w:val="single" w:sz="4" w:color="auto"/>
        </w:pBdr>
        <w:jc w:val="both"/>
        <w:rPr>
          <w:b/>
          <w:bCs/>
        </w:rPr>
      </w:pPr>
      <w:r w:rsidRPr="70613C93">
        <w:t xml:space="preserve">BBC News, ‘ Barry: Jehovah's Witnesses not liable to pay rape victim’ (26 April 2023) </w:t>
      </w:r>
      <w:hyperlink r:id="rId6">
        <w:r w:rsidRPr="70613C93">
          <w:rPr>
            <w:rStyle w:val="Hyperlink"/>
          </w:rPr>
          <w:t>Barry: Jehovah's Witnesses not liable to pay rape victim - BBC News</w:t>
        </w:r>
      </w:hyperlink>
    </w:p>
    <w:p w14:paraId="68B7EA8E" w14:textId="5A7C74B6" w:rsidR="1341C412" w:rsidRDefault="1341C412" w:rsidP="70613C93">
      <w:pPr>
        <w:pBdr>
          <w:top w:val="single" w:sz="4" w:space="1" w:color="auto"/>
          <w:left w:val="single" w:sz="4" w:space="4" w:color="auto"/>
          <w:bottom w:val="single" w:sz="4" w:space="1" w:color="auto"/>
          <w:right w:val="single" w:sz="4" w:space="4" w:color="auto"/>
          <w:bar w:val="single" w:sz="4" w:color="auto"/>
        </w:pBdr>
        <w:jc w:val="both"/>
      </w:pPr>
      <w:r w:rsidRPr="70613C93">
        <w:lastRenderedPageBreak/>
        <w:t xml:space="preserve">BBC News, ‘Morrisons staff lose payout bid in Supreme Court data leak case (1 April 2020) </w:t>
      </w:r>
      <w:hyperlink r:id="rId7">
        <w:r w:rsidRPr="70613C93">
          <w:rPr>
            <w:rStyle w:val="Hyperlink"/>
          </w:rPr>
          <w:t>Morrisons staff lose payout bid in Supreme Court data leak case - BBC News</w:t>
        </w:r>
      </w:hyperlink>
    </w:p>
    <w:p w14:paraId="7267F0CF" w14:textId="52A0BBBF" w:rsidR="1341C412" w:rsidRDefault="1341C412" w:rsidP="70613C93">
      <w:pPr>
        <w:pBdr>
          <w:top w:val="single" w:sz="4" w:space="1" w:color="auto"/>
          <w:left w:val="single" w:sz="4" w:space="4" w:color="auto"/>
          <w:bottom w:val="single" w:sz="4" w:space="1" w:color="auto"/>
          <w:right w:val="single" w:sz="4" w:space="4" w:color="auto"/>
          <w:bar w:val="single" w:sz="4" w:color="auto"/>
        </w:pBdr>
        <w:jc w:val="both"/>
      </w:pPr>
      <w:r w:rsidRPr="70613C93">
        <w:t xml:space="preserve">Nicholas Dobson, ‘Legal Updates: Non-delegable duty of care’ </w:t>
      </w:r>
      <w:r w:rsidRPr="70613C93">
        <w:rPr>
          <w:i/>
          <w:iCs/>
        </w:rPr>
        <w:t>Law Gazette</w:t>
      </w:r>
      <w:r w:rsidRPr="70613C93">
        <w:t xml:space="preserve"> (27 January 2014) </w:t>
      </w:r>
      <w:hyperlink r:id="rId8">
        <w:r w:rsidRPr="70613C93">
          <w:rPr>
            <w:rStyle w:val="Hyperlink"/>
          </w:rPr>
          <w:t>Non-delegable duty of care | Feature | Law Gazette</w:t>
        </w:r>
      </w:hyperlink>
    </w:p>
    <w:p w14:paraId="3D1FD772" w14:textId="77777777" w:rsidR="0090466C" w:rsidRDefault="0090466C" w:rsidP="70613C93">
      <w:pPr>
        <w:pBdr>
          <w:top w:val="single" w:sz="4" w:space="1" w:color="auto"/>
          <w:left w:val="single" w:sz="4" w:space="4" w:color="auto"/>
          <w:bottom w:val="single" w:sz="4" w:space="1" w:color="auto"/>
          <w:right w:val="single" w:sz="4" w:space="4" w:color="auto"/>
          <w:bar w:val="single" w:sz="4" w:color="auto"/>
        </w:pBdr>
        <w:jc w:val="both"/>
      </w:pPr>
    </w:p>
    <w:p w14:paraId="5F07AC8A" w14:textId="518CA8E7" w:rsidR="0090466C" w:rsidRDefault="00644932" w:rsidP="7D276C56">
      <w:pPr>
        <w:pBdr>
          <w:top w:val="single" w:sz="4" w:space="1" w:color="auto"/>
          <w:left w:val="single" w:sz="4" w:space="4" w:color="auto"/>
          <w:bottom w:val="single" w:sz="4" w:space="1" w:color="auto"/>
          <w:right w:val="single" w:sz="4" w:space="4" w:color="auto"/>
          <w:bar w:val="single" w:sz="4" w:color="auto"/>
        </w:pBdr>
        <w:jc w:val="both"/>
      </w:pPr>
      <w:r w:rsidRPr="7D276C56">
        <w:rPr>
          <w:b/>
          <w:bCs/>
        </w:rPr>
        <w:t>Watch:</w:t>
      </w:r>
      <w:r w:rsidRPr="7D276C56">
        <w:t xml:space="preserve"> </w:t>
      </w:r>
      <w:r w:rsidR="00E13323" w:rsidRPr="7D276C56">
        <w:t>The Accident -</w:t>
      </w:r>
      <w:r w:rsidR="00302902" w:rsidRPr="7D276C56">
        <w:t xml:space="preserve"> A </w:t>
      </w:r>
      <w:r w:rsidR="007970BD" w:rsidRPr="7D276C56">
        <w:t xml:space="preserve">2019 </w:t>
      </w:r>
      <w:r w:rsidR="00302902" w:rsidRPr="7D276C56">
        <w:t>Channel 4 tv series</w:t>
      </w:r>
      <w:r w:rsidR="00FA76B6" w:rsidRPr="7D276C56">
        <w:t xml:space="preserve"> available on demand</w:t>
      </w:r>
      <w:r w:rsidR="00302902" w:rsidRPr="7D276C56">
        <w:t xml:space="preserve"> regarding the use of unsuitable material at a construction site. </w:t>
      </w:r>
      <w:r w:rsidR="00BE6C4C" w:rsidRPr="7D276C56">
        <w:t>Whilst the series focuses on corporate manslaughter, you could</w:t>
      </w:r>
      <w:r w:rsidR="00302902" w:rsidRPr="7D276C56">
        <w:t xml:space="preserve"> consider this in </w:t>
      </w:r>
      <w:r w:rsidR="007970BD" w:rsidRPr="7D276C56">
        <w:t>the context</w:t>
      </w:r>
      <w:r w:rsidR="00302902" w:rsidRPr="7D276C56">
        <w:t xml:space="preserve"> of employers’ liability</w:t>
      </w:r>
      <w:r w:rsidR="00BE6C4C" w:rsidRPr="7D276C56">
        <w:t xml:space="preserve"> </w:t>
      </w:r>
      <w:r w:rsidR="007970BD" w:rsidRPr="7D276C56">
        <w:t xml:space="preserve">(NDD and VL) </w:t>
      </w:r>
      <w:r w:rsidR="00BE6C4C" w:rsidRPr="7D276C56">
        <w:t xml:space="preserve">and </w:t>
      </w:r>
      <w:r w:rsidR="007F176A" w:rsidRPr="7D276C56">
        <w:t>psychiatric harm</w:t>
      </w:r>
      <w:r w:rsidR="00BE6C4C" w:rsidRPr="7D276C56">
        <w:t xml:space="preserve"> in negligence. </w:t>
      </w:r>
    </w:p>
    <w:p w14:paraId="09C8412A" w14:textId="77777777" w:rsidR="003143E8" w:rsidRDefault="003143E8" w:rsidP="7D276C56">
      <w:pPr>
        <w:pBdr>
          <w:top w:val="single" w:sz="4" w:space="1" w:color="auto"/>
          <w:left w:val="single" w:sz="4" w:space="4" w:color="auto"/>
          <w:bottom w:val="single" w:sz="4" w:space="1" w:color="auto"/>
          <w:right w:val="single" w:sz="4" w:space="4" w:color="auto"/>
          <w:bar w:val="single" w:sz="4" w:color="auto"/>
        </w:pBdr>
        <w:jc w:val="both"/>
      </w:pPr>
    </w:p>
    <w:p w14:paraId="702A5821" w14:textId="44A70050" w:rsidR="0090466C" w:rsidRDefault="0090466C" w:rsidP="0090466C">
      <w:pPr>
        <w:pBdr>
          <w:top w:val="single" w:sz="4" w:space="1" w:color="auto"/>
          <w:left w:val="single" w:sz="4" w:space="4" w:color="auto"/>
          <w:bottom w:val="single" w:sz="4" w:space="1" w:color="auto"/>
          <w:right w:val="single" w:sz="4" w:space="4" w:color="auto"/>
          <w:bar w:val="single" w:sz="4" w:color="auto"/>
        </w:pBdr>
        <w:jc w:val="both"/>
      </w:pPr>
      <w:r w:rsidRPr="0090466C">
        <w:rPr>
          <w:b/>
          <w:bCs/>
        </w:rPr>
        <w:t>Listen:</w:t>
      </w:r>
      <w:r>
        <w:t xml:space="preserve"> Law Pod, ‘UK EP 106: Vicarious Liability - Robert Kellar QC &amp; Isabel McArdle’ (09 April 2020) </w:t>
      </w:r>
      <w:hyperlink r:id="rId9">
        <w:r w:rsidRPr="7D276C56">
          <w:rPr>
            <w:rStyle w:val="Hyperlink"/>
          </w:rPr>
          <w:t>Law Pod UK / EP 106: Vicarious Liability - Robert Kellar QC &amp; Isabel McArdle (audioboom.com)</w:t>
        </w:r>
      </w:hyperlink>
    </w:p>
    <w:p w14:paraId="6EFAFFC3" w14:textId="6EC5D11A" w:rsidR="00D115E9" w:rsidRPr="001270EB" w:rsidRDefault="0090466C" w:rsidP="0090466C">
      <w:pPr>
        <w:pBdr>
          <w:top w:val="single" w:sz="4" w:space="1" w:color="auto"/>
          <w:left w:val="single" w:sz="4" w:space="4" w:color="auto"/>
          <w:bottom w:val="single" w:sz="4" w:space="1" w:color="auto"/>
          <w:right w:val="single" w:sz="4" w:space="4" w:color="auto"/>
          <w:bar w:val="single" w:sz="4" w:color="auto"/>
        </w:pBdr>
        <w:jc w:val="both"/>
      </w:pPr>
      <w:r>
        <w:t xml:space="preserve">And for an update on developments, including Barry and news about alleged and historic incidents of sexual assault of employees of Harrods, listen to: Law Pod, ‘UK EP 208: Vicarious Liability – Where are we now? – Isabel McArdle’ (03 December 2024) </w:t>
      </w:r>
      <w:hyperlink r:id="rId10" w:history="1">
        <w:r>
          <w:rPr>
            <w:rStyle w:val="Hyperlink"/>
          </w:rPr>
          <w:t>Law Pod UK/EP 208: Vicarious Liability – Where are we now? – Isabel McArdle (audioboom.com)</w:t>
        </w:r>
      </w:hyperlink>
    </w:p>
    <w:sectPr w:rsidR="00D115E9" w:rsidRPr="00127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6C4D"/>
    <w:multiLevelType w:val="hybridMultilevel"/>
    <w:tmpl w:val="16365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21CF7"/>
    <w:multiLevelType w:val="hybridMultilevel"/>
    <w:tmpl w:val="D8B65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283990"/>
    <w:multiLevelType w:val="hybridMultilevel"/>
    <w:tmpl w:val="F6BC3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1F1379"/>
    <w:multiLevelType w:val="hybridMultilevel"/>
    <w:tmpl w:val="98022D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1724DF"/>
    <w:multiLevelType w:val="hybridMultilevel"/>
    <w:tmpl w:val="4C90A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3760114">
    <w:abstractNumId w:val="1"/>
  </w:num>
  <w:num w:numId="2" w16cid:durableId="948856646">
    <w:abstractNumId w:val="3"/>
  </w:num>
  <w:num w:numId="3" w16cid:durableId="1622105373">
    <w:abstractNumId w:val="4"/>
  </w:num>
  <w:num w:numId="4" w16cid:durableId="1087459633">
    <w:abstractNumId w:val="0"/>
  </w:num>
  <w:num w:numId="5" w16cid:durableId="966276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259"/>
    <w:rsid w:val="00005BB1"/>
    <w:rsid w:val="00010DCB"/>
    <w:rsid w:val="00033080"/>
    <w:rsid w:val="00080509"/>
    <w:rsid w:val="000E6275"/>
    <w:rsid w:val="00104259"/>
    <w:rsid w:val="001270EB"/>
    <w:rsid w:val="00191E66"/>
    <w:rsid w:val="00194D2F"/>
    <w:rsid w:val="001C3E8B"/>
    <w:rsid w:val="001D3D47"/>
    <w:rsid w:val="001D6DEA"/>
    <w:rsid w:val="001F368E"/>
    <w:rsid w:val="00222921"/>
    <w:rsid w:val="00251849"/>
    <w:rsid w:val="00271D0F"/>
    <w:rsid w:val="0027294F"/>
    <w:rsid w:val="00275C20"/>
    <w:rsid w:val="00280F73"/>
    <w:rsid w:val="00295852"/>
    <w:rsid w:val="002A72AE"/>
    <w:rsid w:val="002C3B95"/>
    <w:rsid w:val="002E6C01"/>
    <w:rsid w:val="002F3906"/>
    <w:rsid w:val="00302902"/>
    <w:rsid w:val="003039EE"/>
    <w:rsid w:val="003054DC"/>
    <w:rsid w:val="00311162"/>
    <w:rsid w:val="00314122"/>
    <w:rsid w:val="003143E8"/>
    <w:rsid w:val="00315EC1"/>
    <w:rsid w:val="003321A0"/>
    <w:rsid w:val="00347CBC"/>
    <w:rsid w:val="00364F23"/>
    <w:rsid w:val="00366780"/>
    <w:rsid w:val="00375A1B"/>
    <w:rsid w:val="00384560"/>
    <w:rsid w:val="00385626"/>
    <w:rsid w:val="00390614"/>
    <w:rsid w:val="003A71A1"/>
    <w:rsid w:val="003B5134"/>
    <w:rsid w:val="003C2FE6"/>
    <w:rsid w:val="003E0D82"/>
    <w:rsid w:val="003E7B35"/>
    <w:rsid w:val="003F5238"/>
    <w:rsid w:val="00400E6A"/>
    <w:rsid w:val="0040563B"/>
    <w:rsid w:val="00413681"/>
    <w:rsid w:val="00415CB1"/>
    <w:rsid w:val="00440192"/>
    <w:rsid w:val="00456E56"/>
    <w:rsid w:val="004836BD"/>
    <w:rsid w:val="00484C0A"/>
    <w:rsid w:val="00521A14"/>
    <w:rsid w:val="005833CE"/>
    <w:rsid w:val="00595FB8"/>
    <w:rsid w:val="005C5B22"/>
    <w:rsid w:val="005D68B7"/>
    <w:rsid w:val="005E2210"/>
    <w:rsid w:val="005E4FF9"/>
    <w:rsid w:val="00613CE4"/>
    <w:rsid w:val="006167BF"/>
    <w:rsid w:val="00636B06"/>
    <w:rsid w:val="00644932"/>
    <w:rsid w:val="006720B6"/>
    <w:rsid w:val="00676AD8"/>
    <w:rsid w:val="00690634"/>
    <w:rsid w:val="00693C0D"/>
    <w:rsid w:val="006A2DEE"/>
    <w:rsid w:val="006B6B24"/>
    <w:rsid w:val="006D246F"/>
    <w:rsid w:val="006E3D33"/>
    <w:rsid w:val="006F2FC7"/>
    <w:rsid w:val="00743CC3"/>
    <w:rsid w:val="00762B70"/>
    <w:rsid w:val="007742D5"/>
    <w:rsid w:val="007970BD"/>
    <w:rsid w:val="007A77DA"/>
    <w:rsid w:val="007E72BD"/>
    <w:rsid w:val="007F176A"/>
    <w:rsid w:val="00824D91"/>
    <w:rsid w:val="00825055"/>
    <w:rsid w:val="00826FE6"/>
    <w:rsid w:val="00833BFC"/>
    <w:rsid w:val="0084388F"/>
    <w:rsid w:val="00851731"/>
    <w:rsid w:val="008A4B7A"/>
    <w:rsid w:val="008B023A"/>
    <w:rsid w:val="008B6955"/>
    <w:rsid w:val="008E1C26"/>
    <w:rsid w:val="008F3BB7"/>
    <w:rsid w:val="0090466C"/>
    <w:rsid w:val="009173E1"/>
    <w:rsid w:val="00943BFD"/>
    <w:rsid w:val="0094782B"/>
    <w:rsid w:val="009845BE"/>
    <w:rsid w:val="00992A74"/>
    <w:rsid w:val="009C5914"/>
    <w:rsid w:val="009D16BA"/>
    <w:rsid w:val="009D69A1"/>
    <w:rsid w:val="009E275E"/>
    <w:rsid w:val="00A04599"/>
    <w:rsid w:val="00A42A97"/>
    <w:rsid w:val="00A44E08"/>
    <w:rsid w:val="00A63621"/>
    <w:rsid w:val="00A71716"/>
    <w:rsid w:val="00A8550D"/>
    <w:rsid w:val="00A87F04"/>
    <w:rsid w:val="00A9219F"/>
    <w:rsid w:val="00AE3923"/>
    <w:rsid w:val="00B2340F"/>
    <w:rsid w:val="00B4155D"/>
    <w:rsid w:val="00B45571"/>
    <w:rsid w:val="00B649CD"/>
    <w:rsid w:val="00B6611F"/>
    <w:rsid w:val="00B722EA"/>
    <w:rsid w:val="00B7685D"/>
    <w:rsid w:val="00B77AA9"/>
    <w:rsid w:val="00B97452"/>
    <w:rsid w:val="00BA51DE"/>
    <w:rsid w:val="00BC34C8"/>
    <w:rsid w:val="00BC649A"/>
    <w:rsid w:val="00BE6C4C"/>
    <w:rsid w:val="00BF0B86"/>
    <w:rsid w:val="00C020BF"/>
    <w:rsid w:val="00C14BD0"/>
    <w:rsid w:val="00C30D99"/>
    <w:rsid w:val="00C57AC6"/>
    <w:rsid w:val="00CC16BD"/>
    <w:rsid w:val="00CC5BC8"/>
    <w:rsid w:val="00CC5EC0"/>
    <w:rsid w:val="00CD2C9C"/>
    <w:rsid w:val="00CD709A"/>
    <w:rsid w:val="00CE088E"/>
    <w:rsid w:val="00CE20A6"/>
    <w:rsid w:val="00D115E9"/>
    <w:rsid w:val="00D239D3"/>
    <w:rsid w:val="00D31BAF"/>
    <w:rsid w:val="00D42159"/>
    <w:rsid w:val="00D47899"/>
    <w:rsid w:val="00D65A22"/>
    <w:rsid w:val="00D7624F"/>
    <w:rsid w:val="00DA2584"/>
    <w:rsid w:val="00DA6E06"/>
    <w:rsid w:val="00DF54C7"/>
    <w:rsid w:val="00E13323"/>
    <w:rsid w:val="00E136A5"/>
    <w:rsid w:val="00E33BF0"/>
    <w:rsid w:val="00E36640"/>
    <w:rsid w:val="00E57CE3"/>
    <w:rsid w:val="00E60897"/>
    <w:rsid w:val="00E76E21"/>
    <w:rsid w:val="00E77CA8"/>
    <w:rsid w:val="00ED3A30"/>
    <w:rsid w:val="00ED3B21"/>
    <w:rsid w:val="00ED494B"/>
    <w:rsid w:val="00EF27FD"/>
    <w:rsid w:val="00EF4127"/>
    <w:rsid w:val="00EF55C7"/>
    <w:rsid w:val="00F532FA"/>
    <w:rsid w:val="00F72484"/>
    <w:rsid w:val="00F72600"/>
    <w:rsid w:val="00FA178A"/>
    <w:rsid w:val="00FA76B6"/>
    <w:rsid w:val="00FB755C"/>
    <w:rsid w:val="00FC1897"/>
    <w:rsid w:val="00FC618D"/>
    <w:rsid w:val="00FD0542"/>
    <w:rsid w:val="00FE2E55"/>
    <w:rsid w:val="00FE4893"/>
    <w:rsid w:val="00FF1C32"/>
    <w:rsid w:val="08EBF847"/>
    <w:rsid w:val="0B35923C"/>
    <w:rsid w:val="1341C412"/>
    <w:rsid w:val="15D63C8D"/>
    <w:rsid w:val="19E34ED0"/>
    <w:rsid w:val="1BB8A0CF"/>
    <w:rsid w:val="2084012D"/>
    <w:rsid w:val="31A12404"/>
    <w:rsid w:val="35E5B016"/>
    <w:rsid w:val="40BDE1C7"/>
    <w:rsid w:val="4D47C6A0"/>
    <w:rsid w:val="502BF823"/>
    <w:rsid w:val="54FC23B0"/>
    <w:rsid w:val="58504141"/>
    <w:rsid w:val="5FCF2929"/>
    <w:rsid w:val="617971ED"/>
    <w:rsid w:val="70613C93"/>
    <w:rsid w:val="76EE76A0"/>
    <w:rsid w:val="7D276C56"/>
    <w:rsid w:val="7DB30F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A05EF"/>
  <w15:chartTrackingRefBased/>
  <w15:docId w15:val="{36F0F6E5-713F-4805-9DE2-B41832FD3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1849"/>
    <w:pPr>
      <w:ind w:left="720"/>
      <w:contextualSpacing/>
    </w:pPr>
  </w:style>
  <w:style w:type="character" w:styleId="Hyperlink">
    <w:name w:val="Hyperlink"/>
    <w:basedOn w:val="DefaultParagraphFont"/>
    <w:uiPriority w:val="99"/>
    <w:unhideWhenUsed/>
    <w:rsid w:val="00762B70"/>
    <w:rPr>
      <w:color w:val="0000FF"/>
      <w:u w:val="single"/>
    </w:rPr>
  </w:style>
  <w:style w:type="character" w:styleId="UnresolvedMention">
    <w:name w:val="Unresolved Mention"/>
    <w:basedOn w:val="DefaultParagraphFont"/>
    <w:uiPriority w:val="99"/>
    <w:semiHidden/>
    <w:unhideWhenUsed/>
    <w:rsid w:val="00FD0542"/>
    <w:rPr>
      <w:color w:val="605E5C"/>
      <w:shd w:val="clear" w:color="auto" w:fill="E1DFDD"/>
    </w:rPr>
  </w:style>
  <w:style w:type="character" w:styleId="FollowedHyperlink">
    <w:name w:val="FollowedHyperlink"/>
    <w:basedOn w:val="DefaultParagraphFont"/>
    <w:uiPriority w:val="99"/>
    <w:semiHidden/>
    <w:unhideWhenUsed/>
    <w:rsid w:val="006F2F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786351">
      <w:bodyDiv w:val="1"/>
      <w:marLeft w:val="0"/>
      <w:marRight w:val="0"/>
      <w:marTop w:val="0"/>
      <w:marBottom w:val="0"/>
      <w:divBdr>
        <w:top w:val="none" w:sz="0" w:space="0" w:color="auto"/>
        <w:left w:val="none" w:sz="0" w:space="0" w:color="auto"/>
        <w:bottom w:val="none" w:sz="0" w:space="0" w:color="auto"/>
        <w:right w:val="none" w:sz="0" w:space="0" w:color="auto"/>
      </w:divBdr>
    </w:div>
    <w:div w:id="277611622">
      <w:bodyDiv w:val="1"/>
      <w:marLeft w:val="0"/>
      <w:marRight w:val="0"/>
      <w:marTop w:val="0"/>
      <w:marBottom w:val="0"/>
      <w:divBdr>
        <w:top w:val="none" w:sz="0" w:space="0" w:color="auto"/>
        <w:left w:val="none" w:sz="0" w:space="0" w:color="auto"/>
        <w:bottom w:val="none" w:sz="0" w:space="0" w:color="auto"/>
        <w:right w:val="none" w:sz="0" w:space="0" w:color="auto"/>
      </w:divBdr>
      <w:divsChild>
        <w:div w:id="1448894088">
          <w:marLeft w:val="0"/>
          <w:marRight w:val="0"/>
          <w:marTop w:val="0"/>
          <w:marBottom w:val="0"/>
          <w:divBdr>
            <w:top w:val="none" w:sz="0" w:space="0" w:color="auto"/>
            <w:left w:val="none" w:sz="0" w:space="0" w:color="auto"/>
            <w:bottom w:val="none" w:sz="0" w:space="0" w:color="auto"/>
            <w:right w:val="none" w:sz="0" w:space="0" w:color="auto"/>
          </w:divBdr>
        </w:div>
        <w:div w:id="970867943">
          <w:marLeft w:val="0"/>
          <w:marRight w:val="0"/>
          <w:marTop w:val="0"/>
          <w:marBottom w:val="0"/>
          <w:divBdr>
            <w:top w:val="none" w:sz="0" w:space="0" w:color="auto"/>
            <w:left w:val="none" w:sz="0" w:space="0" w:color="auto"/>
            <w:bottom w:val="none" w:sz="0" w:space="0" w:color="auto"/>
            <w:right w:val="none" w:sz="0" w:space="0" w:color="auto"/>
          </w:divBdr>
        </w:div>
        <w:div w:id="1541283249">
          <w:marLeft w:val="0"/>
          <w:marRight w:val="0"/>
          <w:marTop w:val="0"/>
          <w:marBottom w:val="0"/>
          <w:divBdr>
            <w:top w:val="none" w:sz="0" w:space="0" w:color="auto"/>
            <w:left w:val="none" w:sz="0" w:space="0" w:color="auto"/>
            <w:bottom w:val="none" w:sz="0" w:space="0" w:color="auto"/>
            <w:right w:val="none" w:sz="0" w:space="0" w:color="auto"/>
          </w:divBdr>
        </w:div>
        <w:div w:id="489253336">
          <w:marLeft w:val="0"/>
          <w:marRight w:val="0"/>
          <w:marTop w:val="0"/>
          <w:marBottom w:val="0"/>
          <w:divBdr>
            <w:top w:val="none" w:sz="0" w:space="0" w:color="auto"/>
            <w:left w:val="none" w:sz="0" w:space="0" w:color="auto"/>
            <w:bottom w:val="none" w:sz="0" w:space="0" w:color="auto"/>
            <w:right w:val="none" w:sz="0" w:space="0" w:color="auto"/>
          </w:divBdr>
        </w:div>
        <w:div w:id="717243289">
          <w:marLeft w:val="0"/>
          <w:marRight w:val="0"/>
          <w:marTop w:val="0"/>
          <w:marBottom w:val="0"/>
          <w:divBdr>
            <w:top w:val="none" w:sz="0" w:space="0" w:color="auto"/>
            <w:left w:val="none" w:sz="0" w:space="0" w:color="auto"/>
            <w:bottom w:val="none" w:sz="0" w:space="0" w:color="auto"/>
            <w:right w:val="none" w:sz="0" w:space="0" w:color="auto"/>
          </w:divBdr>
        </w:div>
        <w:div w:id="1794864272">
          <w:marLeft w:val="0"/>
          <w:marRight w:val="0"/>
          <w:marTop w:val="0"/>
          <w:marBottom w:val="0"/>
          <w:divBdr>
            <w:top w:val="none" w:sz="0" w:space="0" w:color="auto"/>
            <w:left w:val="none" w:sz="0" w:space="0" w:color="auto"/>
            <w:bottom w:val="none" w:sz="0" w:space="0" w:color="auto"/>
            <w:right w:val="none" w:sz="0" w:space="0" w:color="auto"/>
          </w:divBdr>
        </w:div>
        <w:div w:id="1380738162">
          <w:marLeft w:val="0"/>
          <w:marRight w:val="0"/>
          <w:marTop w:val="0"/>
          <w:marBottom w:val="0"/>
          <w:divBdr>
            <w:top w:val="none" w:sz="0" w:space="0" w:color="auto"/>
            <w:left w:val="none" w:sz="0" w:space="0" w:color="auto"/>
            <w:bottom w:val="none" w:sz="0" w:space="0" w:color="auto"/>
            <w:right w:val="none" w:sz="0" w:space="0" w:color="auto"/>
          </w:divBdr>
        </w:div>
        <w:div w:id="113405670">
          <w:marLeft w:val="0"/>
          <w:marRight w:val="0"/>
          <w:marTop w:val="0"/>
          <w:marBottom w:val="0"/>
          <w:divBdr>
            <w:top w:val="none" w:sz="0" w:space="0" w:color="auto"/>
            <w:left w:val="none" w:sz="0" w:space="0" w:color="auto"/>
            <w:bottom w:val="none" w:sz="0" w:space="0" w:color="auto"/>
            <w:right w:val="none" w:sz="0" w:space="0" w:color="auto"/>
          </w:divBdr>
        </w:div>
      </w:divsChild>
    </w:div>
    <w:div w:id="444929907">
      <w:bodyDiv w:val="1"/>
      <w:marLeft w:val="0"/>
      <w:marRight w:val="0"/>
      <w:marTop w:val="0"/>
      <w:marBottom w:val="0"/>
      <w:divBdr>
        <w:top w:val="none" w:sz="0" w:space="0" w:color="auto"/>
        <w:left w:val="none" w:sz="0" w:space="0" w:color="auto"/>
        <w:bottom w:val="none" w:sz="0" w:space="0" w:color="auto"/>
        <w:right w:val="none" w:sz="0" w:space="0" w:color="auto"/>
      </w:divBdr>
    </w:div>
    <w:div w:id="731923966">
      <w:bodyDiv w:val="1"/>
      <w:marLeft w:val="0"/>
      <w:marRight w:val="0"/>
      <w:marTop w:val="0"/>
      <w:marBottom w:val="0"/>
      <w:divBdr>
        <w:top w:val="none" w:sz="0" w:space="0" w:color="auto"/>
        <w:left w:val="none" w:sz="0" w:space="0" w:color="auto"/>
        <w:bottom w:val="none" w:sz="0" w:space="0" w:color="auto"/>
        <w:right w:val="none" w:sz="0" w:space="0" w:color="auto"/>
      </w:divBdr>
    </w:div>
    <w:div w:id="1130904737">
      <w:bodyDiv w:val="1"/>
      <w:marLeft w:val="0"/>
      <w:marRight w:val="0"/>
      <w:marTop w:val="0"/>
      <w:marBottom w:val="0"/>
      <w:divBdr>
        <w:top w:val="none" w:sz="0" w:space="0" w:color="auto"/>
        <w:left w:val="none" w:sz="0" w:space="0" w:color="auto"/>
        <w:bottom w:val="none" w:sz="0" w:space="0" w:color="auto"/>
        <w:right w:val="none" w:sz="0" w:space="0" w:color="auto"/>
      </w:divBdr>
    </w:div>
    <w:div w:id="1251356838">
      <w:bodyDiv w:val="1"/>
      <w:marLeft w:val="0"/>
      <w:marRight w:val="0"/>
      <w:marTop w:val="0"/>
      <w:marBottom w:val="0"/>
      <w:divBdr>
        <w:top w:val="none" w:sz="0" w:space="0" w:color="auto"/>
        <w:left w:val="none" w:sz="0" w:space="0" w:color="auto"/>
        <w:bottom w:val="none" w:sz="0" w:space="0" w:color="auto"/>
        <w:right w:val="none" w:sz="0" w:space="0" w:color="auto"/>
      </w:divBdr>
      <w:divsChild>
        <w:div w:id="2080012859">
          <w:marLeft w:val="0"/>
          <w:marRight w:val="0"/>
          <w:marTop w:val="0"/>
          <w:marBottom w:val="0"/>
          <w:divBdr>
            <w:top w:val="none" w:sz="0" w:space="0" w:color="auto"/>
            <w:left w:val="none" w:sz="0" w:space="0" w:color="auto"/>
            <w:bottom w:val="none" w:sz="0" w:space="0" w:color="auto"/>
            <w:right w:val="none" w:sz="0" w:space="0" w:color="auto"/>
          </w:divBdr>
        </w:div>
        <w:div w:id="1180395052">
          <w:marLeft w:val="0"/>
          <w:marRight w:val="0"/>
          <w:marTop w:val="0"/>
          <w:marBottom w:val="0"/>
          <w:divBdr>
            <w:top w:val="none" w:sz="0" w:space="0" w:color="auto"/>
            <w:left w:val="none" w:sz="0" w:space="0" w:color="auto"/>
            <w:bottom w:val="none" w:sz="0" w:space="0" w:color="auto"/>
            <w:right w:val="none" w:sz="0" w:space="0" w:color="auto"/>
          </w:divBdr>
        </w:div>
      </w:divsChild>
    </w:div>
    <w:div w:id="2023555175">
      <w:bodyDiv w:val="1"/>
      <w:marLeft w:val="0"/>
      <w:marRight w:val="0"/>
      <w:marTop w:val="0"/>
      <w:marBottom w:val="0"/>
      <w:divBdr>
        <w:top w:val="none" w:sz="0" w:space="0" w:color="auto"/>
        <w:left w:val="none" w:sz="0" w:space="0" w:color="auto"/>
        <w:bottom w:val="none" w:sz="0" w:space="0" w:color="auto"/>
        <w:right w:val="none" w:sz="0" w:space="0" w:color="auto"/>
      </w:divBdr>
      <w:divsChild>
        <w:div w:id="574242006">
          <w:marLeft w:val="0"/>
          <w:marRight w:val="0"/>
          <w:marTop w:val="0"/>
          <w:marBottom w:val="0"/>
          <w:divBdr>
            <w:top w:val="none" w:sz="0" w:space="0" w:color="auto"/>
            <w:left w:val="none" w:sz="0" w:space="0" w:color="auto"/>
            <w:bottom w:val="none" w:sz="0" w:space="0" w:color="auto"/>
            <w:right w:val="none" w:sz="0" w:space="0" w:color="auto"/>
          </w:divBdr>
          <w:divsChild>
            <w:div w:id="871769935">
              <w:marLeft w:val="0"/>
              <w:marRight w:val="0"/>
              <w:marTop w:val="0"/>
              <w:marBottom w:val="0"/>
              <w:divBdr>
                <w:top w:val="none" w:sz="0" w:space="0" w:color="auto"/>
                <w:left w:val="none" w:sz="0" w:space="0" w:color="auto"/>
                <w:bottom w:val="none" w:sz="0" w:space="0" w:color="auto"/>
                <w:right w:val="none" w:sz="0" w:space="0" w:color="auto"/>
              </w:divBdr>
              <w:divsChild>
                <w:div w:id="385029272">
                  <w:marLeft w:val="0"/>
                  <w:marRight w:val="0"/>
                  <w:marTop w:val="0"/>
                  <w:marBottom w:val="0"/>
                  <w:divBdr>
                    <w:top w:val="none" w:sz="0" w:space="0" w:color="auto"/>
                    <w:left w:val="none" w:sz="0" w:space="0" w:color="auto"/>
                    <w:bottom w:val="none" w:sz="0" w:space="0" w:color="auto"/>
                    <w:right w:val="none" w:sz="0" w:space="0" w:color="auto"/>
                  </w:divBdr>
                </w:div>
                <w:div w:id="592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gazette.co.uk/legal-updates/non-delegable-duty-of-care/5039519.article" TargetMode="External"/><Relationship Id="rId3" Type="http://schemas.openxmlformats.org/officeDocument/2006/relationships/settings" Target="settings.xml"/><Relationship Id="rId7" Type="http://schemas.openxmlformats.org/officeDocument/2006/relationships/hyperlink" Target="https://www.bbc.co.uk/news/uk-england-leeds-5212499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bc.co.uk/news/uk-wales-65399543" TargetMode="External"/><Relationship Id="rId11" Type="http://schemas.openxmlformats.org/officeDocument/2006/relationships/fontTable" Target="fontTable.xml"/><Relationship Id="rId5" Type="http://schemas.openxmlformats.org/officeDocument/2006/relationships/hyperlink" Target="https://theconversation.com/my-grandfather-was-mr-health-and-safety-his-lifes-quest-to-make-work-safer-has-been-ridiculed-but-the-rise-of-the-gig-economy-shows-its-no-joke-246188?utm_medium=email&amp;utm_campaign=Latest%20from%20The%20Conversation%20for%20December%2023%202024%20-%203211232757&amp;utm_content=Latest%20from%20The%20Conversation%20for%20December%2023%202024%20-%203211232757+CID_00dd8f87735cea8a1fb2de2dafd8f336&amp;utm_source=campaign_monitor_uk&amp;utm_term=stand%20up%20for%20this" TargetMode="External"/><Relationship Id="rId10" Type="http://schemas.openxmlformats.org/officeDocument/2006/relationships/hyperlink" Target="https://audioboom.com/channels/4911918-law-pod-uk" TargetMode="External"/><Relationship Id="rId4" Type="http://schemas.openxmlformats.org/officeDocument/2006/relationships/webSettings" Target="webSettings.xml"/><Relationship Id="rId9" Type="http://schemas.openxmlformats.org/officeDocument/2006/relationships/hyperlink" Target="https://audioboom.com/posts/7552372-ep-106-vicarious-liability-robert-kellar-qc-isabel-mcard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1007</Words>
  <Characters>5743</Characters>
  <Application>Microsoft Office Word</Application>
  <DocSecurity>0</DocSecurity>
  <Lines>47</Lines>
  <Paragraphs>13</Paragraphs>
  <ScaleCrop>false</ScaleCrop>
  <Company>Lancaster University</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Gilmartin, Sarah</dc:creator>
  <cp:keywords/>
  <dc:description/>
  <cp:lastModifiedBy>Gilmartin, Sarah</cp:lastModifiedBy>
  <cp:revision>174</cp:revision>
  <dcterms:created xsi:type="dcterms:W3CDTF">2024-02-16T12:25:00Z</dcterms:created>
  <dcterms:modified xsi:type="dcterms:W3CDTF">2026-02-20T09:48:00Z</dcterms:modified>
</cp:coreProperties>
</file>